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E5C" w:rsidRPr="004D6877" w:rsidRDefault="00AF6E5C" w:rsidP="00AF6E5C">
      <w:pPr>
        <w:widowControl w:val="0"/>
        <w:spacing w:after="0" w:line="240" w:lineRule="auto"/>
        <w:jc w:val="center"/>
        <w:rPr>
          <w:rFonts w:ascii="Times New Roman" w:eastAsia="Calibri" w:hAnsi="Times New Roman" w:cs="Times New Roman"/>
          <w:b/>
          <w:sz w:val="28"/>
          <w:szCs w:val="28"/>
          <w:lang w:val="ru-RU"/>
        </w:rPr>
      </w:pPr>
      <w:r w:rsidRPr="004D6877">
        <w:rPr>
          <w:rFonts w:ascii="Times New Roman" w:eastAsia="Calibri" w:hAnsi="Times New Roman" w:cs="Times New Roman"/>
          <w:b/>
          <w:sz w:val="28"/>
          <w:szCs w:val="28"/>
        </w:rPr>
        <w:t>АНАЛІЗ РЕГУЛЯТОРНОГО ВПЛИВУ</w:t>
      </w:r>
    </w:p>
    <w:p w:rsidR="00AF6E5C" w:rsidRPr="004D6877" w:rsidRDefault="00AF6E5C" w:rsidP="00AF6E5C">
      <w:pPr>
        <w:spacing w:after="0" w:line="240" w:lineRule="auto"/>
        <w:ind w:right="28"/>
        <w:jc w:val="center"/>
        <w:rPr>
          <w:rFonts w:ascii="Times New Roman" w:eastAsia="Calibri" w:hAnsi="Times New Roman" w:cs="Times New Roman"/>
          <w:b/>
          <w:bCs/>
          <w:iCs/>
          <w:sz w:val="28"/>
          <w:szCs w:val="28"/>
        </w:rPr>
      </w:pPr>
      <w:r w:rsidRPr="004D6877">
        <w:rPr>
          <w:rFonts w:ascii="Times New Roman" w:eastAsia="Calibri" w:hAnsi="Times New Roman" w:cs="Times New Roman"/>
          <w:b/>
          <w:bCs/>
          <w:iCs/>
          <w:sz w:val="28"/>
          <w:szCs w:val="28"/>
        </w:rPr>
        <w:t xml:space="preserve">проекту наказу Міністерства фінансів України </w:t>
      </w:r>
    </w:p>
    <w:p w:rsidR="00AF6E5C" w:rsidRPr="004D6877" w:rsidRDefault="00AF6E5C" w:rsidP="00AF6E5C">
      <w:pPr>
        <w:spacing w:line="240" w:lineRule="auto"/>
        <w:ind w:firstLine="318"/>
        <w:jc w:val="center"/>
        <w:rPr>
          <w:rFonts w:ascii="Times New Roman" w:eastAsia="Calibri" w:hAnsi="Times New Roman" w:cs="Times New Roman"/>
          <w:b/>
          <w:bCs/>
          <w:sz w:val="28"/>
          <w:szCs w:val="28"/>
          <w:lang w:eastAsia="uk-UA"/>
        </w:rPr>
      </w:pPr>
      <w:r w:rsidRPr="004D6877">
        <w:rPr>
          <w:rFonts w:ascii="Times New Roman" w:eastAsia="Calibri" w:hAnsi="Times New Roman" w:cs="Times New Roman"/>
          <w:b/>
          <w:bCs/>
          <w:iCs/>
          <w:sz w:val="28"/>
          <w:szCs w:val="28"/>
        </w:rPr>
        <w:t>«</w:t>
      </w:r>
      <w:r w:rsidRPr="004D6877">
        <w:rPr>
          <w:rFonts w:ascii="Times New Roman" w:eastAsia="Calibri" w:hAnsi="Times New Roman" w:cs="Times New Roman"/>
          <w:b/>
          <w:sz w:val="28"/>
          <w:szCs w:val="28"/>
        </w:rPr>
        <w:t xml:space="preserve">Про затвердження Порядку </w:t>
      </w:r>
      <w:r w:rsidRPr="004D6877">
        <w:rPr>
          <w:rFonts w:ascii="Times New Roman" w:eastAsia="Calibri" w:hAnsi="Times New Roman" w:cs="Times New Roman"/>
          <w:b/>
          <w:bCs/>
          <w:iCs/>
          <w:sz w:val="28"/>
          <w:szCs w:val="28"/>
        </w:rPr>
        <w:t>ведення обліку податків, зборів та інших платежів, єдиного внеску на загальнообов'язкове державне соціальне страхування, внесених на єдиний рахунок</w:t>
      </w:r>
      <w:r w:rsidRPr="004D6877">
        <w:rPr>
          <w:rFonts w:ascii="Times New Roman" w:eastAsia="Calibri" w:hAnsi="Times New Roman" w:cs="Times New Roman"/>
          <w:b/>
          <w:bCs/>
          <w:sz w:val="28"/>
          <w:szCs w:val="28"/>
          <w:lang w:eastAsia="uk-UA"/>
        </w:rPr>
        <w:t>»</w:t>
      </w:r>
    </w:p>
    <w:p w:rsidR="00AF6E5C" w:rsidRPr="004D6877" w:rsidRDefault="00AF6E5C" w:rsidP="00AF6E5C">
      <w:pPr>
        <w:spacing w:after="0" w:line="240" w:lineRule="auto"/>
        <w:ind w:right="28"/>
        <w:jc w:val="center"/>
        <w:rPr>
          <w:rFonts w:ascii="Times New Roman" w:eastAsia="Calibri" w:hAnsi="Times New Roman" w:cs="Times New Roman"/>
          <w:b/>
          <w:bCs/>
          <w:sz w:val="28"/>
          <w:szCs w:val="28"/>
          <w:lang w:eastAsia="uk-UA"/>
        </w:rPr>
      </w:pPr>
    </w:p>
    <w:p w:rsidR="00AF6E5C" w:rsidRPr="004D6877" w:rsidRDefault="00AF6E5C" w:rsidP="00AF6E5C">
      <w:pPr>
        <w:widowControl w:val="0"/>
        <w:spacing w:after="0" w:line="240" w:lineRule="auto"/>
        <w:ind w:firstLine="709"/>
        <w:contextualSpacing/>
        <w:jc w:val="center"/>
        <w:rPr>
          <w:rFonts w:ascii="Times New Roman" w:eastAsia="Times New Roman" w:hAnsi="Times New Roman" w:cs="Times New Roman"/>
          <w:b/>
          <w:sz w:val="28"/>
          <w:szCs w:val="28"/>
        </w:rPr>
      </w:pPr>
      <w:r w:rsidRPr="004D6877">
        <w:rPr>
          <w:rFonts w:ascii="Times New Roman" w:eastAsia="Times New Roman" w:hAnsi="Times New Roman" w:cs="Times New Roman"/>
          <w:b/>
          <w:sz w:val="28"/>
          <w:szCs w:val="28"/>
          <w:lang w:eastAsia="ru-RU"/>
        </w:rPr>
        <w:t>І. Визначення проблеми</w:t>
      </w:r>
    </w:p>
    <w:p w:rsidR="00AF6E5C" w:rsidRPr="004D6877" w:rsidRDefault="00AF6E5C" w:rsidP="00AF6E5C">
      <w:pPr>
        <w:spacing w:before="120" w:after="0"/>
        <w:ind w:firstLine="709"/>
        <w:contextualSpacing/>
        <w:jc w:val="both"/>
        <w:rPr>
          <w:rFonts w:ascii="Times New Roman" w:eastAsia="Times New Roman" w:hAnsi="Times New Roman" w:cs="Times New Roman"/>
          <w:sz w:val="28"/>
          <w:szCs w:val="28"/>
          <w:lang w:eastAsia="ru-RU"/>
        </w:rPr>
      </w:pPr>
      <w:r w:rsidRPr="004D6877">
        <w:rPr>
          <w:rFonts w:ascii="Times New Roman" w:eastAsia="Times New Roman" w:hAnsi="Times New Roman" w:cs="Times New Roman"/>
          <w:sz w:val="28"/>
          <w:szCs w:val="28"/>
          <w:lang w:eastAsia="ru-RU"/>
        </w:rPr>
        <w:t>Законом України від 04.10.2019 № 190-IX «Про внесення змін до Податкового кодексу України щодо запровадження єдиного рахунку для сплати податків і зборів, єдиного внеску на загальнообов'язкове державне соціальне страхування» (далі – Закон № 190) та Законом України «Про внесення змін до деяких законодавчих актів України щодо запровадження єдиного рахунку для сплати податків і зборів, єдиного внеску на загальнообов'язкове державне соціальне страхування» від 13.04.2020 № 559- IX (далі – Закон № 559) внесені зміни до відповідних законодавчих актів, згідно з якими в Україні, починаючи з 01.01.2021 запроваджується функціонування єдиного рахунка, який платник податків може за власним бажанням використовувати для сплати грошових зобов’язань та/або податкового боргу з податків і зборів, передбачених </w:t>
      </w:r>
      <w:hyperlink r:id="rId8" w:tgtFrame="_blank" w:history="1">
        <w:r w:rsidRPr="004D6877">
          <w:rPr>
            <w:rFonts w:ascii="Times New Roman" w:eastAsia="Times New Roman" w:hAnsi="Times New Roman" w:cs="Times New Roman"/>
            <w:sz w:val="28"/>
            <w:szCs w:val="28"/>
            <w:lang w:eastAsia="ru-RU"/>
          </w:rPr>
          <w:t>Податковим кодексом України</w:t>
        </w:r>
      </w:hyperlink>
      <w:r w:rsidRPr="004D6877">
        <w:rPr>
          <w:rFonts w:ascii="Times New Roman" w:eastAsia="Times New Roman" w:hAnsi="Times New Roman" w:cs="Times New Roman"/>
          <w:sz w:val="28"/>
          <w:szCs w:val="28"/>
          <w:lang w:eastAsia="ru-RU"/>
        </w:rPr>
        <w:t>, єдиного внеску на загальнообов’язкове державне соціальне страхування,</w:t>
      </w:r>
      <w:r w:rsidRPr="004D6877">
        <w:rPr>
          <w:rFonts w:ascii="Times New Roman" w:eastAsia="Times New Roman" w:hAnsi="Times New Roman" w:cs="Times New Roman"/>
          <w:snapToGrid w:val="0"/>
          <w:sz w:val="28"/>
          <w:szCs w:val="28"/>
          <w:lang w:eastAsia="ru-RU"/>
        </w:rPr>
        <w:t xml:space="preserve"> </w:t>
      </w:r>
      <w:r w:rsidRPr="004D6877">
        <w:rPr>
          <w:rFonts w:ascii="Times New Roman" w:eastAsia="Times New Roman" w:hAnsi="Times New Roman" w:cs="Times New Roman"/>
          <w:sz w:val="28"/>
          <w:szCs w:val="28"/>
          <w:lang w:eastAsia="ru-RU"/>
        </w:rPr>
        <w:t>включаючи пеню</w:t>
      </w:r>
      <w:r w:rsidRPr="004D6877">
        <w:rPr>
          <w:rFonts w:ascii="Times New Roman" w:eastAsia="Times New Roman" w:hAnsi="Times New Roman" w:cs="Times New Roman"/>
          <w:snapToGrid w:val="0"/>
          <w:sz w:val="28"/>
          <w:szCs w:val="28"/>
          <w:lang w:eastAsia="ru-RU"/>
        </w:rPr>
        <w:t xml:space="preserve"> </w:t>
      </w:r>
      <w:r w:rsidRPr="004D6877">
        <w:rPr>
          <w:rFonts w:ascii="Times New Roman" w:eastAsia="Times New Roman" w:hAnsi="Times New Roman" w:cs="Times New Roman"/>
          <w:sz w:val="28"/>
          <w:szCs w:val="28"/>
          <w:lang w:eastAsia="ru-RU"/>
        </w:rPr>
        <w:t>та штрафи, відповідно до положень </w:t>
      </w:r>
      <w:hyperlink r:id="rId9" w:tgtFrame="_blank" w:history="1">
        <w:r w:rsidRPr="004D6877">
          <w:rPr>
            <w:rFonts w:ascii="Times New Roman" w:eastAsia="Times New Roman" w:hAnsi="Times New Roman" w:cs="Times New Roman"/>
            <w:sz w:val="28"/>
            <w:szCs w:val="28"/>
            <w:lang w:eastAsia="ru-RU"/>
          </w:rPr>
          <w:t>Закону України</w:t>
        </w:r>
      </w:hyperlink>
      <w:r w:rsidRPr="004D6877">
        <w:rPr>
          <w:rFonts w:ascii="Times New Roman" w:eastAsia="Times New Roman" w:hAnsi="Times New Roman" w:cs="Times New Roman"/>
          <w:sz w:val="28"/>
          <w:szCs w:val="28"/>
          <w:lang w:eastAsia="ru-RU"/>
        </w:rPr>
        <w:t xml:space="preserve"> «Про збір та облік єдиного внеску на загальнообов’язкове державне соціальне страхування» (далі – єдиний внесок) та інших платежів, що визначені відповідним законодавством та контроль за справлянням яких покладено на ДПС, заборгованості з інших платежів (далі – грошові зобов’язання та/або податковий борг (заборгованість) з податків і зборів, єдиного внеску та інших платежів, контроль за справлянням яких покладено на ДПС). Єдиний рахунок відкривається у Казначействі на ім’я ДПС в установленому порядку. </w:t>
      </w:r>
    </w:p>
    <w:p w:rsidR="00AF6E5C" w:rsidRPr="004D6877" w:rsidRDefault="00AF6E5C" w:rsidP="00AF6E5C">
      <w:pPr>
        <w:spacing w:after="0"/>
        <w:ind w:firstLine="709"/>
        <w:contextualSpacing/>
        <w:jc w:val="both"/>
        <w:rPr>
          <w:rFonts w:ascii="Times New Roman" w:eastAsia="Times New Roman" w:hAnsi="Times New Roman" w:cs="Times New Roman"/>
          <w:sz w:val="28"/>
          <w:szCs w:val="28"/>
          <w:lang w:eastAsia="ru-RU"/>
        </w:rPr>
      </w:pPr>
      <w:r w:rsidRPr="004D6877">
        <w:rPr>
          <w:rFonts w:ascii="Times New Roman" w:eastAsia="Times New Roman" w:hAnsi="Times New Roman" w:cs="Times New Roman"/>
          <w:sz w:val="28"/>
          <w:szCs w:val="28"/>
          <w:lang w:eastAsia="ru-RU"/>
        </w:rPr>
        <w:t>Постановою Кабінету Міністрів України від 29.04.2020 № 321 затверджено Порядок функціонування єдиного рахунка та виконання норм статті 35-1 Податкового кодексу України центральними органами виконавчої влади (далі – постанова № 321).</w:t>
      </w:r>
    </w:p>
    <w:p w:rsidR="00AF6E5C" w:rsidRPr="004D6877" w:rsidRDefault="00AF6E5C" w:rsidP="00AF6E5C">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uk-UA"/>
        </w:rPr>
      </w:pPr>
      <w:r w:rsidRPr="004D6877">
        <w:rPr>
          <w:rFonts w:ascii="Times New Roman" w:eastAsia="Calibri" w:hAnsi="Times New Roman" w:cs="Times New Roman"/>
          <w:bCs/>
          <w:sz w:val="28"/>
          <w:szCs w:val="28"/>
          <w:lang w:eastAsia="uk-UA"/>
        </w:rPr>
        <w:t>У зв’язку із зазначеним постає необхідність у нормативному врегулюванні питань, пов’язаних з порядком обліку податків, зборів та інших платежів, єдиного внеску, внесених на єдиний рахунок, шляхом визначення механізму обліку руху коштів на єдиному рахунку, а саме в частині:</w:t>
      </w:r>
    </w:p>
    <w:p w:rsidR="00AF6E5C" w:rsidRPr="004D6877" w:rsidRDefault="00AF6E5C" w:rsidP="00AF6E5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D6877">
        <w:rPr>
          <w:rFonts w:ascii="Times New Roman" w:eastAsia="Calibri" w:hAnsi="Times New Roman" w:cs="Times New Roman"/>
          <w:sz w:val="28"/>
          <w:szCs w:val="28"/>
          <w:lang w:eastAsia="uk-UA"/>
        </w:rPr>
        <w:t xml:space="preserve">ведення єдиної картки платників (далі </w:t>
      </w:r>
      <w:r w:rsidRPr="004D6877">
        <w:rPr>
          <w:rFonts w:ascii="Times New Roman" w:eastAsia="Calibri" w:hAnsi="Times New Roman" w:cs="Times New Roman"/>
          <w:sz w:val="28"/>
          <w:szCs w:val="28"/>
        </w:rPr>
        <w:t>–</w:t>
      </w:r>
      <w:r w:rsidRPr="004D6877">
        <w:rPr>
          <w:rFonts w:ascii="Times New Roman" w:eastAsia="Calibri" w:hAnsi="Times New Roman" w:cs="Times New Roman"/>
          <w:sz w:val="28"/>
          <w:szCs w:val="28"/>
          <w:lang w:eastAsia="uk-UA"/>
        </w:rPr>
        <w:t xml:space="preserve"> ЄКП), включеними до </w:t>
      </w:r>
      <w:r w:rsidRPr="004D6877">
        <w:rPr>
          <w:rFonts w:ascii="Times New Roman" w:eastAsia="Calibri" w:hAnsi="Times New Roman" w:cs="Times New Roman"/>
          <w:sz w:val="28"/>
          <w:szCs w:val="28"/>
        </w:rPr>
        <w:t>реєстру платників, які використовують єдиний рахунок;</w:t>
      </w:r>
    </w:p>
    <w:p w:rsidR="00AF6E5C" w:rsidRPr="004D6877" w:rsidRDefault="00AF6E5C" w:rsidP="00AF6E5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D6877">
        <w:rPr>
          <w:rFonts w:ascii="Times New Roman" w:eastAsia="Calibri" w:hAnsi="Times New Roman" w:cs="Times New Roman"/>
          <w:sz w:val="28"/>
          <w:szCs w:val="28"/>
        </w:rPr>
        <w:t>відображення в ЄКП надходжень коштів на єдиний рахунок за даними Казначейства та інформацією, отриманою з інформаційно-телекомунікаційної системи «Електронний кабінет» (далі – Електронний кабінет);</w:t>
      </w:r>
    </w:p>
    <w:p w:rsidR="00AF6E5C" w:rsidRPr="004D6877" w:rsidRDefault="00AF6E5C" w:rsidP="00AF6E5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D6877">
        <w:rPr>
          <w:rFonts w:ascii="Times New Roman" w:eastAsia="Calibri" w:hAnsi="Times New Roman" w:cs="Times New Roman"/>
          <w:sz w:val="28"/>
          <w:szCs w:val="28"/>
        </w:rPr>
        <w:lastRenderedPageBreak/>
        <w:t>визначення показників, які підлягають сплаті на бюджетні/небюджетні рахунки, та направлення Казначейству відповідної інформації;</w:t>
      </w:r>
    </w:p>
    <w:p w:rsidR="00AF6E5C" w:rsidRPr="004D6877" w:rsidRDefault="00AF6E5C" w:rsidP="00AF6E5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D6877">
        <w:rPr>
          <w:rFonts w:ascii="Times New Roman" w:eastAsia="Calibri" w:hAnsi="Times New Roman" w:cs="Times New Roman"/>
          <w:sz w:val="28"/>
          <w:szCs w:val="28"/>
        </w:rPr>
        <w:t>відображення в ЄКП сум коштів, перерахованих з єдиного рахунку  на бюджетні/небюджетні рахунки згідно з інформацією Казначейства.</w:t>
      </w:r>
    </w:p>
    <w:p w:rsidR="00AF6E5C" w:rsidRPr="004D6877" w:rsidRDefault="00AF6E5C" w:rsidP="00AF6E5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D6877">
        <w:rPr>
          <w:rFonts w:ascii="Times New Roman" w:eastAsia="Calibri" w:hAnsi="Times New Roman" w:cs="Times New Roman"/>
          <w:sz w:val="28"/>
          <w:szCs w:val="28"/>
        </w:rPr>
        <w:t>Проект наказу розроблено керуючись вимогами підпунктів 19</w:t>
      </w:r>
      <w:r w:rsidRPr="004D6877">
        <w:rPr>
          <w:rFonts w:ascii="Times New Roman" w:eastAsia="Calibri" w:hAnsi="Times New Roman" w:cs="Times New Roman"/>
          <w:sz w:val="28"/>
          <w:szCs w:val="28"/>
          <w:vertAlign w:val="superscript"/>
        </w:rPr>
        <w:t>1</w:t>
      </w:r>
      <w:r w:rsidRPr="004D6877">
        <w:rPr>
          <w:rFonts w:ascii="Times New Roman" w:eastAsia="Calibri" w:hAnsi="Times New Roman" w:cs="Times New Roman"/>
          <w:sz w:val="28"/>
          <w:szCs w:val="28"/>
        </w:rPr>
        <w:t>.1.1 та 19</w:t>
      </w:r>
      <w:r w:rsidRPr="004D6877">
        <w:rPr>
          <w:rFonts w:ascii="Times New Roman" w:eastAsia="Calibri" w:hAnsi="Times New Roman" w:cs="Times New Roman"/>
          <w:sz w:val="28"/>
          <w:szCs w:val="28"/>
          <w:vertAlign w:val="superscript"/>
        </w:rPr>
        <w:t>1</w:t>
      </w:r>
      <w:r w:rsidRPr="004D6877">
        <w:rPr>
          <w:rFonts w:ascii="Times New Roman" w:eastAsia="Calibri" w:hAnsi="Times New Roman" w:cs="Times New Roman"/>
          <w:sz w:val="28"/>
          <w:szCs w:val="28"/>
        </w:rPr>
        <w:t>.1.10 пункту 19</w:t>
      </w:r>
      <w:r w:rsidRPr="004D6877">
        <w:rPr>
          <w:rFonts w:ascii="Times New Roman" w:eastAsia="Calibri" w:hAnsi="Times New Roman" w:cs="Times New Roman"/>
          <w:sz w:val="28"/>
          <w:szCs w:val="28"/>
          <w:vertAlign w:val="superscript"/>
        </w:rPr>
        <w:t>1</w:t>
      </w:r>
      <w:r w:rsidRPr="004D6877">
        <w:rPr>
          <w:rFonts w:ascii="Times New Roman" w:eastAsia="Calibri" w:hAnsi="Times New Roman" w:cs="Times New Roman"/>
          <w:sz w:val="28"/>
          <w:szCs w:val="28"/>
        </w:rPr>
        <w:t>.1 статті 19</w:t>
      </w:r>
      <w:r w:rsidRPr="004D6877">
        <w:rPr>
          <w:rFonts w:ascii="Times New Roman" w:eastAsia="Calibri" w:hAnsi="Times New Roman" w:cs="Times New Roman"/>
          <w:sz w:val="28"/>
          <w:szCs w:val="28"/>
          <w:vertAlign w:val="superscript"/>
        </w:rPr>
        <w:t xml:space="preserve">1 </w:t>
      </w:r>
      <w:r w:rsidRPr="004D6877">
        <w:rPr>
          <w:rFonts w:ascii="Times New Roman" w:eastAsia="Calibri" w:hAnsi="Times New Roman" w:cs="Times New Roman"/>
          <w:sz w:val="28"/>
          <w:szCs w:val="28"/>
        </w:rPr>
        <w:t>Податкового кодексу України, статей 9, 25 Закону України від 08.07.2010 № 2464-</w:t>
      </w:r>
      <w:r w:rsidRPr="004D6877">
        <w:rPr>
          <w:rFonts w:ascii="Times New Roman" w:eastAsia="Calibri" w:hAnsi="Times New Roman" w:cs="Times New Roman"/>
          <w:sz w:val="28"/>
          <w:szCs w:val="28"/>
          <w:lang w:val="en-US"/>
        </w:rPr>
        <w:t>V</w:t>
      </w:r>
      <w:r w:rsidRPr="004D6877">
        <w:rPr>
          <w:rFonts w:ascii="Times New Roman" w:eastAsia="Calibri" w:hAnsi="Times New Roman" w:cs="Times New Roman"/>
          <w:sz w:val="28"/>
          <w:szCs w:val="28"/>
        </w:rPr>
        <w:t>І «Про збір та облік єдиного внеску на загальнообов’язкове державне соціальне страхування», Порядку функціонування єдиного рахунк</w:t>
      </w:r>
      <w:r w:rsidR="004D6877" w:rsidRPr="004D6877">
        <w:rPr>
          <w:rFonts w:ascii="Times New Roman" w:eastAsia="Calibri" w:hAnsi="Times New Roman" w:cs="Times New Roman"/>
          <w:sz w:val="28"/>
          <w:szCs w:val="28"/>
        </w:rPr>
        <w:t>а</w:t>
      </w:r>
      <w:r w:rsidRPr="004D6877">
        <w:rPr>
          <w:rFonts w:ascii="Times New Roman" w:eastAsia="Calibri" w:hAnsi="Times New Roman" w:cs="Times New Roman"/>
          <w:sz w:val="28"/>
          <w:szCs w:val="28"/>
        </w:rPr>
        <w:t xml:space="preserve"> та виконання норм статті 35</w:t>
      </w:r>
      <w:r w:rsidRPr="004D6877">
        <w:rPr>
          <w:rFonts w:ascii="Calibri" w:eastAsia="Times New Roman" w:hAnsi="Calibri" w:cs="Times New Roman"/>
          <w:sz w:val="28"/>
          <w:szCs w:val="28"/>
          <w:vertAlign w:val="superscript"/>
        </w:rPr>
        <w:t>1</w:t>
      </w:r>
      <w:r w:rsidRPr="004D6877">
        <w:rPr>
          <w:rFonts w:ascii="Calibri" w:eastAsia="Times New Roman" w:hAnsi="Calibri" w:cs="Times New Roman"/>
          <w:sz w:val="28"/>
          <w:szCs w:val="28"/>
        </w:rPr>
        <w:t xml:space="preserve"> </w:t>
      </w:r>
      <w:r w:rsidRPr="004D6877">
        <w:rPr>
          <w:rFonts w:ascii="Times New Roman" w:eastAsia="Calibri" w:hAnsi="Times New Roman" w:cs="Times New Roman"/>
          <w:sz w:val="28"/>
          <w:szCs w:val="28"/>
        </w:rPr>
        <w:t>Податкового кодексу України центральними органами виконавчої влади, затвердженого постановою Кабінету Міністрів України від 29.04.2020 № 321.</w:t>
      </w:r>
    </w:p>
    <w:p w:rsidR="00AF6E5C" w:rsidRPr="004D6877" w:rsidRDefault="00AF6E5C" w:rsidP="00AF6E5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AF6E5C" w:rsidRPr="004D6877" w:rsidRDefault="00AF6E5C" w:rsidP="00AF6E5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D6877">
        <w:rPr>
          <w:rFonts w:ascii="Times New Roman" w:eastAsia="Calibri" w:hAnsi="Times New Roman" w:cs="Times New Roman"/>
          <w:sz w:val="28"/>
          <w:szCs w:val="28"/>
        </w:rPr>
        <w:t>Основні групи (підгрупи), на які проблема має вплив:</w:t>
      </w:r>
    </w:p>
    <w:tbl>
      <w:tblPr>
        <w:tblW w:w="4298" w:type="pct"/>
        <w:jc w:val="center"/>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5"/>
        <w:gridCol w:w="1234"/>
        <w:gridCol w:w="1182"/>
      </w:tblGrid>
      <w:tr w:rsidR="004D6877" w:rsidRPr="004D6877" w:rsidTr="00AF6E5C">
        <w:trPr>
          <w:tblCellSpacing w:w="30" w:type="dxa"/>
          <w:jc w:val="center"/>
        </w:trPr>
        <w:tc>
          <w:tcPr>
            <w:tcW w:w="349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F6E5C" w:rsidRPr="004D6877" w:rsidRDefault="00AF6E5C" w:rsidP="00AF6E5C">
            <w:pPr>
              <w:spacing w:before="100" w:beforeAutospacing="1" w:after="100" w:afterAutospacing="1"/>
              <w:ind w:firstLine="567"/>
              <w:contextualSpacing/>
              <w:jc w:val="center"/>
              <w:rPr>
                <w:rFonts w:ascii="Times New Roman" w:eastAsia="Times New Roman" w:hAnsi="Times New Roman" w:cs="Times New Roman"/>
                <w:sz w:val="24"/>
                <w:szCs w:val="24"/>
                <w:lang w:eastAsia="ru-RU"/>
              </w:rPr>
            </w:pPr>
            <w:r w:rsidRPr="004D6877">
              <w:rPr>
                <w:rFonts w:ascii="Times New Roman" w:eastAsia="Times New Roman" w:hAnsi="Times New Roman" w:cs="Times New Roman"/>
                <w:sz w:val="24"/>
                <w:szCs w:val="24"/>
                <w:lang w:eastAsia="ru-RU"/>
              </w:rPr>
              <w:t>Групи (підгрупи)</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F6E5C" w:rsidRPr="004D6877" w:rsidRDefault="00AF6E5C" w:rsidP="00AF6E5C">
            <w:pPr>
              <w:spacing w:before="100" w:beforeAutospacing="1" w:after="100" w:afterAutospacing="1"/>
              <w:ind w:firstLine="567"/>
              <w:contextualSpacing/>
              <w:jc w:val="center"/>
              <w:rPr>
                <w:rFonts w:ascii="Times New Roman" w:eastAsia="Times New Roman" w:hAnsi="Times New Roman" w:cs="Times New Roman"/>
                <w:sz w:val="24"/>
                <w:szCs w:val="24"/>
                <w:lang w:eastAsia="ru-RU"/>
              </w:rPr>
            </w:pPr>
            <w:r w:rsidRPr="004D6877">
              <w:rPr>
                <w:rFonts w:ascii="Times New Roman" w:eastAsia="Times New Roman" w:hAnsi="Times New Roman" w:cs="Times New Roman"/>
                <w:sz w:val="24"/>
                <w:szCs w:val="24"/>
                <w:lang w:eastAsia="ru-RU"/>
              </w:rPr>
              <w:t>Так</w:t>
            </w:r>
          </w:p>
        </w:tc>
        <w:tc>
          <w:tcPr>
            <w:tcW w:w="6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F6E5C" w:rsidRPr="004D6877" w:rsidRDefault="00AF6E5C" w:rsidP="00AF6E5C">
            <w:pPr>
              <w:spacing w:before="100" w:beforeAutospacing="1" w:after="100" w:afterAutospacing="1"/>
              <w:ind w:firstLine="567"/>
              <w:contextualSpacing/>
              <w:jc w:val="center"/>
              <w:rPr>
                <w:rFonts w:ascii="Times New Roman" w:eastAsia="Times New Roman" w:hAnsi="Times New Roman" w:cs="Times New Roman"/>
                <w:sz w:val="24"/>
                <w:szCs w:val="24"/>
                <w:lang w:eastAsia="ru-RU"/>
              </w:rPr>
            </w:pPr>
            <w:r w:rsidRPr="004D6877">
              <w:rPr>
                <w:rFonts w:ascii="Times New Roman" w:eastAsia="Times New Roman" w:hAnsi="Times New Roman" w:cs="Times New Roman"/>
                <w:sz w:val="24"/>
                <w:szCs w:val="24"/>
                <w:lang w:eastAsia="ru-RU"/>
              </w:rPr>
              <w:t>Ні</w:t>
            </w:r>
          </w:p>
        </w:tc>
      </w:tr>
      <w:tr w:rsidR="004D6877" w:rsidRPr="004D6877" w:rsidTr="00AF6E5C">
        <w:trPr>
          <w:trHeight w:val="419"/>
          <w:tblCellSpacing w:w="30" w:type="dxa"/>
          <w:jc w:val="center"/>
        </w:trPr>
        <w:tc>
          <w:tcPr>
            <w:tcW w:w="349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F6E5C" w:rsidRPr="004D6877" w:rsidRDefault="00AF6E5C" w:rsidP="00AF6E5C">
            <w:pPr>
              <w:spacing w:before="100" w:beforeAutospacing="1" w:after="100" w:afterAutospacing="1"/>
              <w:ind w:firstLine="567"/>
              <w:contextualSpacing/>
              <w:rPr>
                <w:rFonts w:ascii="Times New Roman" w:eastAsia="Times New Roman" w:hAnsi="Times New Roman" w:cs="Times New Roman"/>
                <w:sz w:val="24"/>
                <w:szCs w:val="24"/>
                <w:lang w:eastAsia="ru-RU"/>
              </w:rPr>
            </w:pPr>
            <w:r w:rsidRPr="004D6877">
              <w:rPr>
                <w:rFonts w:ascii="Times New Roman" w:eastAsia="Times New Roman" w:hAnsi="Times New Roman" w:cs="Times New Roman"/>
                <w:sz w:val="24"/>
                <w:szCs w:val="24"/>
                <w:lang w:eastAsia="ru-RU"/>
              </w:rPr>
              <w:t>Громадяни</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F6E5C" w:rsidRPr="004D6877" w:rsidRDefault="00AF6E5C" w:rsidP="00AF6E5C">
            <w:pPr>
              <w:spacing w:before="100" w:beforeAutospacing="1" w:after="100" w:afterAutospacing="1"/>
              <w:ind w:firstLine="567"/>
              <w:contextualSpacing/>
              <w:jc w:val="center"/>
              <w:rPr>
                <w:rFonts w:ascii="Times New Roman" w:eastAsia="Times New Roman" w:hAnsi="Times New Roman" w:cs="Times New Roman"/>
                <w:sz w:val="24"/>
                <w:szCs w:val="24"/>
                <w:lang w:eastAsia="ru-RU"/>
              </w:rPr>
            </w:pPr>
            <w:r w:rsidRPr="004D6877">
              <w:rPr>
                <w:rFonts w:ascii="Times New Roman" w:eastAsia="Times New Roman" w:hAnsi="Times New Roman" w:cs="Times New Roman"/>
                <w:sz w:val="24"/>
                <w:szCs w:val="24"/>
                <w:lang w:eastAsia="ru-RU"/>
              </w:rPr>
              <w:t>+</w:t>
            </w:r>
          </w:p>
        </w:tc>
        <w:tc>
          <w:tcPr>
            <w:tcW w:w="6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F6E5C" w:rsidRPr="004D6877" w:rsidRDefault="00AF6E5C" w:rsidP="00AF6E5C">
            <w:pPr>
              <w:spacing w:before="100" w:beforeAutospacing="1" w:after="100" w:afterAutospacing="1"/>
              <w:ind w:firstLine="567"/>
              <w:contextualSpacing/>
              <w:jc w:val="center"/>
              <w:rPr>
                <w:rFonts w:ascii="Times New Roman" w:eastAsia="Times New Roman" w:hAnsi="Times New Roman" w:cs="Times New Roman"/>
                <w:sz w:val="24"/>
                <w:szCs w:val="24"/>
                <w:lang w:eastAsia="ru-RU"/>
              </w:rPr>
            </w:pPr>
            <w:r w:rsidRPr="004D6877">
              <w:rPr>
                <w:rFonts w:ascii="Times New Roman" w:eastAsia="Times New Roman" w:hAnsi="Times New Roman" w:cs="Times New Roman"/>
                <w:sz w:val="24"/>
                <w:szCs w:val="24"/>
                <w:lang w:eastAsia="ru-RU"/>
              </w:rPr>
              <w:t>-</w:t>
            </w:r>
          </w:p>
        </w:tc>
      </w:tr>
      <w:tr w:rsidR="004D6877" w:rsidRPr="004D6877" w:rsidTr="00AF6E5C">
        <w:trPr>
          <w:tblCellSpacing w:w="30" w:type="dxa"/>
          <w:jc w:val="center"/>
        </w:trPr>
        <w:tc>
          <w:tcPr>
            <w:tcW w:w="349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F6E5C" w:rsidRPr="004D6877" w:rsidRDefault="00AF6E5C" w:rsidP="00AF6E5C">
            <w:pPr>
              <w:spacing w:before="100" w:beforeAutospacing="1" w:after="100" w:afterAutospacing="1"/>
              <w:ind w:firstLine="567"/>
              <w:contextualSpacing/>
              <w:rPr>
                <w:rFonts w:ascii="Times New Roman" w:eastAsia="Times New Roman" w:hAnsi="Times New Roman" w:cs="Times New Roman"/>
                <w:sz w:val="24"/>
                <w:szCs w:val="24"/>
                <w:lang w:eastAsia="ru-RU"/>
              </w:rPr>
            </w:pPr>
            <w:r w:rsidRPr="004D6877">
              <w:rPr>
                <w:rFonts w:ascii="Times New Roman" w:eastAsia="Times New Roman" w:hAnsi="Times New Roman" w:cs="Times New Roman"/>
                <w:sz w:val="24"/>
                <w:szCs w:val="24"/>
                <w:lang w:eastAsia="ru-RU"/>
              </w:rPr>
              <w:t>Держава</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F6E5C" w:rsidRPr="004D6877" w:rsidRDefault="00AF6E5C" w:rsidP="00AF6E5C">
            <w:pPr>
              <w:spacing w:before="100" w:beforeAutospacing="1" w:after="100" w:afterAutospacing="1"/>
              <w:ind w:firstLine="567"/>
              <w:contextualSpacing/>
              <w:jc w:val="center"/>
              <w:rPr>
                <w:rFonts w:ascii="Times New Roman" w:eastAsia="Times New Roman" w:hAnsi="Times New Roman" w:cs="Times New Roman"/>
                <w:sz w:val="24"/>
                <w:szCs w:val="24"/>
                <w:lang w:eastAsia="ru-RU"/>
              </w:rPr>
            </w:pPr>
            <w:r w:rsidRPr="004D6877">
              <w:rPr>
                <w:rFonts w:ascii="Times New Roman" w:eastAsia="Times New Roman" w:hAnsi="Times New Roman" w:cs="Times New Roman"/>
                <w:sz w:val="24"/>
                <w:szCs w:val="24"/>
                <w:lang w:eastAsia="ru-RU"/>
              </w:rPr>
              <w:t>+</w:t>
            </w:r>
          </w:p>
        </w:tc>
        <w:tc>
          <w:tcPr>
            <w:tcW w:w="6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F6E5C" w:rsidRPr="004D6877" w:rsidRDefault="00AF6E5C" w:rsidP="00AF6E5C">
            <w:pPr>
              <w:spacing w:before="100" w:beforeAutospacing="1" w:after="100" w:afterAutospacing="1"/>
              <w:ind w:firstLine="567"/>
              <w:contextualSpacing/>
              <w:jc w:val="center"/>
              <w:rPr>
                <w:rFonts w:ascii="Times New Roman" w:eastAsia="Times New Roman" w:hAnsi="Times New Roman" w:cs="Times New Roman"/>
                <w:sz w:val="24"/>
                <w:szCs w:val="24"/>
                <w:lang w:eastAsia="ru-RU"/>
              </w:rPr>
            </w:pPr>
            <w:r w:rsidRPr="004D6877">
              <w:rPr>
                <w:rFonts w:ascii="Times New Roman" w:eastAsia="Times New Roman" w:hAnsi="Times New Roman" w:cs="Times New Roman"/>
                <w:sz w:val="24"/>
                <w:szCs w:val="24"/>
                <w:lang w:eastAsia="ru-RU"/>
              </w:rPr>
              <w:t>-</w:t>
            </w:r>
          </w:p>
        </w:tc>
      </w:tr>
      <w:tr w:rsidR="004D6877" w:rsidRPr="004D6877" w:rsidTr="00AF6E5C">
        <w:trPr>
          <w:tblCellSpacing w:w="30" w:type="dxa"/>
          <w:jc w:val="center"/>
        </w:trPr>
        <w:tc>
          <w:tcPr>
            <w:tcW w:w="349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F6E5C" w:rsidRPr="004D6877" w:rsidRDefault="00AF6E5C" w:rsidP="00AF6E5C">
            <w:pPr>
              <w:spacing w:before="100" w:beforeAutospacing="1" w:after="100" w:afterAutospacing="1"/>
              <w:ind w:firstLine="567"/>
              <w:contextualSpacing/>
              <w:rPr>
                <w:rFonts w:ascii="Times New Roman" w:eastAsia="Times New Roman" w:hAnsi="Times New Roman" w:cs="Times New Roman"/>
                <w:sz w:val="24"/>
                <w:szCs w:val="24"/>
                <w:lang w:eastAsia="ru-RU"/>
              </w:rPr>
            </w:pPr>
            <w:r w:rsidRPr="004D6877">
              <w:rPr>
                <w:rFonts w:ascii="Times New Roman" w:eastAsia="Times New Roman" w:hAnsi="Times New Roman" w:cs="Times New Roman"/>
                <w:sz w:val="24"/>
                <w:szCs w:val="24"/>
                <w:lang w:eastAsia="ru-RU"/>
              </w:rPr>
              <w:t>Суб’єкти господарювання,</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F6E5C" w:rsidRPr="004D6877" w:rsidRDefault="00AF6E5C" w:rsidP="00AF6E5C">
            <w:pPr>
              <w:spacing w:before="100" w:beforeAutospacing="1" w:after="100" w:afterAutospacing="1"/>
              <w:ind w:firstLine="567"/>
              <w:contextualSpacing/>
              <w:jc w:val="center"/>
              <w:rPr>
                <w:rFonts w:ascii="Times New Roman" w:eastAsia="Times New Roman" w:hAnsi="Times New Roman" w:cs="Times New Roman"/>
                <w:sz w:val="24"/>
                <w:szCs w:val="24"/>
                <w:lang w:eastAsia="ru-RU"/>
              </w:rPr>
            </w:pPr>
            <w:r w:rsidRPr="004D6877">
              <w:rPr>
                <w:rFonts w:ascii="Times New Roman" w:eastAsia="Times New Roman" w:hAnsi="Times New Roman" w:cs="Times New Roman"/>
                <w:sz w:val="24"/>
                <w:szCs w:val="24"/>
                <w:lang w:eastAsia="ru-RU"/>
              </w:rPr>
              <w:t>+</w:t>
            </w:r>
          </w:p>
        </w:tc>
        <w:tc>
          <w:tcPr>
            <w:tcW w:w="6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F6E5C" w:rsidRPr="004D6877" w:rsidRDefault="00AF6E5C" w:rsidP="00AF6E5C">
            <w:pPr>
              <w:spacing w:before="100" w:beforeAutospacing="1" w:after="100" w:afterAutospacing="1"/>
              <w:ind w:firstLine="567"/>
              <w:contextualSpacing/>
              <w:jc w:val="center"/>
              <w:rPr>
                <w:rFonts w:ascii="Times New Roman" w:eastAsia="Times New Roman" w:hAnsi="Times New Roman" w:cs="Times New Roman"/>
                <w:sz w:val="24"/>
                <w:szCs w:val="24"/>
                <w:lang w:eastAsia="ru-RU"/>
              </w:rPr>
            </w:pPr>
            <w:r w:rsidRPr="004D6877">
              <w:rPr>
                <w:rFonts w:ascii="Times New Roman" w:eastAsia="Times New Roman" w:hAnsi="Times New Roman" w:cs="Times New Roman"/>
                <w:sz w:val="24"/>
                <w:szCs w:val="24"/>
                <w:lang w:eastAsia="ru-RU"/>
              </w:rPr>
              <w:t>-</w:t>
            </w:r>
          </w:p>
        </w:tc>
      </w:tr>
      <w:tr w:rsidR="00AF6E5C" w:rsidRPr="004D6877" w:rsidTr="00AF6E5C">
        <w:trPr>
          <w:tblCellSpacing w:w="30" w:type="dxa"/>
          <w:jc w:val="center"/>
        </w:trPr>
        <w:tc>
          <w:tcPr>
            <w:tcW w:w="349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F6E5C" w:rsidRPr="004D6877" w:rsidRDefault="00AF6E5C" w:rsidP="00AF6E5C">
            <w:pPr>
              <w:spacing w:before="100" w:beforeAutospacing="1" w:after="100" w:afterAutospacing="1"/>
              <w:ind w:firstLine="567"/>
              <w:contextualSpacing/>
              <w:rPr>
                <w:rFonts w:ascii="Times New Roman" w:eastAsia="Times New Roman" w:hAnsi="Times New Roman" w:cs="Times New Roman"/>
                <w:sz w:val="24"/>
                <w:szCs w:val="24"/>
                <w:lang w:eastAsia="ru-RU"/>
              </w:rPr>
            </w:pPr>
            <w:r w:rsidRPr="004D6877">
              <w:rPr>
                <w:rFonts w:ascii="Times New Roman" w:eastAsia="Times New Roman" w:hAnsi="Times New Roman" w:cs="Times New Roman"/>
                <w:sz w:val="24"/>
                <w:szCs w:val="24"/>
                <w:lang w:eastAsia="ru-RU"/>
              </w:rPr>
              <w:t>у тому числі суб’єкти малого підприємництва</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F6E5C" w:rsidRPr="004D6877" w:rsidRDefault="00AF6E5C" w:rsidP="00AF6E5C">
            <w:pPr>
              <w:spacing w:before="100" w:beforeAutospacing="1" w:after="100" w:afterAutospacing="1"/>
              <w:ind w:firstLine="567"/>
              <w:contextualSpacing/>
              <w:jc w:val="center"/>
              <w:rPr>
                <w:rFonts w:ascii="Times New Roman" w:eastAsia="Times New Roman" w:hAnsi="Times New Roman" w:cs="Times New Roman"/>
                <w:sz w:val="24"/>
                <w:szCs w:val="24"/>
                <w:lang w:eastAsia="ru-RU"/>
              </w:rPr>
            </w:pPr>
            <w:r w:rsidRPr="004D6877">
              <w:rPr>
                <w:rFonts w:ascii="Times New Roman" w:eastAsia="Times New Roman" w:hAnsi="Times New Roman" w:cs="Times New Roman"/>
                <w:sz w:val="24"/>
                <w:szCs w:val="24"/>
                <w:lang w:eastAsia="ru-RU"/>
              </w:rPr>
              <w:t>+</w:t>
            </w:r>
          </w:p>
        </w:tc>
        <w:tc>
          <w:tcPr>
            <w:tcW w:w="6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F6E5C" w:rsidRPr="004D6877" w:rsidRDefault="00AF6E5C" w:rsidP="00AF6E5C">
            <w:pPr>
              <w:spacing w:before="100" w:beforeAutospacing="1" w:after="100" w:afterAutospacing="1"/>
              <w:ind w:firstLine="567"/>
              <w:contextualSpacing/>
              <w:jc w:val="center"/>
              <w:rPr>
                <w:rFonts w:ascii="Times New Roman" w:eastAsia="Times New Roman" w:hAnsi="Times New Roman" w:cs="Times New Roman"/>
                <w:sz w:val="24"/>
                <w:szCs w:val="24"/>
                <w:lang w:eastAsia="ru-RU"/>
              </w:rPr>
            </w:pPr>
            <w:r w:rsidRPr="004D6877">
              <w:rPr>
                <w:rFonts w:ascii="Times New Roman" w:eastAsia="Times New Roman" w:hAnsi="Times New Roman" w:cs="Times New Roman"/>
                <w:sz w:val="24"/>
                <w:szCs w:val="24"/>
                <w:lang w:eastAsia="ru-RU"/>
              </w:rPr>
              <w:t>-</w:t>
            </w:r>
          </w:p>
        </w:tc>
      </w:tr>
    </w:tbl>
    <w:p w:rsidR="00AF6E5C" w:rsidRPr="004D6877" w:rsidRDefault="00AF6E5C" w:rsidP="00AF6E5C">
      <w:pPr>
        <w:spacing w:after="0"/>
        <w:ind w:firstLine="567"/>
        <w:contextualSpacing/>
        <w:jc w:val="both"/>
        <w:rPr>
          <w:rFonts w:ascii="Times New Roman" w:eastAsia="Times New Roman" w:hAnsi="Times New Roman" w:cs="Times New Roman"/>
          <w:sz w:val="28"/>
          <w:szCs w:val="28"/>
          <w:lang w:eastAsia="ru-RU"/>
        </w:rPr>
      </w:pPr>
    </w:p>
    <w:p w:rsidR="00AF6E5C" w:rsidRPr="004D6877" w:rsidRDefault="00AF6E5C" w:rsidP="00AF6E5C">
      <w:pPr>
        <w:spacing w:after="0"/>
        <w:ind w:firstLine="709"/>
        <w:contextualSpacing/>
        <w:jc w:val="both"/>
        <w:rPr>
          <w:rFonts w:ascii="Times New Roman" w:eastAsia="Times New Roman" w:hAnsi="Times New Roman" w:cs="Times New Roman"/>
          <w:sz w:val="28"/>
          <w:szCs w:val="28"/>
          <w:lang w:eastAsia="ru-RU"/>
        </w:rPr>
      </w:pPr>
      <w:r w:rsidRPr="004D6877">
        <w:rPr>
          <w:rFonts w:ascii="Times New Roman" w:eastAsia="Times New Roman" w:hAnsi="Times New Roman" w:cs="Times New Roman"/>
          <w:sz w:val="28"/>
          <w:szCs w:val="28"/>
          <w:lang w:eastAsia="ru-RU"/>
        </w:rPr>
        <w:t>Питання, які є предметом врегулювання у проекті наказу, не можуть бути вирішені за допомогою:</w:t>
      </w:r>
    </w:p>
    <w:p w:rsidR="00AF6E5C" w:rsidRPr="004D6877" w:rsidRDefault="00AF6E5C" w:rsidP="00AF6E5C">
      <w:pPr>
        <w:spacing w:after="0"/>
        <w:ind w:firstLine="709"/>
        <w:contextualSpacing/>
        <w:jc w:val="both"/>
        <w:rPr>
          <w:rFonts w:ascii="Times New Roman" w:eastAsia="Times New Roman" w:hAnsi="Times New Roman" w:cs="Times New Roman"/>
          <w:sz w:val="28"/>
          <w:szCs w:val="28"/>
          <w:lang w:eastAsia="ru-RU"/>
        </w:rPr>
      </w:pPr>
      <w:r w:rsidRPr="004D6877">
        <w:rPr>
          <w:rFonts w:ascii="Times New Roman" w:eastAsia="Times New Roman" w:hAnsi="Times New Roman" w:cs="Times New Roman"/>
          <w:sz w:val="28"/>
          <w:szCs w:val="28"/>
          <w:lang w:eastAsia="ru-RU"/>
        </w:rPr>
        <w:t>ринкових механізмів, оскільки таке питання регулюється виключно нормативно-правовими актами;</w:t>
      </w:r>
    </w:p>
    <w:p w:rsidR="00AF6E5C" w:rsidRPr="004D6877" w:rsidRDefault="00AF6E5C" w:rsidP="00AF6E5C">
      <w:pPr>
        <w:spacing w:after="0"/>
        <w:ind w:firstLine="709"/>
        <w:contextualSpacing/>
        <w:jc w:val="both"/>
        <w:rPr>
          <w:rFonts w:ascii="Times New Roman" w:eastAsia="Times New Roman" w:hAnsi="Times New Roman" w:cs="Times New Roman"/>
          <w:sz w:val="28"/>
          <w:szCs w:val="28"/>
          <w:lang w:eastAsia="ru-RU"/>
        </w:rPr>
      </w:pPr>
      <w:r w:rsidRPr="004D6877">
        <w:rPr>
          <w:rFonts w:ascii="Times New Roman" w:eastAsia="Times New Roman" w:hAnsi="Times New Roman" w:cs="Times New Roman"/>
          <w:sz w:val="28"/>
          <w:szCs w:val="28"/>
          <w:lang w:eastAsia="ru-RU"/>
        </w:rPr>
        <w:t>діючих регуляторних актів, оскільки такі регуляторні акти відсутні.</w:t>
      </w:r>
    </w:p>
    <w:p w:rsidR="00AF6E5C" w:rsidRPr="004D6877" w:rsidRDefault="00AF6E5C" w:rsidP="00AF6E5C">
      <w:pPr>
        <w:widowControl w:val="0"/>
        <w:spacing w:after="0" w:line="240" w:lineRule="auto"/>
        <w:ind w:firstLine="567"/>
        <w:jc w:val="both"/>
        <w:rPr>
          <w:rFonts w:ascii="Times New Roman" w:eastAsia="Calibri" w:hAnsi="Times New Roman" w:cs="Times New Roman"/>
          <w:b/>
          <w:strike/>
          <w:sz w:val="28"/>
          <w:szCs w:val="28"/>
        </w:rPr>
      </w:pPr>
    </w:p>
    <w:p w:rsidR="00AF6E5C" w:rsidRPr="004D6877" w:rsidRDefault="00AF6E5C" w:rsidP="00AF6E5C">
      <w:pPr>
        <w:widowControl w:val="0"/>
        <w:spacing w:after="0" w:line="240" w:lineRule="auto"/>
        <w:ind w:firstLine="709"/>
        <w:jc w:val="center"/>
        <w:rPr>
          <w:rFonts w:ascii="Times New Roman" w:eastAsia="Calibri" w:hAnsi="Times New Roman" w:cs="Times New Roman"/>
          <w:b/>
          <w:sz w:val="28"/>
          <w:szCs w:val="28"/>
        </w:rPr>
      </w:pPr>
      <w:r w:rsidRPr="004D6877">
        <w:rPr>
          <w:rFonts w:ascii="Times New Roman" w:eastAsia="Calibri" w:hAnsi="Times New Roman" w:cs="Times New Roman"/>
          <w:b/>
          <w:sz w:val="28"/>
          <w:szCs w:val="28"/>
        </w:rPr>
        <w:t>II. Цілі державного регулювання</w:t>
      </w:r>
    </w:p>
    <w:p w:rsidR="00AF6E5C" w:rsidRPr="004D6877" w:rsidRDefault="00AF6E5C" w:rsidP="00AF6E5C">
      <w:pPr>
        <w:shd w:val="clear" w:color="auto" w:fill="FFFFFF"/>
        <w:spacing w:before="120" w:after="0" w:line="240" w:lineRule="auto"/>
        <w:ind w:firstLine="709"/>
        <w:jc w:val="both"/>
        <w:rPr>
          <w:rFonts w:ascii="Times New Roman" w:eastAsia="Calibri" w:hAnsi="Times New Roman" w:cs="Times New Roman"/>
          <w:sz w:val="28"/>
          <w:szCs w:val="28"/>
        </w:rPr>
      </w:pPr>
      <w:r w:rsidRPr="004D6877">
        <w:rPr>
          <w:rFonts w:ascii="Times New Roman" w:eastAsia="Calibri" w:hAnsi="Times New Roman" w:cs="Times New Roman"/>
          <w:bCs/>
          <w:sz w:val="28"/>
          <w:szCs w:val="28"/>
        </w:rPr>
        <w:t>Розробка проекту наказу зумовлена необхідністю забезпечення практичного застосування положень</w:t>
      </w:r>
      <w:r w:rsidRPr="004D6877">
        <w:rPr>
          <w:rFonts w:ascii="Times New Roman" w:eastAsia="Calibri" w:hAnsi="Times New Roman" w:cs="Times New Roman"/>
          <w:b/>
          <w:bCs/>
          <w:sz w:val="28"/>
          <w:szCs w:val="28"/>
        </w:rPr>
        <w:t xml:space="preserve"> </w:t>
      </w:r>
      <w:r w:rsidRPr="004D6877">
        <w:rPr>
          <w:rFonts w:ascii="Times New Roman" w:eastAsia="Calibri" w:hAnsi="Times New Roman" w:cs="Times New Roman"/>
          <w:sz w:val="28"/>
          <w:szCs w:val="28"/>
        </w:rPr>
        <w:t xml:space="preserve">Закону № 190, Закону № 559 та постанови № 321 шляхом </w:t>
      </w:r>
      <w:r w:rsidRPr="004D6877">
        <w:rPr>
          <w:rFonts w:ascii="Times New Roman" w:eastAsia="Calibri" w:hAnsi="Times New Roman" w:cs="Times New Roman"/>
          <w:bCs/>
          <w:sz w:val="28"/>
          <w:szCs w:val="28"/>
          <w:lang w:eastAsia="uk-UA"/>
        </w:rPr>
        <w:t xml:space="preserve">нормативного врегулювання порядку обліку </w:t>
      </w:r>
      <w:r w:rsidRPr="004D6877">
        <w:rPr>
          <w:rFonts w:ascii="Times New Roman" w:eastAsia="Calibri" w:hAnsi="Times New Roman" w:cs="Times New Roman"/>
          <w:sz w:val="28"/>
          <w:szCs w:val="28"/>
        </w:rPr>
        <w:t>в інформаційно-телекомунікаційній системі ДПС</w:t>
      </w:r>
      <w:r w:rsidRPr="004D6877">
        <w:rPr>
          <w:rFonts w:ascii="Times New Roman" w:eastAsia="Calibri" w:hAnsi="Times New Roman" w:cs="Times New Roman"/>
          <w:bCs/>
          <w:sz w:val="28"/>
          <w:szCs w:val="28"/>
          <w:lang w:eastAsia="uk-UA"/>
        </w:rPr>
        <w:t xml:space="preserve"> руху коштів, </w:t>
      </w:r>
      <w:r w:rsidRPr="004D6877">
        <w:rPr>
          <w:rFonts w:ascii="Times New Roman" w:eastAsia="Calibri" w:hAnsi="Times New Roman" w:cs="Times New Roman"/>
          <w:sz w:val="28"/>
          <w:szCs w:val="28"/>
        </w:rPr>
        <w:t xml:space="preserve">сплачених </w:t>
      </w:r>
      <w:r w:rsidRPr="004D6877">
        <w:rPr>
          <w:rFonts w:ascii="Times New Roman" w:eastAsia="Calibri" w:hAnsi="Times New Roman" w:cs="Times New Roman"/>
          <w:bCs/>
          <w:sz w:val="28"/>
          <w:szCs w:val="28"/>
          <w:lang w:eastAsia="uk-UA"/>
        </w:rPr>
        <w:t>на єдиний рахунок</w:t>
      </w:r>
      <w:r w:rsidRPr="004D6877">
        <w:rPr>
          <w:rFonts w:ascii="Times New Roman" w:eastAsia="Calibri" w:hAnsi="Times New Roman" w:cs="Times New Roman"/>
          <w:sz w:val="28"/>
          <w:szCs w:val="28"/>
        </w:rPr>
        <w:t>, з використанням інформації, отриманої з Електронного кабінету.</w:t>
      </w:r>
    </w:p>
    <w:p w:rsidR="00AF6E5C" w:rsidRPr="004D6877" w:rsidRDefault="00AF6E5C" w:rsidP="00AF6E5C">
      <w:pPr>
        <w:shd w:val="clear" w:color="auto" w:fill="FFFFFF" w:themeFill="background1"/>
        <w:spacing w:after="0" w:line="240" w:lineRule="auto"/>
        <w:ind w:firstLine="709"/>
        <w:jc w:val="both"/>
        <w:rPr>
          <w:rFonts w:ascii="Times New Roman" w:eastAsia="Calibri" w:hAnsi="Times New Roman" w:cs="Times New Roman"/>
          <w:sz w:val="28"/>
          <w:szCs w:val="28"/>
          <w:lang w:eastAsia="uk-UA"/>
        </w:rPr>
      </w:pPr>
      <w:r w:rsidRPr="004D6877">
        <w:rPr>
          <w:rFonts w:ascii="Times New Roman" w:eastAsia="Calibri" w:hAnsi="Times New Roman" w:cs="Times New Roman"/>
          <w:sz w:val="28"/>
          <w:szCs w:val="28"/>
        </w:rPr>
        <w:t xml:space="preserve">Метою державного регулювання є методологічне забезпечення процесу ведення ДПС обліку руху коштів на єдиному рахунку, кінцевим результатом якого є </w:t>
      </w:r>
      <w:r w:rsidRPr="004D6877">
        <w:rPr>
          <w:rFonts w:ascii="Times New Roman" w:eastAsia="Calibri" w:hAnsi="Times New Roman" w:cs="Times New Roman"/>
          <w:sz w:val="28"/>
          <w:szCs w:val="28"/>
          <w:lang w:eastAsia="uk-UA"/>
        </w:rPr>
        <w:t>своєчасне та в повному обсязі  перерахування коштів, сплачених на</w:t>
      </w:r>
      <w:r w:rsidRPr="004D6877">
        <w:rPr>
          <w:rFonts w:ascii="Times New Roman" w:eastAsia="Calibri" w:hAnsi="Times New Roman" w:cs="Times New Roman"/>
          <w:snapToGrid w:val="0"/>
          <w:sz w:val="28"/>
          <w:szCs w:val="28"/>
        </w:rPr>
        <w:t xml:space="preserve"> єдиний рахунок, на рахунки, відкриті в Казначействі для зарахування надходжень податків, зборів, платежів до державного та/або місцевих бюджетів, єдиного внеску до</w:t>
      </w:r>
      <w:r w:rsidRPr="004D6877">
        <w:rPr>
          <w:rFonts w:ascii="Times New Roman" w:eastAsia="Calibri" w:hAnsi="Times New Roman" w:cs="Times New Roman"/>
          <w:sz w:val="28"/>
          <w:szCs w:val="28"/>
          <w:lang w:eastAsia="uk-UA"/>
        </w:rPr>
        <w:t xml:space="preserve"> бюджету Пенсійного фонду України та фондів загальнообов’язкового державного соціального страхування (далі </w:t>
      </w:r>
      <w:r w:rsidRPr="004D6877">
        <w:rPr>
          <w:rFonts w:ascii="Times New Roman" w:eastAsia="Calibri" w:hAnsi="Times New Roman" w:cs="Times New Roman"/>
          <w:bCs/>
          <w:sz w:val="28"/>
          <w:szCs w:val="28"/>
          <w:lang w:eastAsia="uk-UA"/>
        </w:rPr>
        <w:t>–</w:t>
      </w:r>
      <w:r w:rsidRPr="004D6877">
        <w:rPr>
          <w:rFonts w:ascii="Times New Roman" w:eastAsia="Calibri" w:hAnsi="Times New Roman" w:cs="Times New Roman"/>
          <w:sz w:val="28"/>
          <w:szCs w:val="28"/>
          <w:lang w:eastAsia="uk-UA"/>
        </w:rPr>
        <w:t xml:space="preserve"> цільові страхові фонди), в межах сум </w:t>
      </w:r>
      <w:r w:rsidRPr="004D6877">
        <w:rPr>
          <w:rFonts w:ascii="Times New Roman" w:eastAsia="Calibri" w:hAnsi="Times New Roman" w:cs="Times New Roman"/>
          <w:sz w:val="28"/>
          <w:szCs w:val="28"/>
        </w:rPr>
        <w:t xml:space="preserve">грошових зобов’язання та/або податкового боргу </w:t>
      </w:r>
      <w:r w:rsidRPr="004D6877">
        <w:rPr>
          <w:rFonts w:ascii="Times New Roman" w:eastAsia="Calibri" w:hAnsi="Times New Roman" w:cs="Times New Roman"/>
          <w:sz w:val="28"/>
          <w:szCs w:val="28"/>
        </w:rPr>
        <w:lastRenderedPageBreak/>
        <w:t>(заборгованості) з податків і зборів, єдиного внеску та інших платежів, контроль за справлянням яких покладено на ДПС</w:t>
      </w:r>
      <w:r w:rsidRPr="004D6877">
        <w:rPr>
          <w:rFonts w:ascii="Times New Roman" w:eastAsia="Calibri" w:hAnsi="Times New Roman" w:cs="Times New Roman"/>
          <w:sz w:val="28"/>
          <w:szCs w:val="28"/>
          <w:lang w:eastAsia="uk-UA"/>
        </w:rPr>
        <w:t>.</w:t>
      </w:r>
    </w:p>
    <w:p w:rsidR="00AF6E5C" w:rsidRPr="004D6877" w:rsidRDefault="00AF6E5C" w:rsidP="00AF6E5C">
      <w:pPr>
        <w:widowControl w:val="0"/>
        <w:spacing w:after="0" w:line="240" w:lineRule="auto"/>
        <w:jc w:val="both"/>
        <w:rPr>
          <w:rFonts w:ascii="Times New Roman" w:eastAsia="Calibri" w:hAnsi="Times New Roman" w:cs="Times New Roman"/>
          <w:sz w:val="28"/>
          <w:szCs w:val="28"/>
        </w:rPr>
      </w:pPr>
    </w:p>
    <w:p w:rsidR="00AF6E5C" w:rsidRPr="004D6877" w:rsidRDefault="00AF6E5C" w:rsidP="00AF6E5C">
      <w:pPr>
        <w:widowControl w:val="0"/>
        <w:tabs>
          <w:tab w:val="left" w:pos="284"/>
        </w:tabs>
        <w:spacing w:after="0" w:line="240" w:lineRule="auto"/>
        <w:ind w:firstLine="709"/>
        <w:jc w:val="center"/>
        <w:rPr>
          <w:rFonts w:ascii="Times New Roman" w:eastAsia="Calibri" w:hAnsi="Times New Roman" w:cs="Times New Roman"/>
          <w:b/>
          <w:sz w:val="28"/>
          <w:szCs w:val="28"/>
        </w:rPr>
      </w:pPr>
      <w:r w:rsidRPr="004D6877">
        <w:rPr>
          <w:rFonts w:ascii="Times New Roman" w:eastAsia="Calibri" w:hAnsi="Times New Roman" w:cs="Times New Roman"/>
          <w:b/>
          <w:sz w:val="28"/>
          <w:szCs w:val="28"/>
        </w:rPr>
        <w:t>III. Визначення та оцінка альтернативних способів досягнення цілей</w:t>
      </w:r>
    </w:p>
    <w:p w:rsidR="00AF6E5C" w:rsidRPr="004D6877" w:rsidRDefault="00AF6E5C" w:rsidP="00AF6E5C">
      <w:pPr>
        <w:widowControl w:val="0"/>
        <w:spacing w:before="120" w:after="0" w:line="240" w:lineRule="auto"/>
        <w:ind w:firstLine="709"/>
        <w:jc w:val="both"/>
        <w:rPr>
          <w:rFonts w:ascii="Times New Roman" w:eastAsia="Calibri" w:hAnsi="Times New Roman" w:cs="Times New Roman"/>
          <w:sz w:val="28"/>
          <w:szCs w:val="28"/>
        </w:rPr>
      </w:pPr>
      <w:r w:rsidRPr="004D6877">
        <w:rPr>
          <w:rFonts w:ascii="Times New Roman" w:eastAsia="Calibri" w:hAnsi="Times New Roman" w:cs="Times New Roman"/>
          <w:sz w:val="28"/>
          <w:szCs w:val="28"/>
        </w:rPr>
        <w:t>1. Альтернативні способи досягнення цілей державного регулювання:</w:t>
      </w:r>
    </w:p>
    <w:p w:rsidR="00AF6E5C" w:rsidRPr="004D6877" w:rsidRDefault="00AF6E5C" w:rsidP="00AF6E5C">
      <w:pPr>
        <w:widowControl w:val="0"/>
        <w:spacing w:after="0" w:line="240" w:lineRule="auto"/>
        <w:ind w:firstLine="709"/>
        <w:jc w:val="both"/>
        <w:rPr>
          <w:rFonts w:ascii="Times New Roman" w:eastAsia="Calibri" w:hAnsi="Times New Roman" w:cs="Times New Roman"/>
          <w:sz w:val="28"/>
          <w:szCs w:val="28"/>
        </w:rPr>
      </w:pP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3"/>
        <w:gridCol w:w="7719"/>
      </w:tblGrid>
      <w:tr w:rsidR="004D6877" w:rsidRPr="004D6877" w:rsidTr="00AF6E5C">
        <w:trPr>
          <w:tblCellSpacing w:w="30" w:type="dxa"/>
        </w:trPr>
        <w:tc>
          <w:tcPr>
            <w:tcW w:w="94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F6E5C" w:rsidRPr="004D6877" w:rsidRDefault="00AF6E5C" w:rsidP="00AF6E5C">
            <w:pPr>
              <w:spacing w:before="100" w:beforeAutospacing="1" w:after="100" w:afterAutospacing="1"/>
              <w:contextualSpacing/>
              <w:jc w:val="center"/>
              <w:rPr>
                <w:rFonts w:ascii="Times New Roman" w:eastAsia="Times New Roman" w:hAnsi="Times New Roman" w:cs="Times New Roman"/>
                <w:sz w:val="24"/>
                <w:szCs w:val="24"/>
                <w:lang w:eastAsia="ru-RU"/>
              </w:rPr>
            </w:pPr>
            <w:r w:rsidRPr="004D6877">
              <w:rPr>
                <w:rFonts w:ascii="Times New Roman" w:eastAsia="Times New Roman" w:hAnsi="Times New Roman" w:cs="Times New Roman"/>
                <w:sz w:val="24"/>
                <w:szCs w:val="24"/>
                <w:lang w:eastAsia="ru-RU"/>
              </w:rPr>
              <w:t>Вид альтернативи</w:t>
            </w:r>
          </w:p>
        </w:tc>
        <w:tc>
          <w:tcPr>
            <w:tcW w:w="396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F6E5C" w:rsidRPr="004D6877" w:rsidRDefault="00AF6E5C" w:rsidP="00AF6E5C">
            <w:pPr>
              <w:spacing w:before="100" w:beforeAutospacing="1" w:after="100" w:afterAutospacing="1"/>
              <w:contextualSpacing/>
              <w:jc w:val="center"/>
              <w:rPr>
                <w:rFonts w:ascii="Times New Roman" w:eastAsia="Times New Roman" w:hAnsi="Times New Roman" w:cs="Times New Roman"/>
                <w:sz w:val="24"/>
                <w:szCs w:val="24"/>
                <w:lang w:eastAsia="ru-RU"/>
              </w:rPr>
            </w:pPr>
            <w:r w:rsidRPr="004D6877">
              <w:rPr>
                <w:rFonts w:ascii="Times New Roman" w:eastAsia="Times New Roman" w:hAnsi="Times New Roman" w:cs="Times New Roman"/>
                <w:sz w:val="24"/>
                <w:szCs w:val="24"/>
                <w:lang w:eastAsia="ru-RU"/>
              </w:rPr>
              <w:t>Опис альтернативи</w:t>
            </w:r>
          </w:p>
        </w:tc>
      </w:tr>
      <w:tr w:rsidR="004D6877" w:rsidRPr="004D6877" w:rsidTr="00AF6E5C">
        <w:trPr>
          <w:tblCellSpacing w:w="30" w:type="dxa"/>
        </w:trPr>
        <w:tc>
          <w:tcPr>
            <w:tcW w:w="94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F6E5C" w:rsidRPr="004D6877" w:rsidRDefault="00AF6E5C" w:rsidP="00AF6E5C">
            <w:pPr>
              <w:spacing w:before="100" w:beforeAutospacing="1" w:after="100" w:afterAutospacing="1"/>
              <w:ind w:right="-68"/>
              <w:contextualSpacing/>
              <w:rPr>
                <w:rFonts w:ascii="Times New Roman" w:eastAsia="Times New Roman" w:hAnsi="Times New Roman" w:cs="Times New Roman"/>
                <w:sz w:val="24"/>
                <w:szCs w:val="24"/>
                <w:lang w:eastAsia="ru-RU"/>
              </w:rPr>
            </w:pPr>
            <w:r w:rsidRPr="004D6877">
              <w:rPr>
                <w:rFonts w:ascii="Times New Roman" w:eastAsia="Times New Roman" w:hAnsi="Times New Roman" w:cs="Times New Roman"/>
                <w:sz w:val="24"/>
                <w:szCs w:val="24"/>
                <w:lang w:eastAsia="ru-RU"/>
              </w:rPr>
              <w:t>Альтернатива 1</w:t>
            </w:r>
          </w:p>
        </w:tc>
        <w:tc>
          <w:tcPr>
            <w:tcW w:w="396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F6E5C" w:rsidRPr="004D6877" w:rsidRDefault="00AF6E5C" w:rsidP="00AF6E5C">
            <w:pPr>
              <w:spacing w:after="0" w:line="240" w:lineRule="auto"/>
              <w:jc w:val="both"/>
              <w:rPr>
                <w:rFonts w:ascii="Times New Roman" w:eastAsia="Times New Roman" w:hAnsi="Times New Roman" w:cs="Times New Roman"/>
                <w:sz w:val="24"/>
                <w:szCs w:val="24"/>
                <w:lang w:eastAsia="uk-UA"/>
              </w:rPr>
            </w:pPr>
            <w:r w:rsidRPr="004D6877">
              <w:rPr>
                <w:rFonts w:ascii="Times New Roman" w:eastAsia="Times New Roman" w:hAnsi="Times New Roman" w:cs="Times New Roman"/>
                <w:sz w:val="24"/>
                <w:szCs w:val="24"/>
                <w:lang w:eastAsia="uk-UA"/>
              </w:rPr>
              <w:t>Затвердити розроблений проект наказу, що дозволить вирішити питання, визначені в розділі І та досягнути цілей, визначених у розділі ІІ. Запропонований спосіб є найбільш доцільним, оскільки забезпечить належне правове врегулювання  відповідним нормативно-правовим актом питань щодо обліку коштів, сплачених платниками на єдиний рахунок, та перерахованих коштів з єдиного рахунку до відповідного бюджету.</w:t>
            </w:r>
          </w:p>
        </w:tc>
      </w:tr>
      <w:tr w:rsidR="004D6877" w:rsidRPr="004D6877" w:rsidTr="00AF6E5C">
        <w:trPr>
          <w:tblCellSpacing w:w="30" w:type="dxa"/>
        </w:trPr>
        <w:tc>
          <w:tcPr>
            <w:tcW w:w="94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F6E5C" w:rsidRPr="004D6877" w:rsidRDefault="00AF6E5C" w:rsidP="00AF6E5C">
            <w:pPr>
              <w:spacing w:before="100" w:beforeAutospacing="1" w:after="100" w:afterAutospacing="1"/>
              <w:ind w:right="-67"/>
              <w:contextualSpacing/>
              <w:rPr>
                <w:rFonts w:ascii="Times New Roman" w:eastAsia="Times New Roman" w:hAnsi="Times New Roman" w:cs="Times New Roman"/>
                <w:sz w:val="24"/>
                <w:szCs w:val="24"/>
                <w:lang w:eastAsia="ru-RU"/>
              </w:rPr>
            </w:pPr>
            <w:r w:rsidRPr="004D6877">
              <w:rPr>
                <w:rFonts w:ascii="Times New Roman" w:eastAsia="Times New Roman" w:hAnsi="Times New Roman" w:cs="Times New Roman"/>
                <w:sz w:val="24"/>
                <w:szCs w:val="24"/>
                <w:lang w:eastAsia="ru-RU"/>
              </w:rPr>
              <w:t>Альтернатива 2</w:t>
            </w:r>
          </w:p>
        </w:tc>
        <w:tc>
          <w:tcPr>
            <w:tcW w:w="396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F6E5C" w:rsidRPr="004D6877" w:rsidRDefault="00AF6E5C" w:rsidP="00AF6E5C">
            <w:pPr>
              <w:spacing w:after="0"/>
              <w:contextualSpacing/>
              <w:jc w:val="both"/>
              <w:rPr>
                <w:rFonts w:ascii="Times New Roman" w:eastAsia="Times New Roman" w:hAnsi="Times New Roman" w:cs="Times New Roman"/>
                <w:sz w:val="24"/>
                <w:szCs w:val="24"/>
                <w:lang w:eastAsia="ru-RU"/>
              </w:rPr>
            </w:pPr>
            <w:r w:rsidRPr="004D6877">
              <w:rPr>
                <w:rFonts w:ascii="Times New Roman" w:eastAsia="Times New Roman" w:hAnsi="Times New Roman" w:cs="Times New Roman"/>
                <w:sz w:val="24"/>
                <w:szCs w:val="24"/>
                <w:lang w:eastAsia="ru-RU"/>
              </w:rPr>
              <w:t>Не затверджувати проект наказу.</w:t>
            </w:r>
          </w:p>
        </w:tc>
      </w:tr>
    </w:tbl>
    <w:p w:rsidR="00AF6E5C" w:rsidRPr="004D6877" w:rsidRDefault="00AF6E5C" w:rsidP="00AF6E5C">
      <w:pPr>
        <w:spacing w:after="0"/>
        <w:ind w:firstLine="709"/>
        <w:contextualSpacing/>
        <w:jc w:val="both"/>
        <w:rPr>
          <w:rFonts w:ascii="Times New Roman" w:eastAsia="Times New Roman" w:hAnsi="Times New Roman" w:cs="Times New Roman"/>
          <w:sz w:val="28"/>
          <w:szCs w:val="28"/>
          <w:lang w:eastAsia="ru-RU"/>
        </w:rPr>
      </w:pPr>
      <w:r w:rsidRPr="004D6877">
        <w:rPr>
          <w:rFonts w:ascii="Times New Roman" w:eastAsia="Times New Roman" w:hAnsi="Times New Roman" w:cs="Times New Roman"/>
          <w:sz w:val="28"/>
          <w:szCs w:val="28"/>
          <w:lang w:eastAsia="ru-RU"/>
        </w:rPr>
        <w:t>Інших альтернативних способів досягнення основної мети, ніж прийняття проекту наказу, не існує.</w:t>
      </w:r>
    </w:p>
    <w:p w:rsidR="00AF6E5C" w:rsidRPr="004D6877" w:rsidRDefault="00AF6E5C" w:rsidP="00AF6E5C">
      <w:pPr>
        <w:widowControl w:val="0"/>
        <w:spacing w:after="0" w:line="240" w:lineRule="auto"/>
        <w:ind w:firstLine="709"/>
        <w:jc w:val="both"/>
        <w:rPr>
          <w:rFonts w:ascii="Times New Roman" w:eastAsia="Calibri" w:hAnsi="Times New Roman" w:cs="Times New Roman"/>
          <w:sz w:val="28"/>
          <w:szCs w:val="28"/>
        </w:rPr>
      </w:pPr>
    </w:p>
    <w:p w:rsidR="00AF6E5C" w:rsidRPr="004D6877" w:rsidRDefault="00AF6E5C" w:rsidP="00AF6E5C">
      <w:pPr>
        <w:widowControl w:val="0"/>
        <w:spacing w:after="0" w:line="240" w:lineRule="auto"/>
        <w:ind w:firstLine="709"/>
        <w:jc w:val="both"/>
        <w:rPr>
          <w:rFonts w:ascii="Times New Roman" w:eastAsia="Calibri" w:hAnsi="Times New Roman" w:cs="Times New Roman"/>
          <w:sz w:val="28"/>
          <w:szCs w:val="28"/>
        </w:rPr>
      </w:pPr>
      <w:r w:rsidRPr="004D6877">
        <w:rPr>
          <w:rFonts w:ascii="Times New Roman" w:eastAsia="Calibri" w:hAnsi="Times New Roman" w:cs="Times New Roman"/>
          <w:sz w:val="28"/>
          <w:szCs w:val="28"/>
        </w:rPr>
        <w:t>2. Оцінка впливу на сферу інтересів держави</w:t>
      </w:r>
    </w:p>
    <w:p w:rsidR="00AF6E5C" w:rsidRPr="004D6877" w:rsidRDefault="00AF6E5C" w:rsidP="00AF6E5C">
      <w:pPr>
        <w:widowControl w:val="0"/>
        <w:spacing w:after="0" w:line="240" w:lineRule="auto"/>
        <w:ind w:firstLine="567"/>
        <w:jc w:val="both"/>
        <w:rPr>
          <w:rFonts w:ascii="Times New Roman" w:eastAsia="Calibri" w:hAnsi="Times New Roman" w:cs="Times New Roman"/>
          <w:sz w:val="28"/>
          <w:szCs w:val="28"/>
        </w:rPr>
      </w:pPr>
    </w:p>
    <w:tbl>
      <w:tblPr>
        <w:tblStyle w:val="21"/>
        <w:tblW w:w="0" w:type="auto"/>
        <w:tblLook w:val="04A0" w:firstRow="1" w:lastRow="0" w:firstColumn="1" w:lastColumn="0" w:noHBand="0" w:noVBand="1"/>
      </w:tblPr>
      <w:tblGrid>
        <w:gridCol w:w="1930"/>
        <w:gridCol w:w="4514"/>
        <w:gridCol w:w="3184"/>
      </w:tblGrid>
      <w:tr w:rsidR="004D6877" w:rsidRPr="004D6877" w:rsidTr="00AF6E5C">
        <w:tc>
          <w:tcPr>
            <w:tcW w:w="1951" w:type="dxa"/>
            <w:tcBorders>
              <w:top w:val="single" w:sz="4" w:space="0" w:color="auto"/>
              <w:left w:val="single" w:sz="4" w:space="0" w:color="auto"/>
              <w:bottom w:val="single" w:sz="4" w:space="0" w:color="auto"/>
              <w:right w:val="single" w:sz="4" w:space="0" w:color="auto"/>
            </w:tcBorders>
            <w:hideMark/>
          </w:tcPr>
          <w:p w:rsidR="00AF6E5C" w:rsidRPr="004D6877" w:rsidRDefault="00AF6E5C" w:rsidP="00AF6E5C">
            <w:pPr>
              <w:widowControl w:val="0"/>
              <w:jc w:val="center"/>
              <w:rPr>
                <w:rFonts w:eastAsia="Calibri"/>
                <w:sz w:val="28"/>
                <w:szCs w:val="28"/>
                <w:lang w:val="ru-RU" w:eastAsia="ru-RU"/>
              </w:rPr>
            </w:pPr>
            <w:r w:rsidRPr="004D6877">
              <w:rPr>
                <w:rFonts w:eastAsia="Calibri"/>
                <w:sz w:val="24"/>
                <w:szCs w:val="24"/>
                <w:lang w:eastAsia="ru-RU"/>
              </w:rPr>
              <w:t>Вид альтернативи</w:t>
            </w:r>
          </w:p>
        </w:tc>
        <w:tc>
          <w:tcPr>
            <w:tcW w:w="4536" w:type="dxa"/>
            <w:tcBorders>
              <w:top w:val="single" w:sz="4" w:space="0" w:color="auto"/>
              <w:left w:val="single" w:sz="4" w:space="0" w:color="auto"/>
              <w:bottom w:val="single" w:sz="4" w:space="0" w:color="auto"/>
              <w:right w:val="single" w:sz="4" w:space="0" w:color="auto"/>
            </w:tcBorders>
            <w:vAlign w:val="center"/>
            <w:hideMark/>
          </w:tcPr>
          <w:p w:rsidR="00AF6E5C" w:rsidRPr="004D6877" w:rsidRDefault="00AF6E5C" w:rsidP="00AF6E5C">
            <w:pPr>
              <w:widowControl w:val="0"/>
              <w:jc w:val="center"/>
              <w:rPr>
                <w:rFonts w:eastAsia="Calibri"/>
                <w:sz w:val="28"/>
                <w:szCs w:val="28"/>
                <w:lang w:val="ru-RU" w:eastAsia="ru-RU"/>
              </w:rPr>
            </w:pPr>
            <w:r w:rsidRPr="004D6877">
              <w:rPr>
                <w:rFonts w:eastAsia="Calibri"/>
                <w:sz w:val="24"/>
                <w:szCs w:val="24"/>
                <w:lang w:eastAsia="ru-RU"/>
              </w:rPr>
              <w:t>Вигоди</w:t>
            </w:r>
          </w:p>
        </w:tc>
        <w:tc>
          <w:tcPr>
            <w:tcW w:w="3367" w:type="dxa"/>
            <w:tcBorders>
              <w:top w:val="single" w:sz="4" w:space="0" w:color="auto"/>
              <w:left w:val="single" w:sz="4" w:space="0" w:color="auto"/>
              <w:bottom w:val="single" w:sz="4" w:space="0" w:color="auto"/>
              <w:right w:val="single" w:sz="4" w:space="0" w:color="auto"/>
            </w:tcBorders>
            <w:vAlign w:val="center"/>
            <w:hideMark/>
          </w:tcPr>
          <w:p w:rsidR="00AF6E5C" w:rsidRPr="004D6877" w:rsidRDefault="00AF6E5C" w:rsidP="00AF6E5C">
            <w:pPr>
              <w:widowControl w:val="0"/>
              <w:jc w:val="center"/>
              <w:rPr>
                <w:rFonts w:eastAsia="Calibri"/>
                <w:sz w:val="28"/>
                <w:szCs w:val="28"/>
                <w:lang w:val="ru-RU" w:eastAsia="ru-RU"/>
              </w:rPr>
            </w:pPr>
            <w:r w:rsidRPr="004D6877">
              <w:rPr>
                <w:rFonts w:eastAsia="Calibri"/>
                <w:sz w:val="24"/>
                <w:szCs w:val="24"/>
                <w:lang w:eastAsia="ru-RU"/>
              </w:rPr>
              <w:t>Витрати</w:t>
            </w:r>
          </w:p>
        </w:tc>
      </w:tr>
      <w:tr w:rsidR="004D6877" w:rsidRPr="004D6877" w:rsidTr="00AF6E5C">
        <w:tc>
          <w:tcPr>
            <w:tcW w:w="1951" w:type="dxa"/>
            <w:tcBorders>
              <w:top w:val="single" w:sz="4" w:space="0" w:color="auto"/>
              <w:left w:val="single" w:sz="4" w:space="0" w:color="auto"/>
              <w:bottom w:val="single" w:sz="4" w:space="0" w:color="auto"/>
              <w:right w:val="single" w:sz="4" w:space="0" w:color="auto"/>
            </w:tcBorders>
          </w:tcPr>
          <w:p w:rsidR="00AF6E5C" w:rsidRPr="004D6877" w:rsidRDefault="00AF6E5C" w:rsidP="00AF6E5C">
            <w:pPr>
              <w:widowControl w:val="0"/>
              <w:jc w:val="both"/>
              <w:rPr>
                <w:rFonts w:eastAsia="Calibri"/>
                <w:sz w:val="24"/>
                <w:szCs w:val="24"/>
                <w:lang w:eastAsia="ru-RU"/>
              </w:rPr>
            </w:pPr>
            <w:r w:rsidRPr="004D6877">
              <w:rPr>
                <w:rFonts w:eastAsia="Calibri"/>
                <w:sz w:val="24"/>
                <w:szCs w:val="24"/>
                <w:lang w:eastAsia="ru-RU"/>
              </w:rPr>
              <w:t>Альтернатива 1</w:t>
            </w:r>
          </w:p>
          <w:p w:rsidR="00AF6E5C" w:rsidRPr="004D6877" w:rsidRDefault="00AF6E5C" w:rsidP="00AF6E5C">
            <w:pPr>
              <w:widowControl w:val="0"/>
              <w:jc w:val="both"/>
              <w:rPr>
                <w:rFonts w:eastAsia="Calibri"/>
                <w:sz w:val="24"/>
                <w:szCs w:val="24"/>
                <w:lang w:val="ru-RU" w:eastAsia="ru-RU"/>
              </w:rPr>
            </w:pPr>
          </w:p>
        </w:tc>
        <w:tc>
          <w:tcPr>
            <w:tcW w:w="4536" w:type="dxa"/>
            <w:tcBorders>
              <w:top w:val="single" w:sz="4" w:space="0" w:color="auto"/>
              <w:left w:val="single" w:sz="4" w:space="0" w:color="auto"/>
              <w:bottom w:val="single" w:sz="4" w:space="0" w:color="auto"/>
              <w:right w:val="single" w:sz="4" w:space="0" w:color="auto"/>
            </w:tcBorders>
            <w:hideMark/>
          </w:tcPr>
          <w:p w:rsidR="00AF6E5C" w:rsidRPr="004D6877" w:rsidRDefault="00AF6E5C" w:rsidP="00AF6E5C">
            <w:pPr>
              <w:widowControl w:val="0"/>
              <w:jc w:val="both"/>
              <w:rPr>
                <w:rFonts w:eastAsia="Calibri"/>
                <w:sz w:val="24"/>
                <w:szCs w:val="24"/>
                <w:lang w:eastAsia="ru-RU"/>
              </w:rPr>
            </w:pPr>
            <w:r w:rsidRPr="004D6877">
              <w:rPr>
                <w:rFonts w:eastAsia="Calibri"/>
                <w:sz w:val="24"/>
                <w:szCs w:val="24"/>
                <w:lang w:eastAsia="ru-RU"/>
              </w:rPr>
              <w:t>У разі прийняття проекту наказу буде:</w:t>
            </w:r>
          </w:p>
          <w:p w:rsidR="00AF6E5C" w:rsidRPr="004D6877" w:rsidRDefault="00AF6E5C" w:rsidP="00AF6E5C">
            <w:pPr>
              <w:ind w:firstLine="237"/>
              <w:jc w:val="both"/>
              <w:rPr>
                <w:rFonts w:eastAsia="Calibri"/>
                <w:sz w:val="24"/>
                <w:szCs w:val="24"/>
                <w:highlight w:val="yellow"/>
              </w:rPr>
            </w:pPr>
            <w:r w:rsidRPr="004D6877">
              <w:rPr>
                <w:rFonts w:eastAsia="Calibri"/>
                <w:sz w:val="24"/>
                <w:szCs w:val="24"/>
              </w:rPr>
              <w:t xml:space="preserve">створено умови для реалізації на практиці спрощеної процедури розрахунків платників з державним та/або місцевими бюджетами та цільовими страховими фондами; </w:t>
            </w:r>
          </w:p>
          <w:p w:rsidR="00AF6E5C" w:rsidRPr="004D6877" w:rsidRDefault="00AF6E5C" w:rsidP="00AF6E5C">
            <w:pPr>
              <w:keepNext/>
              <w:widowControl w:val="0"/>
              <w:tabs>
                <w:tab w:val="left" w:pos="0"/>
              </w:tabs>
              <w:jc w:val="both"/>
              <w:outlineLvl w:val="2"/>
              <w:rPr>
                <w:sz w:val="24"/>
                <w:szCs w:val="24"/>
                <w:lang w:eastAsia="ru-RU"/>
              </w:rPr>
            </w:pPr>
            <w:r w:rsidRPr="004D6877">
              <w:rPr>
                <w:sz w:val="24"/>
                <w:szCs w:val="24"/>
                <w:lang w:eastAsia="ru-RU"/>
              </w:rPr>
              <w:t xml:space="preserve">    встановлено правила ведення ДПС обліку коштів, сплачених платниками на єдиний рахунок, встановлено механізм опрацювання ДПС інформації Казначейства про рух коштів на єдиному рахунку та її відображення в єдиній картці платників;</w:t>
            </w:r>
          </w:p>
          <w:p w:rsidR="00AF6E5C" w:rsidRPr="004D6877" w:rsidRDefault="00AF6E5C" w:rsidP="00AF6E5C">
            <w:pPr>
              <w:jc w:val="both"/>
              <w:rPr>
                <w:rFonts w:eastAsia="Calibri"/>
                <w:sz w:val="24"/>
                <w:szCs w:val="24"/>
                <w:lang w:eastAsia="ru-RU"/>
              </w:rPr>
            </w:pPr>
            <w:r w:rsidRPr="004D6877">
              <w:rPr>
                <w:rFonts w:eastAsia="Calibri"/>
                <w:sz w:val="24"/>
                <w:szCs w:val="24"/>
              </w:rPr>
              <w:t xml:space="preserve">    </w:t>
            </w:r>
            <w:r w:rsidRPr="004D6877">
              <w:rPr>
                <w:rFonts w:eastAsia="Calibri"/>
                <w:sz w:val="24"/>
                <w:szCs w:val="24"/>
                <w:lang w:eastAsia="ru-RU"/>
              </w:rPr>
              <w:t>визначено переліки документів та включені до них показники, які формуються/генеруються ДПС на кожному з етапів процесу ведення обліку руху коштів на єдиному рахунку;</w:t>
            </w:r>
          </w:p>
          <w:p w:rsidR="00AF6E5C" w:rsidRPr="004D6877" w:rsidRDefault="00AF6E5C" w:rsidP="00AF6E5C">
            <w:pPr>
              <w:jc w:val="both"/>
              <w:rPr>
                <w:rFonts w:eastAsia="Calibri"/>
                <w:sz w:val="24"/>
                <w:szCs w:val="24"/>
                <w:lang w:eastAsia="ru-RU"/>
              </w:rPr>
            </w:pPr>
            <w:r w:rsidRPr="004D6877">
              <w:rPr>
                <w:rFonts w:eastAsia="Calibri"/>
                <w:sz w:val="24"/>
                <w:szCs w:val="24"/>
                <w:lang w:eastAsia="ru-RU"/>
              </w:rPr>
              <w:t xml:space="preserve">    врегульовано порядок та регламент формування/генерування/підтвердження  відповідних документів </w:t>
            </w:r>
            <w:r w:rsidRPr="004D6877">
              <w:rPr>
                <w:rFonts w:eastAsia="Calibri"/>
                <w:sz w:val="24"/>
                <w:szCs w:val="24"/>
              </w:rPr>
              <w:t>структурних підрозділів територіальних органів ДПС/ДПС за функціональними напрямами роботи;</w:t>
            </w:r>
          </w:p>
          <w:p w:rsidR="00AF6E5C" w:rsidRPr="004D6877" w:rsidRDefault="00AF6E5C" w:rsidP="00AF6E5C">
            <w:pPr>
              <w:jc w:val="both"/>
              <w:rPr>
                <w:rFonts w:eastAsia="Calibri"/>
                <w:sz w:val="24"/>
                <w:szCs w:val="24"/>
              </w:rPr>
            </w:pPr>
            <w:r w:rsidRPr="004D6877">
              <w:rPr>
                <w:rFonts w:eastAsia="Calibri"/>
                <w:sz w:val="24"/>
                <w:szCs w:val="24"/>
              </w:rPr>
              <w:lastRenderedPageBreak/>
              <w:t xml:space="preserve">   забезпечено методологічне підґрунтя для своєчасного та в повному обсязі перерахування коштів, сплачених платниками на єдиний рахунок, з єдиного рахунку на бюджетні/небюджетні рахунки в межах сум грошових зобов’язання та/або податкового боргу (заборгованості) з податків і зборів, єдиного внеску та інших платежів, контроль за справлянням яких покладено на ДПС;</w:t>
            </w:r>
          </w:p>
          <w:p w:rsidR="00AF6E5C" w:rsidRPr="004D6877" w:rsidRDefault="00AF6E5C" w:rsidP="00AF6E5C">
            <w:pPr>
              <w:jc w:val="both"/>
              <w:rPr>
                <w:rFonts w:eastAsia="Calibri"/>
                <w:sz w:val="24"/>
                <w:szCs w:val="24"/>
              </w:rPr>
            </w:pPr>
            <w:r w:rsidRPr="004D6877">
              <w:rPr>
                <w:rFonts w:eastAsia="Calibri"/>
                <w:sz w:val="24"/>
                <w:szCs w:val="24"/>
              </w:rPr>
              <w:t xml:space="preserve">    створено умови для мінімізації випадків помилкової сплати податків і зборів, єдиного внеску та інших платежів, контроль за справлянням яких покладено на ДПС, на бюджетні/небюджетні рахунки та як наслідок для скорочення витрат людського ресурсу ДПС, Казначейства та інших відповідних органів на здійснення повернення коштів платникам;</w:t>
            </w:r>
          </w:p>
          <w:p w:rsidR="00AF6E5C" w:rsidRPr="004D6877" w:rsidRDefault="00AF6E5C" w:rsidP="00AF6E5C">
            <w:pPr>
              <w:autoSpaceDE w:val="0"/>
              <w:autoSpaceDN w:val="0"/>
              <w:jc w:val="both"/>
              <w:rPr>
                <w:rFonts w:eastAsia="Calibri"/>
                <w:sz w:val="24"/>
                <w:szCs w:val="24"/>
                <w:lang w:eastAsia="ru-RU"/>
              </w:rPr>
            </w:pPr>
            <w:r w:rsidRPr="004D6877">
              <w:rPr>
                <w:rFonts w:eastAsia="Calibri"/>
                <w:sz w:val="24"/>
                <w:szCs w:val="24"/>
                <w:lang w:eastAsia="ru-RU"/>
              </w:rPr>
              <w:t xml:space="preserve">  забезпечено розширення переліку електронних послуг, які надаються ДПС платникам в Електронному кабінеті,  підвищення рівня довіри платників до ДПС та покращення показників результативності, ефективності, відкритості і прозорості діяльності ДПС.</w:t>
            </w:r>
          </w:p>
        </w:tc>
        <w:tc>
          <w:tcPr>
            <w:tcW w:w="3367" w:type="dxa"/>
            <w:tcBorders>
              <w:top w:val="single" w:sz="4" w:space="0" w:color="auto"/>
              <w:left w:val="single" w:sz="4" w:space="0" w:color="auto"/>
              <w:bottom w:val="single" w:sz="4" w:space="0" w:color="auto"/>
              <w:right w:val="single" w:sz="4" w:space="0" w:color="auto"/>
            </w:tcBorders>
          </w:tcPr>
          <w:p w:rsidR="00AF6E5C" w:rsidRPr="004D6877" w:rsidRDefault="00AF6E5C" w:rsidP="00AF6E5C">
            <w:pPr>
              <w:spacing w:before="100" w:beforeAutospacing="1" w:after="100" w:afterAutospacing="1"/>
              <w:ind w:hanging="7"/>
              <w:jc w:val="both"/>
              <w:rPr>
                <w:rFonts w:eastAsia="Calibri"/>
                <w:sz w:val="24"/>
                <w:szCs w:val="24"/>
              </w:rPr>
            </w:pPr>
            <w:r w:rsidRPr="004D6877">
              <w:rPr>
                <w:rFonts w:eastAsia="Calibri"/>
                <w:sz w:val="24"/>
                <w:szCs w:val="24"/>
              </w:rPr>
              <w:lastRenderedPageBreak/>
              <w:t>Витрати, пов’язані з необхідністю доопрацювання програмного забезпечення, здійснюватимуться в межах фінансування ДПС без залучення додаткових людських ресурсів.</w:t>
            </w:r>
          </w:p>
          <w:p w:rsidR="00AF6E5C" w:rsidRPr="004D6877" w:rsidRDefault="00AF6E5C" w:rsidP="00AF6E5C">
            <w:pPr>
              <w:widowControl w:val="0"/>
              <w:autoSpaceDE w:val="0"/>
              <w:autoSpaceDN w:val="0"/>
              <w:adjustRightInd w:val="0"/>
              <w:ind w:firstLine="225"/>
              <w:jc w:val="both"/>
              <w:rPr>
                <w:rFonts w:eastAsia="Calibri"/>
                <w:sz w:val="23"/>
                <w:szCs w:val="23"/>
                <w:lang w:eastAsia="ru-RU"/>
              </w:rPr>
            </w:pPr>
          </w:p>
        </w:tc>
      </w:tr>
      <w:tr w:rsidR="00AF6E5C" w:rsidRPr="004D6877" w:rsidTr="00AF6E5C">
        <w:trPr>
          <w:trHeight w:val="60"/>
        </w:trPr>
        <w:tc>
          <w:tcPr>
            <w:tcW w:w="1951" w:type="dxa"/>
            <w:tcBorders>
              <w:top w:val="single" w:sz="4" w:space="0" w:color="auto"/>
              <w:left w:val="single" w:sz="4" w:space="0" w:color="auto"/>
              <w:bottom w:val="single" w:sz="4" w:space="0" w:color="auto"/>
              <w:right w:val="single" w:sz="4" w:space="0" w:color="auto"/>
            </w:tcBorders>
            <w:hideMark/>
          </w:tcPr>
          <w:p w:rsidR="00AF6E5C" w:rsidRPr="004D6877" w:rsidRDefault="00AF6E5C" w:rsidP="00AF6E5C">
            <w:pPr>
              <w:widowControl w:val="0"/>
              <w:jc w:val="both"/>
              <w:rPr>
                <w:rFonts w:eastAsia="Calibri"/>
                <w:sz w:val="24"/>
                <w:szCs w:val="24"/>
                <w:lang w:eastAsia="ru-RU"/>
              </w:rPr>
            </w:pPr>
            <w:r w:rsidRPr="004D6877">
              <w:rPr>
                <w:rFonts w:eastAsia="Calibri"/>
                <w:sz w:val="24"/>
                <w:szCs w:val="24"/>
                <w:lang w:eastAsia="ru-RU"/>
              </w:rPr>
              <w:t>Альтернатива </w:t>
            </w:r>
            <w:r w:rsidRPr="004D6877">
              <w:rPr>
                <w:rFonts w:eastAsia="Calibri"/>
                <w:sz w:val="24"/>
                <w:szCs w:val="24"/>
                <w:lang w:val="en-US" w:eastAsia="ru-RU"/>
              </w:rPr>
              <w:t>2</w:t>
            </w:r>
          </w:p>
        </w:tc>
        <w:tc>
          <w:tcPr>
            <w:tcW w:w="4536" w:type="dxa"/>
            <w:tcBorders>
              <w:top w:val="single" w:sz="4" w:space="0" w:color="auto"/>
              <w:left w:val="single" w:sz="4" w:space="0" w:color="auto"/>
              <w:bottom w:val="single" w:sz="4" w:space="0" w:color="auto"/>
              <w:right w:val="single" w:sz="4" w:space="0" w:color="auto"/>
            </w:tcBorders>
            <w:hideMark/>
          </w:tcPr>
          <w:p w:rsidR="00AF6E5C" w:rsidRPr="004D6877" w:rsidRDefault="00AF6E5C" w:rsidP="00AF6E5C">
            <w:pPr>
              <w:widowControl w:val="0"/>
              <w:jc w:val="both"/>
              <w:rPr>
                <w:rFonts w:eastAsia="Calibri"/>
                <w:sz w:val="23"/>
                <w:szCs w:val="23"/>
                <w:lang w:eastAsia="ru-RU"/>
              </w:rPr>
            </w:pPr>
            <w:r w:rsidRPr="004D6877">
              <w:rPr>
                <w:rFonts w:eastAsia="Calibri"/>
                <w:sz w:val="24"/>
                <w:szCs w:val="24"/>
                <w:lang w:eastAsia="ru-RU"/>
              </w:rPr>
              <w:t>Вигоди відсутні.</w:t>
            </w:r>
          </w:p>
        </w:tc>
        <w:tc>
          <w:tcPr>
            <w:tcW w:w="3367" w:type="dxa"/>
            <w:tcBorders>
              <w:top w:val="single" w:sz="4" w:space="0" w:color="auto"/>
              <w:left w:val="single" w:sz="4" w:space="0" w:color="auto"/>
              <w:bottom w:val="single" w:sz="4" w:space="0" w:color="auto"/>
              <w:right w:val="single" w:sz="4" w:space="0" w:color="auto"/>
            </w:tcBorders>
            <w:hideMark/>
          </w:tcPr>
          <w:p w:rsidR="00AF6E5C" w:rsidRPr="004D6877" w:rsidRDefault="00AF6E5C" w:rsidP="00AF6E5C">
            <w:pPr>
              <w:widowControl w:val="0"/>
              <w:jc w:val="both"/>
              <w:rPr>
                <w:rFonts w:eastAsia="Calibri"/>
                <w:sz w:val="24"/>
                <w:szCs w:val="24"/>
                <w:lang w:eastAsia="ru-RU"/>
              </w:rPr>
            </w:pPr>
            <w:r w:rsidRPr="004D6877">
              <w:rPr>
                <w:rFonts w:eastAsia="Calibri"/>
                <w:sz w:val="24"/>
                <w:szCs w:val="24"/>
                <w:lang w:eastAsia="ru-RU"/>
              </w:rPr>
              <w:t>Витрати відсутні.</w:t>
            </w:r>
          </w:p>
        </w:tc>
      </w:tr>
    </w:tbl>
    <w:p w:rsidR="00AF6E5C" w:rsidRPr="004D6877" w:rsidRDefault="00AF6E5C" w:rsidP="00AF6E5C">
      <w:pPr>
        <w:widowControl w:val="0"/>
        <w:spacing w:after="0" w:line="240" w:lineRule="auto"/>
        <w:ind w:firstLine="567"/>
        <w:jc w:val="both"/>
        <w:rPr>
          <w:rFonts w:ascii="Times New Roman" w:eastAsia="Calibri" w:hAnsi="Times New Roman" w:cs="Times New Roman"/>
          <w:sz w:val="28"/>
          <w:szCs w:val="28"/>
        </w:rPr>
      </w:pPr>
    </w:p>
    <w:p w:rsidR="00AF6E5C" w:rsidRPr="004D6877" w:rsidRDefault="00AF6E5C" w:rsidP="00AF6E5C">
      <w:pPr>
        <w:spacing w:after="0"/>
        <w:ind w:firstLine="709"/>
        <w:contextualSpacing/>
        <w:jc w:val="both"/>
        <w:rPr>
          <w:rFonts w:ascii="Times New Roman" w:eastAsia="Times New Roman" w:hAnsi="Times New Roman" w:cs="Times New Roman"/>
          <w:sz w:val="28"/>
          <w:szCs w:val="28"/>
          <w:lang w:eastAsia="ru-RU"/>
        </w:rPr>
      </w:pPr>
      <w:r w:rsidRPr="004D6877">
        <w:rPr>
          <w:rFonts w:ascii="Times New Roman" w:eastAsia="Times New Roman" w:hAnsi="Times New Roman" w:cs="Times New Roman"/>
          <w:sz w:val="28"/>
          <w:szCs w:val="28"/>
          <w:lang w:eastAsia="ru-RU"/>
        </w:rPr>
        <w:t>3. Оцінка впливу на сферу інтересів громадян.</w:t>
      </w:r>
    </w:p>
    <w:p w:rsidR="00AF6E5C" w:rsidRPr="004D6877" w:rsidRDefault="00AF6E5C" w:rsidP="00AF6E5C">
      <w:pPr>
        <w:widowControl w:val="0"/>
        <w:spacing w:before="120" w:after="0" w:line="240" w:lineRule="auto"/>
        <w:ind w:firstLine="709"/>
        <w:jc w:val="both"/>
        <w:rPr>
          <w:rFonts w:ascii="Times New Roman" w:eastAsia="Calibri" w:hAnsi="Times New Roman" w:cs="Times New Roman"/>
          <w:sz w:val="28"/>
          <w:szCs w:val="28"/>
        </w:rPr>
      </w:pPr>
      <w:r w:rsidRPr="004D6877">
        <w:rPr>
          <w:rFonts w:ascii="Times New Roman" w:eastAsia="Calibri" w:hAnsi="Times New Roman" w:cs="Times New Roman"/>
          <w:sz w:val="28"/>
          <w:szCs w:val="28"/>
        </w:rPr>
        <w:t>Кількість громадян, на яких може поширюватися дія цього регуляторного акта, теоретично відповідає кількості платників - громадян, які перебувають на обліку в ДПС.</w:t>
      </w:r>
    </w:p>
    <w:p w:rsidR="00AF6E5C" w:rsidRPr="004D6877" w:rsidRDefault="00AF6E5C" w:rsidP="00AF6E5C">
      <w:pPr>
        <w:spacing w:after="0"/>
        <w:ind w:firstLine="709"/>
        <w:contextualSpacing/>
        <w:jc w:val="both"/>
        <w:rPr>
          <w:rFonts w:ascii="Times New Roman" w:eastAsia="Times New Roman" w:hAnsi="Times New Roman" w:cs="Times New Roman"/>
          <w:sz w:val="28"/>
          <w:szCs w:val="28"/>
          <w:lang w:eastAsia="ru-RU"/>
        </w:rPr>
      </w:pPr>
      <w:r w:rsidRPr="004D6877">
        <w:rPr>
          <w:rFonts w:ascii="Times New Roman" w:eastAsia="Times New Roman" w:hAnsi="Times New Roman" w:cs="Times New Roman"/>
          <w:sz w:val="28"/>
          <w:szCs w:val="28"/>
          <w:lang w:eastAsia="ru-RU"/>
        </w:rPr>
        <w:t xml:space="preserve">Станом на 01.09.2020, за даними інформаційно-телекомунікаційної системи ДПС, громадянам, які перебувають на обліку в ДПС, відкрито </w:t>
      </w:r>
      <w:r w:rsidRPr="004D6877">
        <w:rPr>
          <w:rFonts w:ascii="Times New Roman" w:eastAsia="Times New Roman" w:hAnsi="Times New Roman" w:cs="Times New Roman"/>
          <w:sz w:val="28"/>
          <w:szCs w:val="28"/>
          <w:lang w:eastAsia="ru-RU"/>
        </w:rPr>
        <w:br/>
        <w:t>10,6 млн інтегрованих карток.</w:t>
      </w:r>
    </w:p>
    <w:p w:rsidR="00AF6E5C" w:rsidRPr="004D6877" w:rsidRDefault="00AF6E5C" w:rsidP="00AF6E5C">
      <w:pPr>
        <w:spacing w:after="0"/>
        <w:ind w:firstLine="709"/>
        <w:contextualSpacing/>
        <w:jc w:val="both"/>
        <w:rPr>
          <w:rFonts w:ascii="Times New Roman" w:eastAsia="Times New Roman" w:hAnsi="Times New Roman" w:cs="Times New Roman"/>
          <w:sz w:val="28"/>
          <w:szCs w:val="28"/>
          <w:lang w:eastAsia="ru-RU"/>
        </w:rPr>
      </w:pPr>
      <w:r w:rsidRPr="004D6877">
        <w:rPr>
          <w:rFonts w:ascii="Times New Roman" w:eastAsia="Times New Roman" w:hAnsi="Times New Roman" w:cs="Times New Roman"/>
          <w:sz w:val="28"/>
          <w:szCs w:val="28"/>
          <w:lang w:eastAsia="ru-RU"/>
        </w:rPr>
        <w:t>Водночас, оскільки Законом № 190 та постановою № 321 встановлено принцип добровільності використання платниками єдиного рахунку, то передбачити заздалегідь кількість громадян, які за власним бажанням з 01.01.2021 будуть використовувати єдиний рахунок для сплати податків і зборів, єдиного внеску та інших платежів, контроль за справлянням яких покладено на ДПС, не уявляється можливим.</w:t>
      </w: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2"/>
        <w:gridCol w:w="4485"/>
        <w:gridCol w:w="3255"/>
      </w:tblGrid>
      <w:tr w:rsidR="004D6877" w:rsidRPr="004D6877" w:rsidTr="00AF6E5C">
        <w:trPr>
          <w:tblCellSpacing w:w="30" w:type="dxa"/>
        </w:trPr>
        <w:tc>
          <w:tcPr>
            <w:tcW w:w="93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F6E5C" w:rsidRPr="004D6877" w:rsidRDefault="00AF6E5C" w:rsidP="00AF6E5C">
            <w:pPr>
              <w:spacing w:before="100" w:beforeAutospacing="1" w:after="100" w:afterAutospacing="1"/>
              <w:contextualSpacing/>
              <w:jc w:val="center"/>
              <w:rPr>
                <w:rFonts w:ascii="Times New Roman" w:eastAsia="Times New Roman" w:hAnsi="Times New Roman" w:cs="Times New Roman"/>
                <w:sz w:val="24"/>
                <w:szCs w:val="24"/>
                <w:lang w:eastAsia="ru-RU"/>
              </w:rPr>
            </w:pPr>
            <w:r w:rsidRPr="004D6877">
              <w:rPr>
                <w:rFonts w:ascii="Times New Roman" w:eastAsia="Times New Roman" w:hAnsi="Times New Roman" w:cs="Times New Roman"/>
                <w:sz w:val="28"/>
                <w:szCs w:val="28"/>
                <w:lang w:eastAsia="ru-RU"/>
              </w:rPr>
              <w:t xml:space="preserve"> </w:t>
            </w:r>
            <w:r w:rsidRPr="004D6877">
              <w:rPr>
                <w:rFonts w:ascii="Times New Roman" w:eastAsia="Times New Roman" w:hAnsi="Times New Roman" w:cs="Times New Roman"/>
                <w:sz w:val="24"/>
                <w:szCs w:val="24"/>
                <w:lang w:eastAsia="ru-RU"/>
              </w:rPr>
              <w:t>Вид альтернативи</w:t>
            </w:r>
          </w:p>
        </w:tc>
        <w:tc>
          <w:tcPr>
            <w:tcW w:w="23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F6E5C" w:rsidRPr="004D6877" w:rsidRDefault="00AF6E5C" w:rsidP="00AF6E5C">
            <w:pPr>
              <w:spacing w:before="100" w:beforeAutospacing="1" w:after="100" w:afterAutospacing="1"/>
              <w:contextualSpacing/>
              <w:jc w:val="center"/>
              <w:rPr>
                <w:rFonts w:ascii="Times New Roman" w:eastAsia="Times New Roman" w:hAnsi="Times New Roman" w:cs="Times New Roman"/>
                <w:sz w:val="24"/>
                <w:szCs w:val="24"/>
                <w:lang w:eastAsia="ru-RU"/>
              </w:rPr>
            </w:pPr>
            <w:r w:rsidRPr="004D6877">
              <w:rPr>
                <w:rFonts w:ascii="Times New Roman" w:eastAsia="Times New Roman" w:hAnsi="Times New Roman" w:cs="Times New Roman"/>
                <w:sz w:val="24"/>
                <w:szCs w:val="24"/>
                <w:lang w:eastAsia="ru-RU"/>
              </w:rPr>
              <w:t>Вигоди</w:t>
            </w:r>
          </w:p>
        </w:tc>
        <w:tc>
          <w:tcPr>
            <w:tcW w:w="16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F6E5C" w:rsidRPr="004D6877" w:rsidRDefault="00AF6E5C" w:rsidP="00AF6E5C">
            <w:pPr>
              <w:spacing w:before="100" w:beforeAutospacing="1" w:after="100" w:afterAutospacing="1"/>
              <w:contextualSpacing/>
              <w:jc w:val="center"/>
              <w:rPr>
                <w:rFonts w:ascii="Times New Roman" w:eastAsia="Times New Roman" w:hAnsi="Times New Roman" w:cs="Times New Roman"/>
                <w:sz w:val="24"/>
                <w:szCs w:val="24"/>
                <w:lang w:eastAsia="ru-RU"/>
              </w:rPr>
            </w:pPr>
            <w:r w:rsidRPr="004D6877">
              <w:rPr>
                <w:rFonts w:ascii="Times New Roman" w:eastAsia="Times New Roman" w:hAnsi="Times New Roman" w:cs="Times New Roman"/>
                <w:sz w:val="24"/>
                <w:szCs w:val="24"/>
                <w:lang w:eastAsia="ru-RU"/>
              </w:rPr>
              <w:t>Витрати</w:t>
            </w:r>
          </w:p>
        </w:tc>
      </w:tr>
      <w:tr w:rsidR="004D6877" w:rsidRPr="004D6877" w:rsidTr="00AF6E5C">
        <w:trPr>
          <w:tblCellSpacing w:w="30" w:type="dxa"/>
        </w:trPr>
        <w:tc>
          <w:tcPr>
            <w:tcW w:w="93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F6E5C" w:rsidRPr="004D6877" w:rsidRDefault="00AF6E5C" w:rsidP="00AF6E5C">
            <w:pPr>
              <w:spacing w:before="100" w:beforeAutospacing="1" w:after="100" w:afterAutospacing="1"/>
              <w:contextualSpacing/>
              <w:rPr>
                <w:rFonts w:ascii="Times New Roman" w:eastAsia="Times New Roman" w:hAnsi="Times New Roman" w:cs="Times New Roman"/>
                <w:sz w:val="24"/>
                <w:szCs w:val="24"/>
                <w:lang w:eastAsia="ru-RU"/>
              </w:rPr>
            </w:pPr>
            <w:r w:rsidRPr="004D6877">
              <w:rPr>
                <w:rFonts w:ascii="Times New Roman" w:eastAsia="Times New Roman" w:hAnsi="Times New Roman" w:cs="Times New Roman"/>
                <w:sz w:val="24"/>
                <w:szCs w:val="24"/>
                <w:lang w:eastAsia="ru-RU"/>
              </w:rPr>
              <w:t>Альтернатива 1</w:t>
            </w:r>
          </w:p>
        </w:tc>
        <w:tc>
          <w:tcPr>
            <w:tcW w:w="23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F6E5C" w:rsidRPr="004D6877" w:rsidRDefault="00AF6E5C" w:rsidP="00AF6E5C">
            <w:pPr>
              <w:spacing w:after="0"/>
              <w:contextualSpacing/>
              <w:jc w:val="both"/>
              <w:rPr>
                <w:rFonts w:ascii="Times New Roman" w:eastAsia="Calibri" w:hAnsi="Times New Roman" w:cs="Times New Roman"/>
                <w:sz w:val="24"/>
                <w:szCs w:val="24"/>
              </w:rPr>
            </w:pPr>
            <w:r w:rsidRPr="004D6877">
              <w:rPr>
                <w:rFonts w:ascii="Times New Roman" w:eastAsia="Times New Roman" w:hAnsi="Times New Roman" w:cs="Times New Roman"/>
                <w:sz w:val="24"/>
                <w:szCs w:val="24"/>
                <w:lang w:eastAsia="ru-RU"/>
              </w:rPr>
              <w:t>У разі прийняття проекту наказу буде:</w:t>
            </w:r>
          </w:p>
          <w:p w:rsidR="00AF6E5C" w:rsidRPr="004D6877" w:rsidRDefault="00AF6E5C" w:rsidP="00AF6E5C">
            <w:pPr>
              <w:spacing w:after="0"/>
              <w:contextualSpacing/>
              <w:jc w:val="both"/>
              <w:rPr>
                <w:rFonts w:ascii="Times New Roman" w:eastAsia="Times New Roman" w:hAnsi="Times New Roman" w:cs="Times New Roman"/>
                <w:sz w:val="24"/>
                <w:szCs w:val="24"/>
                <w:lang w:eastAsia="ru-RU"/>
              </w:rPr>
            </w:pPr>
            <w:r w:rsidRPr="004D6877">
              <w:rPr>
                <w:rFonts w:ascii="Times New Roman" w:eastAsia="Times New Roman" w:hAnsi="Times New Roman" w:cs="Times New Roman"/>
                <w:sz w:val="24"/>
                <w:szCs w:val="24"/>
                <w:lang w:eastAsia="ru-RU"/>
              </w:rPr>
              <w:lastRenderedPageBreak/>
              <w:t xml:space="preserve">    створено умови для реалізації на практиці спрощеної процедури розрахунків платників – громадян з державним та/або місцевими бюджетами та цільовими страховими фондами;</w:t>
            </w:r>
          </w:p>
          <w:p w:rsidR="00AF6E5C" w:rsidRPr="004D6877" w:rsidRDefault="00AF6E5C" w:rsidP="00AF6E5C">
            <w:pPr>
              <w:spacing w:after="0"/>
              <w:contextualSpacing/>
              <w:jc w:val="both"/>
              <w:rPr>
                <w:rFonts w:ascii="Times New Roman" w:eastAsia="Times New Roman" w:hAnsi="Times New Roman" w:cs="Times New Roman"/>
                <w:sz w:val="24"/>
                <w:szCs w:val="24"/>
                <w:lang w:eastAsia="ru-RU"/>
              </w:rPr>
            </w:pPr>
            <w:r w:rsidRPr="004D6877">
              <w:rPr>
                <w:rFonts w:ascii="Times New Roman" w:eastAsia="Times New Roman" w:hAnsi="Times New Roman" w:cs="Times New Roman"/>
                <w:sz w:val="24"/>
                <w:szCs w:val="24"/>
                <w:lang w:eastAsia="ru-RU"/>
              </w:rPr>
              <w:t xml:space="preserve">    забезпечено методологічне підґрунтя для своєчасного та в повному обсязі перерахування коштів сплачених платниками – громадянами на єдиний рахунок, з єдиного рахунку на бюджетні/небюджетні рахунки </w:t>
            </w:r>
            <w:r w:rsidRPr="004D6877">
              <w:rPr>
                <w:rFonts w:ascii="Times New Roman" w:eastAsia="Times New Roman" w:hAnsi="Times New Roman" w:cs="Times New Roman"/>
                <w:sz w:val="24"/>
                <w:szCs w:val="24"/>
                <w:lang w:eastAsia="uk-UA"/>
              </w:rPr>
              <w:t xml:space="preserve">в межах сум </w:t>
            </w:r>
            <w:r w:rsidRPr="004D6877">
              <w:rPr>
                <w:rFonts w:ascii="Times New Roman" w:eastAsia="Times New Roman" w:hAnsi="Times New Roman" w:cs="Times New Roman"/>
                <w:sz w:val="24"/>
                <w:szCs w:val="24"/>
                <w:lang w:eastAsia="ru-RU"/>
              </w:rPr>
              <w:t>грошових зобов’язання та/або податкового боргу (заборгованості) з податків і зборів, єдиного внеску та інших платежів, контроль за справлянням яких покладено на ДПС;</w:t>
            </w:r>
          </w:p>
          <w:p w:rsidR="00AF6E5C" w:rsidRPr="004D6877" w:rsidRDefault="00AF6E5C" w:rsidP="00AF6E5C">
            <w:pPr>
              <w:spacing w:after="0"/>
              <w:contextualSpacing/>
              <w:jc w:val="both"/>
              <w:rPr>
                <w:rFonts w:ascii="Times New Roman" w:eastAsia="Times New Roman" w:hAnsi="Times New Roman" w:cs="Times New Roman"/>
                <w:sz w:val="24"/>
                <w:szCs w:val="24"/>
                <w:lang w:eastAsia="ru-RU"/>
              </w:rPr>
            </w:pPr>
            <w:r w:rsidRPr="004D6877">
              <w:rPr>
                <w:rFonts w:ascii="Times New Roman" w:eastAsia="Times New Roman" w:hAnsi="Times New Roman" w:cs="Times New Roman"/>
                <w:sz w:val="24"/>
                <w:szCs w:val="24"/>
                <w:lang w:eastAsia="ru-RU"/>
              </w:rPr>
              <w:t xml:space="preserve">   визначено алгоритм функціонування нових електронних сервісів в Електронному кабінеті, з використанням яких платник – громадянин матиме можливість уточнити реквізит «Призначення платежу» розрахункового документу та/або визначити напрям використання коштів, сплачених на єдиний рахунок; </w:t>
            </w:r>
          </w:p>
          <w:p w:rsidR="00AF6E5C" w:rsidRPr="004D6877" w:rsidRDefault="00AF6E5C" w:rsidP="00AF6E5C">
            <w:pPr>
              <w:tabs>
                <w:tab w:val="left" w:pos="1134"/>
              </w:tabs>
              <w:spacing w:after="0" w:line="240" w:lineRule="auto"/>
              <w:jc w:val="both"/>
              <w:rPr>
                <w:rFonts w:ascii="Times New Roman" w:eastAsia="Calibri" w:hAnsi="Times New Roman" w:cs="Times New Roman"/>
                <w:sz w:val="24"/>
                <w:szCs w:val="24"/>
              </w:rPr>
            </w:pPr>
            <w:r w:rsidRPr="004D6877">
              <w:rPr>
                <w:rFonts w:ascii="Times New Roman" w:eastAsia="Calibri" w:hAnsi="Times New Roman" w:cs="Times New Roman"/>
                <w:sz w:val="24"/>
                <w:szCs w:val="24"/>
              </w:rPr>
              <w:t xml:space="preserve">   створено умови для мінімізації випадків помилкової сплати </w:t>
            </w:r>
            <w:r w:rsidRPr="004D6877">
              <w:rPr>
                <w:rFonts w:ascii="Times New Roman" w:eastAsia="Times New Roman" w:hAnsi="Times New Roman" w:cs="Times New Roman"/>
                <w:sz w:val="24"/>
                <w:szCs w:val="24"/>
              </w:rPr>
              <w:t>податків і зборів, єдиного внеску та інших платежів, контроль за справлянням яких покладено на ДПС</w:t>
            </w:r>
            <w:r w:rsidRPr="004D6877">
              <w:rPr>
                <w:rFonts w:ascii="Calibri" w:eastAsia="Calibri" w:hAnsi="Calibri" w:cs="Times New Roman"/>
                <w:sz w:val="24"/>
                <w:szCs w:val="24"/>
              </w:rPr>
              <w:t>,</w:t>
            </w:r>
            <w:r w:rsidRPr="004D6877">
              <w:rPr>
                <w:rFonts w:ascii="Times New Roman" w:eastAsia="Calibri" w:hAnsi="Times New Roman" w:cs="Times New Roman"/>
                <w:sz w:val="24"/>
                <w:szCs w:val="24"/>
              </w:rPr>
              <w:t xml:space="preserve"> на неналежні бюджетні/небюджетні рахунки та необхідності у поверненні коштів платникам – громадянам, уникнення негативних наслідків у вигляді застосованих до них штрафів і пені внаслідок такої помилкової сплати;</w:t>
            </w:r>
          </w:p>
          <w:p w:rsidR="00AF6E5C" w:rsidRPr="004D6877" w:rsidRDefault="00AF6E5C" w:rsidP="00AF6E5C">
            <w:pPr>
              <w:spacing w:after="0"/>
              <w:contextualSpacing/>
              <w:jc w:val="both"/>
              <w:rPr>
                <w:rFonts w:ascii="Times New Roman" w:eastAsia="Times New Roman" w:hAnsi="Times New Roman" w:cs="Times New Roman"/>
                <w:sz w:val="24"/>
                <w:szCs w:val="24"/>
                <w:lang w:eastAsia="ru-RU"/>
              </w:rPr>
            </w:pPr>
            <w:r w:rsidRPr="004D6877">
              <w:rPr>
                <w:rFonts w:ascii="Times New Roman" w:eastAsia="Times New Roman" w:hAnsi="Times New Roman" w:cs="Times New Roman"/>
                <w:sz w:val="24"/>
                <w:szCs w:val="24"/>
                <w:lang w:eastAsia="ru-RU"/>
              </w:rPr>
              <w:t xml:space="preserve">    забезпечено необхідні умови для скорочення витрат платників – громадян на розрахунки з державним та/або місцевими бюджетами та цільовими страховими фондами;    </w:t>
            </w:r>
          </w:p>
          <w:p w:rsidR="00AF6E5C" w:rsidRPr="004D6877" w:rsidRDefault="00AF6E5C" w:rsidP="00AF6E5C">
            <w:pPr>
              <w:spacing w:after="0"/>
              <w:contextualSpacing/>
              <w:jc w:val="both"/>
              <w:rPr>
                <w:rFonts w:ascii="Times New Roman" w:eastAsia="Times New Roman" w:hAnsi="Times New Roman" w:cs="Times New Roman"/>
                <w:sz w:val="24"/>
                <w:szCs w:val="24"/>
                <w:lang w:eastAsia="ru-RU"/>
              </w:rPr>
            </w:pPr>
            <w:r w:rsidRPr="004D6877">
              <w:rPr>
                <w:rFonts w:ascii="Times New Roman" w:eastAsia="Times New Roman" w:hAnsi="Times New Roman" w:cs="Times New Roman"/>
                <w:sz w:val="24"/>
                <w:szCs w:val="24"/>
                <w:lang w:eastAsia="ru-RU"/>
              </w:rPr>
              <w:t xml:space="preserve">    забезпечено можливість доступу платників – громадян в Електронному кабінеті до актуальної інформації щодо руху коштів на єдиному рахунку, підвищено рівень їх довіри до ДПС.</w:t>
            </w:r>
          </w:p>
        </w:tc>
        <w:tc>
          <w:tcPr>
            <w:tcW w:w="16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F6E5C" w:rsidRPr="004D6877" w:rsidRDefault="00AF6E5C" w:rsidP="00AF6E5C">
            <w:pPr>
              <w:spacing w:before="100" w:beforeAutospacing="1" w:after="100" w:afterAutospacing="1"/>
              <w:ind w:hanging="7"/>
              <w:rPr>
                <w:rFonts w:ascii="Calibri" w:eastAsia="Calibri" w:hAnsi="Calibri" w:cs="Times New Roman"/>
              </w:rPr>
            </w:pPr>
            <w:r w:rsidRPr="004D6877">
              <w:rPr>
                <w:rFonts w:ascii="Times New Roman" w:eastAsia="Times New Roman" w:hAnsi="Times New Roman" w:cs="Times New Roman"/>
                <w:sz w:val="24"/>
                <w:szCs w:val="28"/>
                <w:lang w:bidi="uk-UA"/>
              </w:rPr>
              <w:lastRenderedPageBreak/>
              <w:t>Витрати відсутні.</w:t>
            </w:r>
          </w:p>
        </w:tc>
      </w:tr>
      <w:tr w:rsidR="00AF6E5C" w:rsidRPr="004D6877" w:rsidTr="00AF6E5C">
        <w:trPr>
          <w:tblCellSpacing w:w="30" w:type="dxa"/>
        </w:trPr>
        <w:tc>
          <w:tcPr>
            <w:tcW w:w="93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F6E5C" w:rsidRPr="004D6877" w:rsidRDefault="00AF6E5C" w:rsidP="00AF6E5C">
            <w:pPr>
              <w:spacing w:before="100" w:beforeAutospacing="1" w:after="100" w:afterAutospacing="1"/>
              <w:contextualSpacing/>
              <w:rPr>
                <w:rFonts w:ascii="Times New Roman" w:eastAsia="Times New Roman" w:hAnsi="Times New Roman" w:cs="Times New Roman"/>
                <w:sz w:val="24"/>
                <w:szCs w:val="24"/>
                <w:lang w:eastAsia="ru-RU"/>
              </w:rPr>
            </w:pPr>
            <w:r w:rsidRPr="004D6877">
              <w:rPr>
                <w:rFonts w:ascii="Times New Roman" w:eastAsia="Times New Roman" w:hAnsi="Times New Roman" w:cs="Times New Roman"/>
                <w:sz w:val="24"/>
                <w:szCs w:val="24"/>
                <w:lang w:eastAsia="ru-RU"/>
              </w:rPr>
              <w:lastRenderedPageBreak/>
              <w:t>Альтернатива 2</w:t>
            </w:r>
          </w:p>
        </w:tc>
        <w:tc>
          <w:tcPr>
            <w:tcW w:w="23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F6E5C" w:rsidRPr="004D6877" w:rsidRDefault="00AF6E5C" w:rsidP="00AF6E5C">
            <w:pPr>
              <w:widowControl w:val="0"/>
              <w:spacing w:before="60" w:after="60"/>
              <w:ind w:left="132" w:right="69"/>
              <w:rPr>
                <w:rFonts w:ascii="Times New Roman" w:eastAsia="Times New Roman" w:hAnsi="Times New Roman" w:cs="Times New Roman"/>
                <w:sz w:val="24"/>
                <w:szCs w:val="28"/>
              </w:rPr>
            </w:pPr>
            <w:r w:rsidRPr="004D6877">
              <w:rPr>
                <w:rFonts w:ascii="Times New Roman" w:eastAsia="Times New Roman" w:hAnsi="Times New Roman" w:cs="Times New Roman"/>
                <w:sz w:val="24"/>
                <w:szCs w:val="24"/>
                <w:lang w:eastAsia="ru-RU"/>
              </w:rPr>
              <w:t>Вигоди в</w:t>
            </w:r>
            <w:r w:rsidRPr="004D6877">
              <w:rPr>
                <w:rFonts w:ascii="Times New Roman" w:eastAsia="Times New Roman" w:hAnsi="Times New Roman" w:cs="Times New Roman"/>
                <w:sz w:val="24"/>
                <w:szCs w:val="28"/>
                <w:lang w:bidi="uk-UA"/>
              </w:rPr>
              <w:t>ідсутні.</w:t>
            </w:r>
          </w:p>
        </w:tc>
        <w:tc>
          <w:tcPr>
            <w:tcW w:w="16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F6E5C" w:rsidRPr="004D6877" w:rsidRDefault="00AF6E5C" w:rsidP="00AF6E5C">
            <w:pPr>
              <w:widowControl w:val="0"/>
              <w:spacing w:before="60" w:after="60"/>
              <w:ind w:left="132"/>
              <w:rPr>
                <w:rFonts w:ascii="Times New Roman" w:eastAsia="Times New Roman" w:hAnsi="Times New Roman" w:cs="Times New Roman"/>
                <w:sz w:val="24"/>
                <w:szCs w:val="28"/>
              </w:rPr>
            </w:pPr>
            <w:r w:rsidRPr="004D6877">
              <w:rPr>
                <w:rFonts w:ascii="Times New Roman" w:eastAsia="Times New Roman" w:hAnsi="Times New Roman" w:cs="Times New Roman"/>
                <w:sz w:val="24"/>
                <w:szCs w:val="28"/>
                <w:lang w:bidi="uk-UA"/>
              </w:rPr>
              <w:t>Витрати відсутні.</w:t>
            </w:r>
          </w:p>
        </w:tc>
      </w:tr>
    </w:tbl>
    <w:p w:rsidR="00AF6E5C" w:rsidRPr="004D6877" w:rsidRDefault="00AF6E5C" w:rsidP="00AF6E5C">
      <w:pPr>
        <w:widowControl w:val="0"/>
        <w:spacing w:after="0" w:line="240" w:lineRule="auto"/>
        <w:jc w:val="both"/>
        <w:rPr>
          <w:rFonts w:ascii="Times New Roman" w:eastAsia="Calibri" w:hAnsi="Times New Roman" w:cs="Times New Roman"/>
          <w:sz w:val="28"/>
          <w:szCs w:val="28"/>
        </w:rPr>
      </w:pPr>
    </w:p>
    <w:p w:rsidR="00AF6E5C" w:rsidRPr="004D6877" w:rsidRDefault="00AF6E5C" w:rsidP="00AF6E5C">
      <w:pPr>
        <w:widowControl w:val="0"/>
        <w:spacing w:after="0" w:line="240" w:lineRule="auto"/>
        <w:ind w:firstLine="709"/>
        <w:jc w:val="both"/>
        <w:rPr>
          <w:rFonts w:ascii="Times New Roman" w:eastAsia="Calibri" w:hAnsi="Times New Roman" w:cs="Times New Roman"/>
          <w:sz w:val="28"/>
          <w:szCs w:val="28"/>
        </w:rPr>
      </w:pPr>
      <w:r w:rsidRPr="004D6877">
        <w:rPr>
          <w:rFonts w:ascii="Times New Roman" w:eastAsia="Calibri" w:hAnsi="Times New Roman" w:cs="Times New Roman"/>
          <w:sz w:val="28"/>
          <w:szCs w:val="28"/>
        </w:rPr>
        <w:t>4. Оцінка впливу на сферу інтересів суб’єктів господарювання</w:t>
      </w:r>
    </w:p>
    <w:p w:rsidR="00AF6E5C" w:rsidRPr="004D6877" w:rsidRDefault="00AF6E5C" w:rsidP="00AF6E5C">
      <w:pPr>
        <w:widowControl w:val="0"/>
        <w:spacing w:before="120" w:after="0" w:line="240" w:lineRule="auto"/>
        <w:ind w:firstLine="709"/>
        <w:jc w:val="both"/>
        <w:rPr>
          <w:rFonts w:ascii="Times New Roman" w:eastAsia="Calibri" w:hAnsi="Times New Roman" w:cs="Times New Roman"/>
          <w:sz w:val="28"/>
          <w:szCs w:val="28"/>
        </w:rPr>
      </w:pPr>
      <w:r w:rsidRPr="004D6877">
        <w:rPr>
          <w:rFonts w:ascii="Times New Roman" w:eastAsia="Calibri" w:hAnsi="Times New Roman" w:cs="Times New Roman"/>
          <w:sz w:val="28"/>
          <w:szCs w:val="28"/>
        </w:rPr>
        <w:t>Кількість суб’єктів господарювання, на яких може поширюватися дія цього регуляторного акта, відповідає кількості платників податків, які перебувають на обліку в контролюючих органах.</w:t>
      </w:r>
    </w:p>
    <w:p w:rsidR="00AF6E5C" w:rsidRPr="004D6877" w:rsidRDefault="00AF6E5C" w:rsidP="00AF6E5C">
      <w:pPr>
        <w:spacing w:after="0"/>
        <w:ind w:left="6237"/>
        <w:contextualSpacing/>
        <w:jc w:val="both"/>
        <w:rPr>
          <w:rFonts w:ascii="Times New Roman" w:eastAsia="Times New Roman" w:hAnsi="Times New Roman" w:cs="Times New Roman"/>
          <w:b/>
          <w:lang w:eastAsia="ru-RU"/>
        </w:rPr>
      </w:pPr>
      <w:r w:rsidRPr="004D6877">
        <w:rPr>
          <w:rFonts w:ascii="Times New Roman" w:eastAsia="Times New Roman" w:hAnsi="Times New Roman" w:cs="Times New Roman"/>
          <w:b/>
          <w:sz w:val="24"/>
          <w:szCs w:val="24"/>
          <w:lang w:eastAsia="ru-RU"/>
        </w:rPr>
        <w:t xml:space="preserve">                Станом на 01.09.2020</w:t>
      </w:r>
    </w:p>
    <w:tbl>
      <w:tblPr>
        <w:tblStyle w:val="11"/>
        <w:tblW w:w="0" w:type="auto"/>
        <w:tblInd w:w="0" w:type="dxa"/>
        <w:tblLook w:val="04A0" w:firstRow="1" w:lastRow="0" w:firstColumn="1" w:lastColumn="0" w:noHBand="0" w:noVBand="1"/>
      </w:tblPr>
      <w:tblGrid>
        <w:gridCol w:w="3069"/>
        <w:gridCol w:w="3263"/>
        <w:gridCol w:w="3296"/>
      </w:tblGrid>
      <w:tr w:rsidR="004D6877" w:rsidRPr="004D6877" w:rsidTr="00AF6E5C">
        <w:tc>
          <w:tcPr>
            <w:tcW w:w="9747" w:type="dxa"/>
            <w:gridSpan w:val="3"/>
            <w:tcBorders>
              <w:top w:val="single" w:sz="4" w:space="0" w:color="auto"/>
              <w:left w:val="single" w:sz="4" w:space="0" w:color="auto"/>
              <w:bottom w:val="single" w:sz="4" w:space="0" w:color="auto"/>
              <w:right w:val="single" w:sz="4" w:space="0" w:color="auto"/>
            </w:tcBorders>
            <w:hideMark/>
          </w:tcPr>
          <w:p w:rsidR="00AF6E5C" w:rsidRPr="004D6877" w:rsidRDefault="00AF6E5C" w:rsidP="00AF6E5C">
            <w:pPr>
              <w:widowControl w:val="0"/>
              <w:ind w:firstLine="709"/>
              <w:jc w:val="center"/>
              <w:rPr>
                <w:rFonts w:ascii="Times New Roman" w:hAnsi="Times New Roman"/>
                <w:sz w:val="24"/>
                <w:szCs w:val="24"/>
              </w:rPr>
            </w:pPr>
            <w:r w:rsidRPr="004D6877">
              <w:rPr>
                <w:rFonts w:ascii="Times New Roman" w:hAnsi="Times New Roman"/>
                <w:bCs/>
                <w:sz w:val="24"/>
                <w:szCs w:val="24"/>
                <w:lang w:eastAsia="ru-RU"/>
              </w:rPr>
              <w:t>Кількість суб’єктів господарювання, що підпадають під дію регулювання, млн*</w:t>
            </w:r>
          </w:p>
        </w:tc>
      </w:tr>
      <w:tr w:rsidR="004D6877" w:rsidRPr="004D6877" w:rsidTr="00AF6E5C">
        <w:tc>
          <w:tcPr>
            <w:tcW w:w="3113" w:type="dxa"/>
            <w:vMerge w:val="restart"/>
            <w:tcBorders>
              <w:top w:val="single" w:sz="4" w:space="0" w:color="auto"/>
              <w:left w:val="single" w:sz="4" w:space="0" w:color="auto"/>
              <w:bottom w:val="single" w:sz="4" w:space="0" w:color="auto"/>
              <w:right w:val="single" w:sz="4" w:space="0" w:color="auto"/>
            </w:tcBorders>
            <w:hideMark/>
          </w:tcPr>
          <w:p w:rsidR="00AF6E5C" w:rsidRPr="004D6877" w:rsidRDefault="00AF6E5C" w:rsidP="00AF6E5C">
            <w:pPr>
              <w:contextualSpacing/>
              <w:jc w:val="center"/>
              <w:rPr>
                <w:rFonts w:ascii="Times New Roman" w:hAnsi="Times New Roman"/>
                <w:sz w:val="24"/>
                <w:szCs w:val="24"/>
                <w:lang w:eastAsia="ru-RU"/>
              </w:rPr>
            </w:pPr>
            <w:r w:rsidRPr="004D6877">
              <w:rPr>
                <w:rFonts w:ascii="Times New Roman" w:hAnsi="Times New Roman"/>
                <w:bCs/>
                <w:sz w:val="24"/>
                <w:szCs w:val="24"/>
                <w:lang w:eastAsia="ru-RU"/>
              </w:rPr>
              <w:t>Всього</w:t>
            </w:r>
          </w:p>
        </w:tc>
        <w:tc>
          <w:tcPr>
            <w:tcW w:w="6634" w:type="dxa"/>
            <w:gridSpan w:val="2"/>
            <w:tcBorders>
              <w:top w:val="single" w:sz="4" w:space="0" w:color="auto"/>
              <w:left w:val="single" w:sz="4" w:space="0" w:color="auto"/>
              <w:bottom w:val="single" w:sz="4" w:space="0" w:color="auto"/>
              <w:right w:val="single" w:sz="4" w:space="0" w:color="auto"/>
            </w:tcBorders>
            <w:hideMark/>
          </w:tcPr>
          <w:p w:rsidR="00AF6E5C" w:rsidRPr="004D6877" w:rsidRDefault="00AF6E5C" w:rsidP="00AF6E5C">
            <w:pPr>
              <w:contextualSpacing/>
              <w:jc w:val="center"/>
              <w:rPr>
                <w:rFonts w:ascii="Times New Roman" w:hAnsi="Times New Roman"/>
                <w:sz w:val="24"/>
                <w:szCs w:val="24"/>
                <w:lang w:eastAsia="ru-RU"/>
              </w:rPr>
            </w:pPr>
            <w:r w:rsidRPr="004D6877">
              <w:rPr>
                <w:rFonts w:ascii="Times New Roman" w:hAnsi="Times New Roman"/>
                <w:sz w:val="24"/>
                <w:szCs w:val="24"/>
                <w:lang w:eastAsia="ru-RU"/>
              </w:rPr>
              <w:t>у тому числі:</w:t>
            </w:r>
          </w:p>
        </w:tc>
      </w:tr>
      <w:tr w:rsidR="004D6877" w:rsidRPr="004D6877" w:rsidTr="00AF6E5C">
        <w:tc>
          <w:tcPr>
            <w:tcW w:w="0" w:type="auto"/>
            <w:vMerge/>
            <w:tcBorders>
              <w:top w:val="single" w:sz="4" w:space="0" w:color="auto"/>
              <w:left w:val="single" w:sz="4" w:space="0" w:color="auto"/>
              <w:bottom w:val="single" w:sz="4" w:space="0" w:color="auto"/>
              <w:right w:val="single" w:sz="4" w:space="0" w:color="auto"/>
            </w:tcBorders>
            <w:vAlign w:val="center"/>
            <w:hideMark/>
          </w:tcPr>
          <w:p w:rsidR="00AF6E5C" w:rsidRPr="004D6877" w:rsidRDefault="00AF6E5C" w:rsidP="00AF6E5C">
            <w:pPr>
              <w:rPr>
                <w:rFonts w:ascii="Times New Roman" w:hAnsi="Times New Roman"/>
                <w:sz w:val="24"/>
                <w:szCs w:val="24"/>
                <w:lang w:eastAsia="ru-RU"/>
              </w:rPr>
            </w:pPr>
          </w:p>
        </w:tc>
        <w:tc>
          <w:tcPr>
            <w:tcW w:w="3301" w:type="dxa"/>
            <w:tcBorders>
              <w:top w:val="single" w:sz="4" w:space="0" w:color="auto"/>
              <w:left w:val="single" w:sz="4" w:space="0" w:color="auto"/>
              <w:bottom w:val="single" w:sz="4" w:space="0" w:color="auto"/>
              <w:right w:val="single" w:sz="4" w:space="0" w:color="auto"/>
            </w:tcBorders>
            <w:hideMark/>
          </w:tcPr>
          <w:p w:rsidR="00AF6E5C" w:rsidRPr="004D6877" w:rsidRDefault="00AF6E5C" w:rsidP="00AF6E5C">
            <w:pPr>
              <w:contextualSpacing/>
              <w:jc w:val="center"/>
              <w:rPr>
                <w:rFonts w:ascii="Times New Roman" w:hAnsi="Times New Roman"/>
                <w:sz w:val="24"/>
                <w:szCs w:val="24"/>
                <w:lang w:eastAsia="ru-RU"/>
              </w:rPr>
            </w:pPr>
            <w:r w:rsidRPr="004D6877">
              <w:rPr>
                <w:rFonts w:ascii="Times New Roman" w:hAnsi="Times New Roman"/>
                <w:bCs/>
                <w:sz w:val="24"/>
                <w:szCs w:val="24"/>
                <w:lang w:eastAsia="ru-RU"/>
              </w:rPr>
              <w:t>юридичних осіб</w:t>
            </w:r>
          </w:p>
        </w:tc>
        <w:tc>
          <w:tcPr>
            <w:tcW w:w="3333" w:type="dxa"/>
            <w:tcBorders>
              <w:top w:val="single" w:sz="4" w:space="0" w:color="auto"/>
              <w:left w:val="single" w:sz="4" w:space="0" w:color="auto"/>
              <w:bottom w:val="single" w:sz="4" w:space="0" w:color="auto"/>
              <w:right w:val="single" w:sz="4" w:space="0" w:color="auto"/>
            </w:tcBorders>
            <w:hideMark/>
          </w:tcPr>
          <w:p w:rsidR="00AF6E5C" w:rsidRPr="004D6877" w:rsidRDefault="00AF6E5C" w:rsidP="00AF6E5C">
            <w:pPr>
              <w:contextualSpacing/>
              <w:jc w:val="center"/>
              <w:rPr>
                <w:rFonts w:ascii="Times New Roman" w:hAnsi="Times New Roman"/>
                <w:sz w:val="24"/>
                <w:szCs w:val="24"/>
                <w:lang w:eastAsia="ru-RU"/>
              </w:rPr>
            </w:pPr>
            <w:r w:rsidRPr="004D6877">
              <w:rPr>
                <w:rFonts w:ascii="Times New Roman" w:hAnsi="Times New Roman"/>
                <w:bCs/>
                <w:sz w:val="24"/>
                <w:szCs w:val="24"/>
                <w:lang w:eastAsia="ru-RU"/>
              </w:rPr>
              <w:t>фізичних осіб – підприємців</w:t>
            </w:r>
          </w:p>
        </w:tc>
      </w:tr>
      <w:tr w:rsidR="004D6877" w:rsidRPr="004D6877" w:rsidTr="00AF6E5C">
        <w:trPr>
          <w:trHeight w:val="343"/>
        </w:trPr>
        <w:tc>
          <w:tcPr>
            <w:tcW w:w="3113" w:type="dxa"/>
            <w:tcBorders>
              <w:top w:val="single" w:sz="4" w:space="0" w:color="auto"/>
              <w:left w:val="single" w:sz="4" w:space="0" w:color="auto"/>
              <w:bottom w:val="single" w:sz="4" w:space="0" w:color="auto"/>
              <w:right w:val="single" w:sz="4" w:space="0" w:color="auto"/>
            </w:tcBorders>
            <w:hideMark/>
          </w:tcPr>
          <w:p w:rsidR="00AF6E5C" w:rsidRPr="004D6877" w:rsidRDefault="00AF6E5C" w:rsidP="00AF6E5C">
            <w:pPr>
              <w:contextualSpacing/>
              <w:jc w:val="center"/>
              <w:rPr>
                <w:rFonts w:ascii="Times New Roman" w:hAnsi="Times New Roman"/>
                <w:sz w:val="24"/>
                <w:szCs w:val="24"/>
                <w:lang w:eastAsia="ru-RU"/>
              </w:rPr>
            </w:pPr>
            <w:r w:rsidRPr="004D6877">
              <w:rPr>
                <w:rFonts w:ascii="Times New Roman" w:hAnsi="Times New Roman"/>
                <w:sz w:val="24"/>
                <w:szCs w:val="24"/>
                <w:lang w:eastAsia="ru-RU"/>
              </w:rPr>
              <w:t>3,6</w:t>
            </w:r>
          </w:p>
        </w:tc>
        <w:tc>
          <w:tcPr>
            <w:tcW w:w="3301" w:type="dxa"/>
            <w:tcBorders>
              <w:top w:val="single" w:sz="4" w:space="0" w:color="auto"/>
              <w:left w:val="single" w:sz="4" w:space="0" w:color="auto"/>
              <w:bottom w:val="single" w:sz="4" w:space="0" w:color="auto"/>
              <w:right w:val="single" w:sz="4" w:space="0" w:color="auto"/>
            </w:tcBorders>
            <w:hideMark/>
          </w:tcPr>
          <w:p w:rsidR="00AF6E5C" w:rsidRPr="004D6877" w:rsidRDefault="00AF6E5C" w:rsidP="00AF6E5C">
            <w:pPr>
              <w:contextualSpacing/>
              <w:jc w:val="center"/>
              <w:rPr>
                <w:rFonts w:ascii="Times New Roman" w:hAnsi="Times New Roman"/>
                <w:sz w:val="24"/>
                <w:szCs w:val="24"/>
                <w:lang w:eastAsia="ru-RU"/>
              </w:rPr>
            </w:pPr>
            <w:r w:rsidRPr="004D6877">
              <w:rPr>
                <w:rFonts w:ascii="Times New Roman" w:hAnsi="Times New Roman"/>
                <w:sz w:val="24"/>
                <w:szCs w:val="24"/>
                <w:lang w:eastAsia="ru-RU"/>
              </w:rPr>
              <w:t>1,6</w:t>
            </w:r>
          </w:p>
        </w:tc>
        <w:tc>
          <w:tcPr>
            <w:tcW w:w="3333" w:type="dxa"/>
            <w:tcBorders>
              <w:top w:val="single" w:sz="4" w:space="0" w:color="auto"/>
              <w:left w:val="single" w:sz="4" w:space="0" w:color="auto"/>
              <w:bottom w:val="single" w:sz="4" w:space="0" w:color="auto"/>
              <w:right w:val="single" w:sz="4" w:space="0" w:color="auto"/>
            </w:tcBorders>
            <w:hideMark/>
          </w:tcPr>
          <w:p w:rsidR="00AF6E5C" w:rsidRPr="004D6877" w:rsidRDefault="00AF6E5C" w:rsidP="00AF6E5C">
            <w:pPr>
              <w:contextualSpacing/>
              <w:jc w:val="center"/>
              <w:rPr>
                <w:rFonts w:ascii="Times New Roman" w:hAnsi="Times New Roman"/>
                <w:sz w:val="24"/>
                <w:szCs w:val="24"/>
                <w:lang w:eastAsia="ru-RU"/>
              </w:rPr>
            </w:pPr>
            <w:r w:rsidRPr="004D6877">
              <w:rPr>
                <w:rFonts w:ascii="Times New Roman" w:hAnsi="Times New Roman"/>
                <w:sz w:val="24"/>
                <w:szCs w:val="24"/>
                <w:lang w:eastAsia="ru-RU"/>
              </w:rPr>
              <w:t>2,0</w:t>
            </w:r>
          </w:p>
        </w:tc>
      </w:tr>
    </w:tbl>
    <w:p w:rsidR="00AF6E5C" w:rsidRPr="004D6877" w:rsidRDefault="00AF6E5C" w:rsidP="00AF6E5C">
      <w:pPr>
        <w:spacing w:after="0"/>
        <w:ind w:firstLine="709"/>
        <w:contextualSpacing/>
        <w:jc w:val="both"/>
        <w:rPr>
          <w:rFonts w:ascii="Times New Roman" w:eastAsia="Times New Roman" w:hAnsi="Times New Roman" w:cs="Times New Roman"/>
          <w:sz w:val="24"/>
          <w:szCs w:val="24"/>
          <w:lang w:eastAsia="ru-RU"/>
        </w:rPr>
      </w:pPr>
      <w:r w:rsidRPr="004D6877">
        <w:rPr>
          <w:rFonts w:ascii="Times New Roman" w:eastAsia="Times New Roman" w:hAnsi="Times New Roman" w:cs="Times New Roman"/>
          <w:sz w:val="24"/>
          <w:szCs w:val="24"/>
          <w:vertAlign w:val="superscript"/>
          <w:lang w:eastAsia="ru-RU"/>
        </w:rPr>
        <w:t>*</w:t>
      </w:r>
      <w:r w:rsidRPr="004D6877">
        <w:rPr>
          <w:rFonts w:ascii="Times New Roman" w:eastAsia="Times New Roman" w:hAnsi="Times New Roman" w:cs="Times New Roman"/>
          <w:sz w:val="24"/>
          <w:szCs w:val="24"/>
          <w:lang w:eastAsia="ru-RU"/>
        </w:rPr>
        <w:t xml:space="preserve"> Кількість суб’єктів господарювання, що підпадають під дію регулювання, у розрізі великих, середніх, малих та мікропідприємств вказати неможливо, оскільки регуляторний акт однаково впливає на всіх суб’єктів господарювання незалежно від форми власності та рівня доходу. </w:t>
      </w:r>
    </w:p>
    <w:p w:rsidR="00AF6E5C" w:rsidRPr="004D6877" w:rsidRDefault="00AF6E5C" w:rsidP="00AF6E5C">
      <w:pPr>
        <w:spacing w:after="0"/>
        <w:ind w:firstLine="709"/>
        <w:contextualSpacing/>
        <w:jc w:val="both"/>
        <w:rPr>
          <w:rFonts w:ascii="Times New Roman" w:eastAsia="Times New Roman" w:hAnsi="Times New Roman" w:cs="Times New Roman"/>
          <w:sz w:val="24"/>
          <w:szCs w:val="24"/>
          <w:lang w:eastAsia="ru-RU"/>
        </w:rPr>
      </w:pPr>
    </w:p>
    <w:p w:rsidR="00AF6E5C" w:rsidRPr="004D6877" w:rsidRDefault="00AF6E5C" w:rsidP="00AF6E5C">
      <w:pPr>
        <w:spacing w:after="0"/>
        <w:ind w:firstLine="709"/>
        <w:contextualSpacing/>
        <w:jc w:val="both"/>
        <w:rPr>
          <w:rFonts w:ascii="Times New Roman" w:eastAsia="Times New Roman" w:hAnsi="Times New Roman" w:cs="Times New Roman"/>
          <w:sz w:val="28"/>
          <w:szCs w:val="28"/>
          <w:lang w:eastAsia="ru-RU"/>
        </w:rPr>
      </w:pPr>
      <w:r w:rsidRPr="004D6877">
        <w:rPr>
          <w:rFonts w:ascii="Times New Roman" w:eastAsia="Times New Roman" w:hAnsi="Times New Roman" w:cs="Times New Roman"/>
          <w:sz w:val="28"/>
          <w:szCs w:val="28"/>
          <w:lang w:eastAsia="ru-RU"/>
        </w:rPr>
        <w:t>Водночас, оскільки Законом № 190 та постановою № 321 встановлено принцип добровільності використання платниками єдиного рахунка, то передбачити заздалегідь кількість суб’єктів господарювання, які за власним бажанням з 01.01.2021 будуть використовувати єдиний рахунок для сплати податків і зборів, єдиного внеску та інших платежів, контроль за справлянням яких покладено на ДПС, не уявляється можливим.</w:t>
      </w:r>
    </w:p>
    <w:p w:rsidR="00AF6E5C" w:rsidRPr="004D6877" w:rsidRDefault="00AF6E5C" w:rsidP="00AF6E5C">
      <w:pPr>
        <w:widowControl w:val="0"/>
        <w:spacing w:after="0" w:line="240" w:lineRule="auto"/>
        <w:jc w:val="both"/>
        <w:rPr>
          <w:rFonts w:ascii="Times New Roman" w:eastAsia="Calibri" w:hAnsi="Times New Roman" w:cs="Times New Roman"/>
          <w:sz w:val="28"/>
          <w:szCs w:val="28"/>
        </w:rPr>
      </w:pPr>
    </w:p>
    <w:tbl>
      <w:tblPr>
        <w:tblStyle w:val="4"/>
        <w:tblW w:w="0" w:type="auto"/>
        <w:tblLook w:val="04A0" w:firstRow="1" w:lastRow="0" w:firstColumn="1" w:lastColumn="0" w:noHBand="0" w:noVBand="1"/>
      </w:tblPr>
      <w:tblGrid>
        <w:gridCol w:w="1944"/>
        <w:gridCol w:w="4698"/>
        <w:gridCol w:w="2986"/>
      </w:tblGrid>
      <w:tr w:rsidR="004D6877" w:rsidRPr="004D6877" w:rsidTr="00AF6E5C">
        <w:tc>
          <w:tcPr>
            <w:tcW w:w="1951" w:type="dxa"/>
            <w:tcBorders>
              <w:top w:val="single" w:sz="4" w:space="0" w:color="auto"/>
              <w:left w:val="single" w:sz="4" w:space="0" w:color="auto"/>
              <w:bottom w:val="single" w:sz="4" w:space="0" w:color="auto"/>
              <w:right w:val="single" w:sz="4" w:space="0" w:color="auto"/>
            </w:tcBorders>
            <w:hideMark/>
          </w:tcPr>
          <w:p w:rsidR="00AF6E5C" w:rsidRPr="004D6877" w:rsidRDefault="00AF6E5C" w:rsidP="00AF6E5C">
            <w:pPr>
              <w:widowControl w:val="0"/>
              <w:jc w:val="center"/>
              <w:rPr>
                <w:rFonts w:eastAsia="Calibri"/>
                <w:sz w:val="24"/>
                <w:szCs w:val="24"/>
                <w:lang w:eastAsia="ru-RU"/>
              </w:rPr>
            </w:pPr>
            <w:r w:rsidRPr="004D6877">
              <w:rPr>
                <w:rFonts w:eastAsia="Calibri"/>
                <w:sz w:val="24"/>
                <w:szCs w:val="24"/>
                <w:lang w:eastAsia="ru-RU"/>
              </w:rPr>
              <w:t>Вид альтернативи</w:t>
            </w:r>
          </w:p>
        </w:tc>
        <w:tc>
          <w:tcPr>
            <w:tcW w:w="4820" w:type="dxa"/>
            <w:tcBorders>
              <w:top w:val="single" w:sz="4" w:space="0" w:color="auto"/>
              <w:left w:val="single" w:sz="4" w:space="0" w:color="auto"/>
              <w:bottom w:val="single" w:sz="4" w:space="0" w:color="auto"/>
              <w:right w:val="single" w:sz="4" w:space="0" w:color="auto"/>
            </w:tcBorders>
            <w:hideMark/>
          </w:tcPr>
          <w:p w:rsidR="00AF6E5C" w:rsidRPr="004D6877" w:rsidRDefault="00AF6E5C" w:rsidP="00AF6E5C">
            <w:pPr>
              <w:widowControl w:val="0"/>
              <w:jc w:val="center"/>
              <w:rPr>
                <w:rFonts w:eastAsia="Calibri"/>
                <w:sz w:val="24"/>
                <w:szCs w:val="24"/>
                <w:lang w:eastAsia="ru-RU"/>
              </w:rPr>
            </w:pPr>
            <w:r w:rsidRPr="004D6877">
              <w:rPr>
                <w:rFonts w:eastAsia="Calibri"/>
                <w:sz w:val="24"/>
                <w:szCs w:val="24"/>
                <w:lang w:eastAsia="ru-RU"/>
              </w:rPr>
              <w:t>Вигоди</w:t>
            </w:r>
          </w:p>
        </w:tc>
        <w:tc>
          <w:tcPr>
            <w:tcW w:w="3083" w:type="dxa"/>
            <w:tcBorders>
              <w:top w:val="single" w:sz="4" w:space="0" w:color="auto"/>
              <w:left w:val="single" w:sz="4" w:space="0" w:color="auto"/>
              <w:bottom w:val="single" w:sz="4" w:space="0" w:color="auto"/>
              <w:right w:val="single" w:sz="4" w:space="0" w:color="auto"/>
            </w:tcBorders>
            <w:hideMark/>
          </w:tcPr>
          <w:p w:rsidR="00AF6E5C" w:rsidRPr="004D6877" w:rsidRDefault="00AF6E5C" w:rsidP="00AF6E5C">
            <w:pPr>
              <w:widowControl w:val="0"/>
              <w:jc w:val="center"/>
              <w:rPr>
                <w:rFonts w:eastAsia="Calibri"/>
                <w:sz w:val="24"/>
                <w:szCs w:val="24"/>
                <w:lang w:eastAsia="ru-RU"/>
              </w:rPr>
            </w:pPr>
            <w:r w:rsidRPr="004D6877">
              <w:rPr>
                <w:rFonts w:eastAsia="Calibri"/>
                <w:sz w:val="24"/>
                <w:szCs w:val="24"/>
                <w:lang w:eastAsia="ru-RU"/>
              </w:rPr>
              <w:t>Витрати</w:t>
            </w:r>
          </w:p>
        </w:tc>
      </w:tr>
      <w:tr w:rsidR="004D6877" w:rsidRPr="004D6877" w:rsidTr="00AF6E5C">
        <w:tc>
          <w:tcPr>
            <w:tcW w:w="1951" w:type="dxa"/>
            <w:tcBorders>
              <w:top w:val="single" w:sz="4" w:space="0" w:color="auto"/>
              <w:left w:val="single" w:sz="4" w:space="0" w:color="auto"/>
              <w:bottom w:val="single" w:sz="4" w:space="0" w:color="auto"/>
              <w:right w:val="single" w:sz="4" w:space="0" w:color="auto"/>
            </w:tcBorders>
            <w:vAlign w:val="center"/>
            <w:hideMark/>
          </w:tcPr>
          <w:p w:rsidR="00AF6E5C" w:rsidRPr="004D6877" w:rsidRDefault="00AF6E5C" w:rsidP="00AF6E5C">
            <w:pPr>
              <w:widowControl w:val="0"/>
              <w:rPr>
                <w:rFonts w:eastAsia="Calibri"/>
                <w:sz w:val="24"/>
                <w:szCs w:val="24"/>
                <w:lang w:eastAsia="ru-RU"/>
              </w:rPr>
            </w:pPr>
            <w:r w:rsidRPr="004D6877">
              <w:rPr>
                <w:rFonts w:eastAsia="Calibri"/>
                <w:sz w:val="24"/>
                <w:szCs w:val="24"/>
                <w:lang w:eastAsia="ru-RU"/>
              </w:rPr>
              <w:t>Альтернатива 1</w:t>
            </w:r>
          </w:p>
        </w:tc>
        <w:tc>
          <w:tcPr>
            <w:tcW w:w="4820" w:type="dxa"/>
            <w:tcBorders>
              <w:top w:val="single" w:sz="4" w:space="0" w:color="auto"/>
              <w:left w:val="single" w:sz="4" w:space="0" w:color="auto"/>
              <w:bottom w:val="single" w:sz="4" w:space="0" w:color="auto"/>
              <w:right w:val="single" w:sz="4" w:space="0" w:color="auto"/>
            </w:tcBorders>
            <w:hideMark/>
          </w:tcPr>
          <w:p w:rsidR="00AF6E5C" w:rsidRPr="004D6877" w:rsidRDefault="00AF6E5C" w:rsidP="00AF6E5C">
            <w:pPr>
              <w:contextualSpacing/>
              <w:jc w:val="both"/>
              <w:rPr>
                <w:sz w:val="24"/>
                <w:szCs w:val="24"/>
              </w:rPr>
            </w:pPr>
            <w:r w:rsidRPr="004D6877">
              <w:rPr>
                <w:sz w:val="24"/>
                <w:szCs w:val="24"/>
              </w:rPr>
              <w:t>У разі прийняття проекту наказу буде:</w:t>
            </w:r>
          </w:p>
          <w:p w:rsidR="00AF6E5C" w:rsidRPr="004D6877" w:rsidRDefault="00AF6E5C" w:rsidP="00AF6E5C">
            <w:pPr>
              <w:contextualSpacing/>
              <w:jc w:val="both"/>
              <w:rPr>
                <w:sz w:val="24"/>
                <w:szCs w:val="24"/>
              </w:rPr>
            </w:pPr>
            <w:r w:rsidRPr="004D6877">
              <w:t xml:space="preserve">    </w:t>
            </w:r>
            <w:r w:rsidRPr="004D6877">
              <w:rPr>
                <w:sz w:val="24"/>
                <w:szCs w:val="24"/>
              </w:rPr>
              <w:t>створено умови для реалізації на практиці спрощеної процедури розрахунків суб’єктів господарювання з державним та/або місцевими бюджетами та цільовими страховими фондами;</w:t>
            </w:r>
          </w:p>
          <w:p w:rsidR="00AF6E5C" w:rsidRPr="004D6877" w:rsidRDefault="00AF6E5C" w:rsidP="00AF6E5C">
            <w:pPr>
              <w:contextualSpacing/>
              <w:jc w:val="both"/>
              <w:rPr>
                <w:sz w:val="24"/>
                <w:szCs w:val="24"/>
              </w:rPr>
            </w:pPr>
            <w:r w:rsidRPr="004D6877">
              <w:rPr>
                <w:sz w:val="24"/>
                <w:szCs w:val="24"/>
              </w:rPr>
              <w:t xml:space="preserve">    забезпечено методологічне підґрунтя для своєчасного та в повному обсязі перерахування коштів сплачених суб’єктами господарювання на єдиний рахунок, з єдиного рахунк</w:t>
            </w:r>
            <w:r w:rsidR="004D6877" w:rsidRPr="004D6877">
              <w:rPr>
                <w:sz w:val="24"/>
                <w:szCs w:val="24"/>
              </w:rPr>
              <w:t>а</w:t>
            </w:r>
            <w:r w:rsidRPr="004D6877">
              <w:rPr>
                <w:sz w:val="24"/>
                <w:szCs w:val="24"/>
              </w:rPr>
              <w:t xml:space="preserve"> на бюджетні/небюджетні рахунки в межах сум грошових зобов’язання та/або податкового боргу (заборгованості) з податків і зборів, єдиного внеску та інших платежів, контроль за справлянням яких покладено на ДПС;</w:t>
            </w:r>
          </w:p>
          <w:p w:rsidR="00AF6E5C" w:rsidRPr="004D6877" w:rsidRDefault="00AF6E5C" w:rsidP="00AF6E5C">
            <w:pPr>
              <w:contextualSpacing/>
              <w:jc w:val="both"/>
              <w:rPr>
                <w:sz w:val="24"/>
                <w:szCs w:val="24"/>
              </w:rPr>
            </w:pPr>
            <w:r w:rsidRPr="004D6877">
              <w:rPr>
                <w:sz w:val="24"/>
                <w:szCs w:val="24"/>
                <w:lang w:eastAsia="ru-RU"/>
              </w:rPr>
              <w:t xml:space="preserve">   визначено алгоритм функціонування нових електронних сервісів в Електронному кабінеті, з використанням яких </w:t>
            </w:r>
            <w:r w:rsidRPr="004D6877">
              <w:rPr>
                <w:sz w:val="24"/>
                <w:szCs w:val="24"/>
              </w:rPr>
              <w:t>суб’єкти господарювання</w:t>
            </w:r>
            <w:r w:rsidRPr="004D6877">
              <w:rPr>
                <w:sz w:val="24"/>
                <w:szCs w:val="24"/>
                <w:lang w:eastAsia="ru-RU"/>
              </w:rPr>
              <w:t xml:space="preserve">  матимуть </w:t>
            </w:r>
            <w:r w:rsidRPr="004D6877">
              <w:rPr>
                <w:sz w:val="24"/>
                <w:szCs w:val="24"/>
                <w:lang w:eastAsia="ru-RU"/>
              </w:rPr>
              <w:lastRenderedPageBreak/>
              <w:t>можливість уточнити</w:t>
            </w:r>
            <w:r w:rsidRPr="004D6877">
              <w:rPr>
                <w:sz w:val="24"/>
                <w:szCs w:val="24"/>
              </w:rPr>
              <w:t xml:space="preserve"> реквізит «Призначення платежу» розрахункового документу та/або визначити напрям використання коштів, сплачених на єдиний рахунок; </w:t>
            </w:r>
          </w:p>
          <w:p w:rsidR="00AF6E5C" w:rsidRPr="004D6877" w:rsidRDefault="00AF6E5C" w:rsidP="00AF6E5C">
            <w:pPr>
              <w:contextualSpacing/>
              <w:jc w:val="both"/>
              <w:rPr>
                <w:sz w:val="24"/>
                <w:szCs w:val="24"/>
              </w:rPr>
            </w:pPr>
            <w:r w:rsidRPr="004D6877">
              <w:rPr>
                <w:sz w:val="24"/>
                <w:szCs w:val="24"/>
              </w:rPr>
              <w:t xml:space="preserve">    створено умови для мінімізації випадків помилкової сплати податків і зборів, єдиного внеску та інших платежів, контроль за справлянням яких покладено на ДПС, на неналежні бюджетні/небюджетні рахунки та необхідності у поверненні коштів суб’єктам господарювання, уникнення негативних наслідків у вигляді застосованих до них штрафів і пені внаслідок такої помилкової сплати;</w:t>
            </w:r>
          </w:p>
          <w:p w:rsidR="00AF6E5C" w:rsidRPr="004D6877" w:rsidRDefault="00AF6E5C" w:rsidP="00AF6E5C">
            <w:pPr>
              <w:contextualSpacing/>
              <w:jc w:val="both"/>
              <w:rPr>
                <w:sz w:val="24"/>
                <w:szCs w:val="24"/>
              </w:rPr>
            </w:pPr>
            <w:r w:rsidRPr="004D6877">
              <w:rPr>
                <w:sz w:val="24"/>
                <w:szCs w:val="24"/>
              </w:rPr>
              <w:t xml:space="preserve">   забезпечено необхідні умови для скорочення витрат суб’єктів господарювання на розрахунки з державним та/або місцевими бюджетами, цільовими страховими фондами;    </w:t>
            </w:r>
          </w:p>
          <w:p w:rsidR="00AF6E5C" w:rsidRPr="004D6877" w:rsidRDefault="00AF6E5C" w:rsidP="00AF6E5C">
            <w:pPr>
              <w:jc w:val="both"/>
              <w:rPr>
                <w:rFonts w:eastAsia="Calibri"/>
                <w:sz w:val="24"/>
                <w:szCs w:val="24"/>
                <w:lang w:eastAsia="ru-RU"/>
              </w:rPr>
            </w:pPr>
            <w:r w:rsidRPr="004D6877">
              <w:rPr>
                <w:rFonts w:eastAsia="Calibri"/>
                <w:sz w:val="24"/>
                <w:szCs w:val="24"/>
                <w:lang w:eastAsia="ru-RU"/>
              </w:rPr>
              <w:t xml:space="preserve">    забезпечено можливість доступу </w:t>
            </w:r>
            <w:r w:rsidRPr="004D6877">
              <w:rPr>
                <w:rFonts w:eastAsia="Calibri"/>
                <w:sz w:val="24"/>
                <w:szCs w:val="24"/>
              </w:rPr>
              <w:t>суб’єктів господарювання</w:t>
            </w:r>
            <w:r w:rsidRPr="004D6877">
              <w:rPr>
                <w:rFonts w:eastAsia="Calibri"/>
                <w:sz w:val="24"/>
                <w:szCs w:val="24"/>
                <w:lang w:eastAsia="ru-RU"/>
              </w:rPr>
              <w:t xml:space="preserve"> в Електронному кабінеті до актуальної інформації щодо руху коштів на єдиному рахунку, підвищено рівень їх довіри до ДПС.</w:t>
            </w:r>
          </w:p>
        </w:tc>
        <w:tc>
          <w:tcPr>
            <w:tcW w:w="3083" w:type="dxa"/>
            <w:tcBorders>
              <w:top w:val="single" w:sz="4" w:space="0" w:color="auto"/>
              <w:left w:val="single" w:sz="4" w:space="0" w:color="auto"/>
              <w:bottom w:val="single" w:sz="4" w:space="0" w:color="auto"/>
              <w:right w:val="single" w:sz="4" w:space="0" w:color="auto"/>
            </w:tcBorders>
            <w:hideMark/>
          </w:tcPr>
          <w:p w:rsidR="00AF6E5C" w:rsidRPr="004D6877" w:rsidRDefault="00AF6E5C" w:rsidP="00AF6E5C">
            <w:pPr>
              <w:widowControl w:val="0"/>
              <w:jc w:val="both"/>
              <w:rPr>
                <w:rFonts w:eastAsia="Calibri"/>
                <w:sz w:val="24"/>
                <w:szCs w:val="24"/>
                <w:lang w:eastAsia="ru-RU"/>
              </w:rPr>
            </w:pPr>
            <w:r w:rsidRPr="004D6877">
              <w:rPr>
                <w:rFonts w:eastAsia="Calibri"/>
                <w:sz w:val="24"/>
                <w:szCs w:val="24"/>
                <w:lang w:eastAsia="ru-RU"/>
              </w:rPr>
              <w:lastRenderedPageBreak/>
              <w:t>Витрати відсутні.</w:t>
            </w:r>
          </w:p>
        </w:tc>
      </w:tr>
      <w:tr w:rsidR="00AF6E5C" w:rsidRPr="004D6877" w:rsidTr="00AF6E5C">
        <w:tc>
          <w:tcPr>
            <w:tcW w:w="1951" w:type="dxa"/>
            <w:tcBorders>
              <w:top w:val="single" w:sz="4" w:space="0" w:color="auto"/>
              <w:left w:val="single" w:sz="4" w:space="0" w:color="auto"/>
              <w:bottom w:val="single" w:sz="4" w:space="0" w:color="auto"/>
              <w:right w:val="single" w:sz="4" w:space="0" w:color="auto"/>
            </w:tcBorders>
            <w:hideMark/>
          </w:tcPr>
          <w:p w:rsidR="00AF6E5C" w:rsidRPr="004D6877" w:rsidRDefault="00AF6E5C" w:rsidP="00AF6E5C">
            <w:pPr>
              <w:widowControl w:val="0"/>
              <w:jc w:val="center"/>
              <w:rPr>
                <w:rFonts w:eastAsia="Calibri"/>
                <w:sz w:val="24"/>
                <w:szCs w:val="24"/>
                <w:lang w:eastAsia="ru-RU"/>
              </w:rPr>
            </w:pPr>
            <w:r w:rsidRPr="004D6877">
              <w:rPr>
                <w:rFonts w:eastAsia="Calibri"/>
                <w:sz w:val="24"/>
                <w:szCs w:val="24"/>
                <w:lang w:eastAsia="ru-RU"/>
              </w:rPr>
              <w:t>Альтернатива 2</w:t>
            </w:r>
          </w:p>
        </w:tc>
        <w:tc>
          <w:tcPr>
            <w:tcW w:w="4820" w:type="dxa"/>
            <w:tcBorders>
              <w:top w:val="single" w:sz="4" w:space="0" w:color="auto"/>
              <w:left w:val="single" w:sz="4" w:space="0" w:color="auto"/>
              <w:bottom w:val="single" w:sz="4" w:space="0" w:color="auto"/>
              <w:right w:val="single" w:sz="4" w:space="0" w:color="auto"/>
            </w:tcBorders>
            <w:hideMark/>
          </w:tcPr>
          <w:p w:rsidR="00AF6E5C" w:rsidRPr="004D6877" w:rsidRDefault="00AF6E5C" w:rsidP="00AF6E5C">
            <w:pPr>
              <w:widowControl w:val="0"/>
              <w:spacing w:before="60" w:after="60"/>
              <w:ind w:left="132" w:right="69"/>
              <w:rPr>
                <w:sz w:val="24"/>
                <w:szCs w:val="24"/>
              </w:rPr>
            </w:pPr>
            <w:r w:rsidRPr="004D6877">
              <w:rPr>
                <w:sz w:val="24"/>
                <w:szCs w:val="24"/>
                <w:lang w:eastAsia="ru-RU"/>
              </w:rPr>
              <w:t>Вигоди в</w:t>
            </w:r>
            <w:r w:rsidRPr="004D6877">
              <w:rPr>
                <w:sz w:val="24"/>
                <w:szCs w:val="24"/>
                <w:lang w:bidi="uk-UA"/>
              </w:rPr>
              <w:t>ідсутні.</w:t>
            </w:r>
          </w:p>
        </w:tc>
        <w:tc>
          <w:tcPr>
            <w:tcW w:w="3083" w:type="dxa"/>
            <w:tcBorders>
              <w:top w:val="single" w:sz="4" w:space="0" w:color="auto"/>
              <w:left w:val="single" w:sz="4" w:space="0" w:color="auto"/>
              <w:bottom w:val="single" w:sz="4" w:space="0" w:color="auto"/>
              <w:right w:val="single" w:sz="4" w:space="0" w:color="auto"/>
            </w:tcBorders>
            <w:hideMark/>
          </w:tcPr>
          <w:p w:rsidR="00AF6E5C" w:rsidRPr="004D6877" w:rsidRDefault="00AF6E5C" w:rsidP="00AF6E5C">
            <w:pPr>
              <w:widowControl w:val="0"/>
              <w:spacing w:before="60" w:after="60"/>
              <w:ind w:left="132"/>
              <w:rPr>
                <w:sz w:val="24"/>
                <w:szCs w:val="24"/>
              </w:rPr>
            </w:pPr>
            <w:r w:rsidRPr="004D6877">
              <w:rPr>
                <w:sz w:val="24"/>
                <w:szCs w:val="24"/>
              </w:rPr>
              <w:t>Витрати відсутні.</w:t>
            </w:r>
          </w:p>
        </w:tc>
      </w:tr>
    </w:tbl>
    <w:p w:rsidR="00AF6E5C" w:rsidRPr="004D6877" w:rsidRDefault="00AF6E5C" w:rsidP="00AF6E5C">
      <w:pPr>
        <w:widowControl w:val="0"/>
        <w:spacing w:after="0"/>
        <w:ind w:firstLine="720"/>
        <w:contextualSpacing/>
        <w:jc w:val="both"/>
        <w:rPr>
          <w:rFonts w:ascii="Times New Roman" w:eastAsia="Times New Roman" w:hAnsi="Times New Roman" w:cs="Times New Roman"/>
          <w:sz w:val="28"/>
          <w:szCs w:val="28"/>
          <w:lang w:eastAsia="ru-RU"/>
        </w:rPr>
      </w:pPr>
    </w:p>
    <w:p w:rsidR="00AF6E5C" w:rsidRPr="004D6877" w:rsidRDefault="00AF6E5C" w:rsidP="00AF6E5C">
      <w:pPr>
        <w:widowControl w:val="0"/>
        <w:tabs>
          <w:tab w:val="left" w:pos="284"/>
        </w:tabs>
        <w:spacing w:after="0" w:line="240" w:lineRule="auto"/>
        <w:ind w:firstLine="709"/>
        <w:jc w:val="center"/>
        <w:rPr>
          <w:rFonts w:ascii="Times New Roman" w:eastAsia="Calibri" w:hAnsi="Times New Roman" w:cs="Times New Roman"/>
          <w:b/>
          <w:sz w:val="28"/>
          <w:szCs w:val="28"/>
        </w:rPr>
      </w:pPr>
      <w:r w:rsidRPr="004D6877">
        <w:rPr>
          <w:rFonts w:ascii="Times New Roman" w:eastAsia="Calibri" w:hAnsi="Times New Roman" w:cs="Times New Roman"/>
          <w:b/>
          <w:sz w:val="28"/>
          <w:szCs w:val="28"/>
        </w:rPr>
        <w:t>IV. Вибір найбільш оптимального альтернативного способу досягнення цілей</w:t>
      </w:r>
    </w:p>
    <w:tbl>
      <w:tblPr>
        <w:tblStyle w:val="5"/>
        <w:tblpPr w:leftFromText="180" w:rightFromText="180" w:vertAnchor="text" w:horzAnchor="margin" w:tblpY="363"/>
        <w:tblW w:w="0" w:type="auto"/>
        <w:tblLook w:val="04A0" w:firstRow="1" w:lastRow="0" w:firstColumn="1" w:lastColumn="0" w:noHBand="0" w:noVBand="1"/>
      </w:tblPr>
      <w:tblGrid>
        <w:gridCol w:w="2220"/>
        <w:gridCol w:w="2251"/>
        <w:gridCol w:w="5157"/>
      </w:tblGrid>
      <w:tr w:rsidR="004D6877" w:rsidRPr="004D6877" w:rsidTr="00AF6E5C">
        <w:tc>
          <w:tcPr>
            <w:tcW w:w="2235" w:type="dxa"/>
            <w:tcBorders>
              <w:top w:val="single" w:sz="4" w:space="0" w:color="auto"/>
              <w:left w:val="single" w:sz="4" w:space="0" w:color="auto"/>
              <w:bottom w:val="single" w:sz="4" w:space="0" w:color="auto"/>
              <w:right w:val="single" w:sz="4" w:space="0" w:color="auto"/>
            </w:tcBorders>
            <w:hideMark/>
          </w:tcPr>
          <w:p w:rsidR="00AF6E5C" w:rsidRPr="004D6877" w:rsidRDefault="00AF6E5C" w:rsidP="00AF6E5C">
            <w:pPr>
              <w:widowControl w:val="0"/>
              <w:jc w:val="center"/>
              <w:rPr>
                <w:rFonts w:eastAsia="Calibri"/>
                <w:sz w:val="24"/>
                <w:szCs w:val="24"/>
                <w:lang w:eastAsia="ru-RU"/>
              </w:rPr>
            </w:pPr>
            <w:r w:rsidRPr="004D6877">
              <w:rPr>
                <w:rFonts w:eastAsia="Calibri"/>
                <w:sz w:val="24"/>
                <w:szCs w:val="24"/>
                <w:lang w:eastAsia="ru-RU"/>
              </w:rPr>
              <w:t>Рейтинг результативності (досягнення цілей під час вирішення проблеми)</w:t>
            </w:r>
          </w:p>
        </w:tc>
        <w:tc>
          <w:tcPr>
            <w:tcW w:w="2268" w:type="dxa"/>
            <w:tcBorders>
              <w:top w:val="single" w:sz="4" w:space="0" w:color="auto"/>
              <w:left w:val="single" w:sz="4" w:space="0" w:color="auto"/>
              <w:bottom w:val="single" w:sz="4" w:space="0" w:color="auto"/>
              <w:right w:val="single" w:sz="4" w:space="0" w:color="auto"/>
            </w:tcBorders>
            <w:hideMark/>
          </w:tcPr>
          <w:p w:rsidR="00AF6E5C" w:rsidRPr="004D6877" w:rsidRDefault="00AF6E5C" w:rsidP="00AF6E5C">
            <w:pPr>
              <w:widowControl w:val="0"/>
              <w:jc w:val="center"/>
              <w:rPr>
                <w:rFonts w:eastAsia="Calibri"/>
                <w:sz w:val="24"/>
                <w:szCs w:val="24"/>
                <w:lang w:eastAsia="ru-RU"/>
              </w:rPr>
            </w:pPr>
            <w:r w:rsidRPr="004D6877">
              <w:rPr>
                <w:rFonts w:eastAsia="Calibri"/>
                <w:sz w:val="24"/>
                <w:szCs w:val="24"/>
                <w:lang w:eastAsia="ru-RU"/>
              </w:rPr>
              <w:t>Бал результативності (за чотирибальною системою оцінки)</w:t>
            </w:r>
          </w:p>
        </w:tc>
        <w:tc>
          <w:tcPr>
            <w:tcW w:w="5351" w:type="dxa"/>
            <w:tcBorders>
              <w:top w:val="single" w:sz="4" w:space="0" w:color="auto"/>
              <w:left w:val="single" w:sz="4" w:space="0" w:color="auto"/>
              <w:bottom w:val="single" w:sz="4" w:space="0" w:color="auto"/>
              <w:right w:val="single" w:sz="4" w:space="0" w:color="auto"/>
            </w:tcBorders>
          </w:tcPr>
          <w:p w:rsidR="00AF6E5C" w:rsidRPr="004D6877" w:rsidRDefault="00AF6E5C" w:rsidP="00AF6E5C">
            <w:pPr>
              <w:widowControl w:val="0"/>
              <w:jc w:val="both"/>
              <w:rPr>
                <w:rFonts w:eastAsia="Calibri"/>
                <w:sz w:val="24"/>
                <w:szCs w:val="24"/>
                <w:lang w:eastAsia="ru-RU"/>
              </w:rPr>
            </w:pPr>
          </w:p>
          <w:p w:rsidR="00AF6E5C" w:rsidRPr="004D6877" w:rsidRDefault="00AF6E5C" w:rsidP="00AF6E5C">
            <w:pPr>
              <w:widowControl w:val="0"/>
              <w:jc w:val="both"/>
              <w:rPr>
                <w:rFonts w:eastAsia="Calibri"/>
                <w:sz w:val="24"/>
                <w:szCs w:val="24"/>
                <w:lang w:eastAsia="ru-RU"/>
              </w:rPr>
            </w:pPr>
          </w:p>
          <w:p w:rsidR="00AF6E5C" w:rsidRPr="004D6877" w:rsidRDefault="00AF6E5C" w:rsidP="00AF6E5C">
            <w:pPr>
              <w:widowControl w:val="0"/>
              <w:jc w:val="both"/>
              <w:rPr>
                <w:rFonts w:eastAsia="Calibri"/>
                <w:sz w:val="24"/>
                <w:szCs w:val="24"/>
                <w:lang w:eastAsia="ru-RU"/>
              </w:rPr>
            </w:pPr>
            <w:r w:rsidRPr="004D6877">
              <w:rPr>
                <w:rFonts w:eastAsia="Calibri"/>
                <w:sz w:val="24"/>
                <w:szCs w:val="24"/>
                <w:lang w:eastAsia="ru-RU"/>
              </w:rPr>
              <w:t>Коментарі щодо присвоєння відповідного бала</w:t>
            </w:r>
          </w:p>
        </w:tc>
      </w:tr>
      <w:tr w:rsidR="004D6877" w:rsidRPr="004D6877" w:rsidTr="00AF6E5C">
        <w:tc>
          <w:tcPr>
            <w:tcW w:w="2235" w:type="dxa"/>
            <w:tcBorders>
              <w:top w:val="single" w:sz="4" w:space="0" w:color="auto"/>
              <w:left w:val="single" w:sz="4" w:space="0" w:color="auto"/>
              <w:bottom w:val="single" w:sz="4" w:space="0" w:color="auto"/>
              <w:right w:val="single" w:sz="4" w:space="0" w:color="auto"/>
            </w:tcBorders>
            <w:vAlign w:val="center"/>
            <w:hideMark/>
          </w:tcPr>
          <w:p w:rsidR="00AF6E5C" w:rsidRPr="004D6877" w:rsidRDefault="00AF6E5C" w:rsidP="00AF6E5C">
            <w:pPr>
              <w:widowControl w:val="0"/>
              <w:jc w:val="center"/>
              <w:rPr>
                <w:rFonts w:eastAsia="Calibri"/>
                <w:sz w:val="24"/>
                <w:szCs w:val="24"/>
                <w:lang w:eastAsia="ru-RU"/>
              </w:rPr>
            </w:pPr>
            <w:r w:rsidRPr="004D6877">
              <w:rPr>
                <w:rFonts w:eastAsia="Calibri"/>
                <w:sz w:val="24"/>
                <w:szCs w:val="24"/>
                <w:lang w:eastAsia="ru-RU"/>
              </w:rPr>
              <w:t>Альтернатива 1</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6E5C" w:rsidRPr="004D6877" w:rsidRDefault="00AF6E5C" w:rsidP="00AF6E5C">
            <w:pPr>
              <w:widowControl w:val="0"/>
              <w:jc w:val="center"/>
              <w:rPr>
                <w:rFonts w:eastAsia="Calibri"/>
                <w:sz w:val="24"/>
                <w:szCs w:val="24"/>
                <w:lang w:eastAsia="ru-RU"/>
              </w:rPr>
            </w:pPr>
            <w:r w:rsidRPr="004D6877">
              <w:rPr>
                <w:rFonts w:eastAsia="Calibri"/>
                <w:sz w:val="24"/>
                <w:szCs w:val="24"/>
                <w:lang w:eastAsia="ru-RU"/>
              </w:rPr>
              <w:t>4</w:t>
            </w:r>
          </w:p>
        </w:tc>
        <w:tc>
          <w:tcPr>
            <w:tcW w:w="5351" w:type="dxa"/>
            <w:tcBorders>
              <w:top w:val="single" w:sz="4" w:space="0" w:color="auto"/>
              <w:left w:val="single" w:sz="4" w:space="0" w:color="auto"/>
              <w:bottom w:val="single" w:sz="4" w:space="0" w:color="auto"/>
              <w:right w:val="single" w:sz="4" w:space="0" w:color="auto"/>
            </w:tcBorders>
            <w:hideMark/>
          </w:tcPr>
          <w:p w:rsidR="00AF6E5C" w:rsidRPr="004D6877" w:rsidRDefault="00AF6E5C" w:rsidP="00AF6E5C">
            <w:pPr>
              <w:spacing w:before="100" w:beforeAutospacing="1" w:after="100" w:afterAutospacing="1"/>
              <w:contextualSpacing/>
              <w:jc w:val="both"/>
              <w:rPr>
                <w:sz w:val="24"/>
                <w:szCs w:val="24"/>
                <w:lang w:eastAsia="ru-RU"/>
              </w:rPr>
            </w:pPr>
            <w:r w:rsidRPr="004D6877">
              <w:rPr>
                <w:sz w:val="24"/>
                <w:szCs w:val="24"/>
                <w:lang w:eastAsia="ru-RU"/>
              </w:rPr>
              <w:t>Альтернатива 1 дає змогу досягнути поставлених цілей державного регулювання  без будь-яких додаткових витрат.</w:t>
            </w:r>
          </w:p>
        </w:tc>
      </w:tr>
      <w:tr w:rsidR="004D6877" w:rsidRPr="004D6877" w:rsidTr="00AF6E5C">
        <w:tc>
          <w:tcPr>
            <w:tcW w:w="2235" w:type="dxa"/>
            <w:tcBorders>
              <w:top w:val="single" w:sz="4" w:space="0" w:color="auto"/>
              <w:left w:val="single" w:sz="4" w:space="0" w:color="auto"/>
              <w:bottom w:val="single" w:sz="4" w:space="0" w:color="auto"/>
              <w:right w:val="single" w:sz="4" w:space="0" w:color="auto"/>
            </w:tcBorders>
            <w:hideMark/>
          </w:tcPr>
          <w:p w:rsidR="00AF6E5C" w:rsidRPr="004D6877" w:rsidRDefault="00AF6E5C" w:rsidP="00AF6E5C">
            <w:pPr>
              <w:widowControl w:val="0"/>
              <w:jc w:val="center"/>
              <w:rPr>
                <w:rFonts w:eastAsia="Calibri"/>
                <w:sz w:val="24"/>
                <w:szCs w:val="24"/>
                <w:lang w:eastAsia="ru-RU"/>
              </w:rPr>
            </w:pPr>
            <w:r w:rsidRPr="004D6877">
              <w:rPr>
                <w:rFonts w:eastAsia="Calibri"/>
                <w:sz w:val="24"/>
                <w:szCs w:val="24"/>
                <w:lang w:eastAsia="ru-RU"/>
              </w:rPr>
              <w:t>Альтернатива 2</w:t>
            </w:r>
          </w:p>
        </w:tc>
        <w:tc>
          <w:tcPr>
            <w:tcW w:w="2268" w:type="dxa"/>
            <w:tcBorders>
              <w:top w:val="single" w:sz="4" w:space="0" w:color="auto"/>
              <w:left w:val="single" w:sz="4" w:space="0" w:color="auto"/>
              <w:bottom w:val="single" w:sz="4" w:space="0" w:color="auto"/>
              <w:right w:val="single" w:sz="4" w:space="0" w:color="auto"/>
            </w:tcBorders>
            <w:hideMark/>
          </w:tcPr>
          <w:p w:rsidR="00AF6E5C" w:rsidRPr="004D6877" w:rsidRDefault="00AF6E5C" w:rsidP="00AF6E5C">
            <w:pPr>
              <w:widowControl w:val="0"/>
              <w:jc w:val="center"/>
              <w:rPr>
                <w:rFonts w:eastAsia="Calibri"/>
                <w:sz w:val="24"/>
                <w:szCs w:val="24"/>
                <w:lang w:eastAsia="ru-RU"/>
              </w:rPr>
            </w:pPr>
            <w:r w:rsidRPr="004D6877">
              <w:rPr>
                <w:rFonts w:eastAsia="Calibri"/>
                <w:sz w:val="24"/>
                <w:szCs w:val="24"/>
                <w:lang w:eastAsia="ru-RU"/>
              </w:rPr>
              <w:t>1</w:t>
            </w:r>
          </w:p>
        </w:tc>
        <w:tc>
          <w:tcPr>
            <w:tcW w:w="5351" w:type="dxa"/>
            <w:tcBorders>
              <w:top w:val="single" w:sz="4" w:space="0" w:color="auto"/>
              <w:left w:val="single" w:sz="4" w:space="0" w:color="auto"/>
              <w:bottom w:val="single" w:sz="4" w:space="0" w:color="auto"/>
              <w:right w:val="single" w:sz="4" w:space="0" w:color="auto"/>
            </w:tcBorders>
            <w:hideMark/>
          </w:tcPr>
          <w:p w:rsidR="00AF6E5C" w:rsidRPr="004D6877" w:rsidRDefault="00AF6E5C" w:rsidP="00AF6E5C">
            <w:pPr>
              <w:contextualSpacing/>
              <w:jc w:val="both"/>
              <w:rPr>
                <w:sz w:val="24"/>
                <w:szCs w:val="24"/>
                <w:lang w:eastAsia="ru-RU"/>
              </w:rPr>
            </w:pPr>
            <w:r w:rsidRPr="004D6877">
              <w:rPr>
                <w:sz w:val="24"/>
                <w:szCs w:val="24"/>
                <w:lang w:eastAsia="ru-RU"/>
              </w:rPr>
              <w:t xml:space="preserve">Альтернатива 2 не дозволяє  забезпечити практичну реалізацію вимог </w:t>
            </w:r>
            <w:r w:rsidRPr="004D6877">
              <w:rPr>
                <w:sz w:val="28"/>
                <w:szCs w:val="28"/>
                <w:lang w:eastAsia="ru-RU"/>
              </w:rPr>
              <w:t xml:space="preserve"> </w:t>
            </w:r>
            <w:r w:rsidRPr="004D6877">
              <w:rPr>
                <w:sz w:val="24"/>
                <w:szCs w:val="24"/>
                <w:lang w:eastAsia="ru-RU"/>
              </w:rPr>
              <w:t>Закону № 190, постанови № 321</w:t>
            </w:r>
            <w:r w:rsidRPr="004D6877">
              <w:rPr>
                <w:sz w:val="28"/>
                <w:szCs w:val="28"/>
                <w:lang w:eastAsia="ru-RU"/>
              </w:rPr>
              <w:t xml:space="preserve"> </w:t>
            </w:r>
            <w:r w:rsidRPr="004D6877">
              <w:rPr>
                <w:sz w:val="24"/>
                <w:szCs w:val="24"/>
                <w:lang w:eastAsia="ru-RU"/>
              </w:rPr>
              <w:t>шляхом нормативного упорядкування обліку руху коштів на єдиному рахунку і таким чином досягнути цілей державного регулювання.</w:t>
            </w:r>
          </w:p>
        </w:tc>
      </w:tr>
    </w:tbl>
    <w:p w:rsidR="00AF6E5C" w:rsidRPr="004D6877" w:rsidRDefault="00AF6E5C" w:rsidP="00AF6E5C">
      <w:pPr>
        <w:widowControl w:val="0"/>
        <w:spacing w:after="0" w:line="240" w:lineRule="auto"/>
        <w:jc w:val="both"/>
        <w:rPr>
          <w:rFonts w:ascii="Times New Roman" w:eastAsia="Calibri" w:hAnsi="Times New Roman" w:cs="Times New Roman"/>
          <w:sz w:val="28"/>
          <w:szCs w:val="28"/>
        </w:rPr>
      </w:pPr>
    </w:p>
    <w:p w:rsidR="00AF6E5C" w:rsidRPr="004D6877" w:rsidRDefault="00AF6E5C" w:rsidP="00AF6E5C">
      <w:pPr>
        <w:widowControl w:val="0"/>
        <w:spacing w:after="0" w:line="240" w:lineRule="auto"/>
        <w:ind w:firstLine="709"/>
        <w:jc w:val="both"/>
        <w:rPr>
          <w:rFonts w:ascii="Times New Roman" w:eastAsia="Calibri" w:hAnsi="Times New Roman" w:cs="Times New Roman"/>
          <w:sz w:val="28"/>
          <w:szCs w:val="28"/>
        </w:rPr>
      </w:pPr>
    </w:p>
    <w:tbl>
      <w:tblPr>
        <w:tblStyle w:val="5"/>
        <w:tblW w:w="0" w:type="auto"/>
        <w:tblLook w:val="04A0" w:firstRow="1" w:lastRow="0" w:firstColumn="1" w:lastColumn="0" w:noHBand="0" w:noVBand="1"/>
      </w:tblPr>
      <w:tblGrid>
        <w:gridCol w:w="2070"/>
        <w:gridCol w:w="2887"/>
        <w:gridCol w:w="2324"/>
        <w:gridCol w:w="2347"/>
      </w:tblGrid>
      <w:tr w:rsidR="004D6877" w:rsidRPr="004D6877" w:rsidTr="00AF6E5C">
        <w:tc>
          <w:tcPr>
            <w:tcW w:w="2093" w:type="dxa"/>
            <w:tcBorders>
              <w:top w:val="single" w:sz="4" w:space="0" w:color="auto"/>
              <w:left w:val="single" w:sz="4" w:space="0" w:color="auto"/>
              <w:bottom w:val="single" w:sz="4" w:space="0" w:color="auto"/>
              <w:right w:val="single" w:sz="4" w:space="0" w:color="auto"/>
            </w:tcBorders>
            <w:vAlign w:val="center"/>
            <w:hideMark/>
          </w:tcPr>
          <w:p w:rsidR="00AF6E5C" w:rsidRPr="004D6877" w:rsidRDefault="00AF6E5C" w:rsidP="00AF6E5C">
            <w:pPr>
              <w:widowControl w:val="0"/>
              <w:jc w:val="center"/>
              <w:rPr>
                <w:rFonts w:eastAsia="Calibri"/>
                <w:sz w:val="24"/>
                <w:szCs w:val="24"/>
                <w:lang w:eastAsia="ru-RU"/>
              </w:rPr>
            </w:pPr>
            <w:r w:rsidRPr="004D6877">
              <w:rPr>
                <w:rFonts w:eastAsia="Calibri"/>
                <w:sz w:val="24"/>
                <w:szCs w:val="24"/>
                <w:lang w:eastAsia="ru-RU"/>
              </w:rPr>
              <w:t>Рейтинг результативності</w:t>
            </w:r>
          </w:p>
        </w:tc>
        <w:tc>
          <w:tcPr>
            <w:tcW w:w="2977" w:type="dxa"/>
            <w:tcBorders>
              <w:top w:val="single" w:sz="4" w:space="0" w:color="auto"/>
              <w:left w:val="single" w:sz="4" w:space="0" w:color="auto"/>
              <w:bottom w:val="single" w:sz="4" w:space="0" w:color="auto"/>
              <w:right w:val="single" w:sz="4" w:space="0" w:color="auto"/>
            </w:tcBorders>
            <w:vAlign w:val="center"/>
            <w:hideMark/>
          </w:tcPr>
          <w:p w:rsidR="00AF6E5C" w:rsidRPr="004D6877" w:rsidRDefault="00AF6E5C" w:rsidP="00AF6E5C">
            <w:pPr>
              <w:widowControl w:val="0"/>
              <w:jc w:val="center"/>
              <w:rPr>
                <w:rFonts w:eastAsia="Calibri"/>
                <w:sz w:val="24"/>
                <w:szCs w:val="24"/>
                <w:lang w:eastAsia="ru-RU"/>
              </w:rPr>
            </w:pPr>
            <w:r w:rsidRPr="004D6877">
              <w:rPr>
                <w:rFonts w:eastAsia="Calibri"/>
                <w:sz w:val="24"/>
                <w:szCs w:val="24"/>
                <w:lang w:eastAsia="ru-RU"/>
              </w:rPr>
              <w:t>Вигоди (підсумок)</w:t>
            </w:r>
          </w:p>
        </w:tc>
        <w:tc>
          <w:tcPr>
            <w:tcW w:w="2409" w:type="dxa"/>
            <w:tcBorders>
              <w:top w:val="single" w:sz="4" w:space="0" w:color="auto"/>
              <w:left w:val="single" w:sz="4" w:space="0" w:color="auto"/>
              <w:bottom w:val="single" w:sz="4" w:space="0" w:color="auto"/>
              <w:right w:val="single" w:sz="4" w:space="0" w:color="auto"/>
            </w:tcBorders>
            <w:vAlign w:val="center"/>
            <w:hideMark/>
          </w:tcPr>
          <w:p w:rsidR="00AF6E5C" w:rsidRPr="004D6877" w:rsidRDefault="00AF6E5C" w:rsidP="00AF6E5C">
            <w:pPr>
              <w:widowControl w:val="0"/>
              <w:jc w:val="center"/>
              <w:rPr>
                <w:rFonts w:eastAsia="Calibri"/>
                <w:sz w:val="24"/>
                <w:szCs w:val="24"/>
                <w:lang w:eastAsia="ru-RU"/>
              </w:rPr>
            </w:pPr>
            <w:r w:rsidRPr="004D6877">
              <w:rPr>
                <w:rFonts w:eastAsia="Calibri"/>
                <w:sz w:val="24"/>
                <w:szCs w:val="24"/>
                <w:lang w:eastAsia="ru-RU"/>
              </w:rPr>
              <w:t>Витрати (підсумок)</w:t>
            </w:r>
          </w:p>
        </w:tc>
        <w:tc>
          <w:tcPr>
            <w:tcW w:w="2375" w:type="dxa"/>
            <w:tcBorders>
              <w:top w:val="single" w:sz="4" w:space="0" w:color="auto"/>
              <w:left w:val="single" w:sz="4" w:space="0" w:color="auto"/>
              <w:bottom w:val="single" w:sz="4" w:space="0" w:color="auto"/>
              <w:right w:val="single" w:sz="4" w:space="0" w:color="auto"/>
            </w:tcBorders>
            <w:hideMark/>
          </w:tcPr>
          <w:p w:rsidR="00AF6E5C" w:rsidRPr="004D6877" w:rsidRDefault="00AF6E5C" w:rsidP="00AF6E5C">
            <w:pPr>
              <w:widowControl w:val="0"/>
              <w:jc w:val="center"/>
              <w:rPr>
                <w:rFonts w:eastAsia="Calibri"/>
                <w:sz w:val="24"/>
                <w:szCs w:val="24"/>
                <w:lang w:eastAsia="ru-RU"/>
              </w:rPr>
            </w:pPr>
            <w:r w:rsidRPr="004D6877">
              <w:rPr>
                <w:rFonts w:eastAsia="Calibri"/>
                <w:sz w:val="24"/>
                <w:szCs w:val="24"/>
                <w:lang w:eastAsia="ru-RU"/>
              </w:rPr>
              <w:t>Обґрунтування відповідного місця альтернативи у рейтингу</w:t>
            </w:r>
          </w:p>
        </w:tc>
      </w:tr>
      <w:tr w:rsidR="004D6877" w:rsidRPr="004D6877" w:rsidTr="00AF6E5C">
        <w:tc>
          <w:tcPr>
            <w:tcW w:w="2093" w:type="dxa"/>
            <w:tcBorders>
              <w:top w:val="single" w:sz="4" w:space="0" w:color="auto"/>
              <w:left w:val="single" w:sz="4" w:space="0" w:color="auto"/>
              <w:bottom w:val="single" w:sz="4" w:space="0" w:color="auto"/>
              <w:right w:val="single" w:sz="4" w:space="0" w:color="auto"/>
            </w:tcBorders>
            <w:hideMark/>
          </w:tcPr>
          <w:p w:rsidR="00AF6E5C" w:rsidRPr="004D6877" w:rsidRDefault="00AF6E5C" w:rsidP="00AF6E5C">
            <w:pPr>
              <w:widowControl w:val="0"/>
              <w:jc w:val="both"/>
              <w:rPr>
                <w:rFonts w:eastAsia="Calibri"/>
                <w:sz w:val="24"/>
                <w:szCs w:val="24"/>
                <w:lang w:eastAsia="ru-RU"/>
              </w:rPr>
            </w:pPr>
            <w:r w:rsidRPr="004D6877">
              <w:rPr>
                <w:rFonts w:eastAsia="Calibri"/>
                <w:sz w:val="24"/>
                <w:szCs w:val="24"/>
                <w:lang w:eastAsia="ru-RU"/>
              </w:rPr>
              <w:lastRenderedPageBreak/>
              <w:t>Альтернатива 1</w:t>
            </w:r>
          </w:p>
        </w:tc>
        <w:tc>
          <w:tcPr>
            <w:tcW w:w="2977" w:type="dxa"/>
            <w:tcBorders>
              <w:top w:val="single" w:sz="4" w:space="0" w:color="auto"/>
              <w:left w:val="single" w:sz="4" w:space="0" w:color="auto"/>
              <w:bottom w:val="single" w:sz="4" w:space="0" w:color="auto"/>
              <w:right w:val="single" w:sz="4" w:space="0" w:color="auto"/>
            </w:tcBorders>
            <w:hideMark/>
          </w:tcPr>
          <w:p w:rsidR="00AF6E5C" w:rsidRPr="004D6877" w:rsidRDefault="00AF6E5C" w:rsidP="00AF6E5C">
            <w:pPr>
              <w:contextualSpacing/>
              <w:jc w:val="both"/>
              <w:rPr>
                <w:sz w:val="24"/>
                <w:szCs w:val="24"/>
                <w:lang w:eastAsia="ru-RU"/>
              </w:rPr>
            </w:pPr>
            <w:r w:rsidRPr="004D6877">
              <w:rPr>
                <w:sz w:val="24"/>
                <w:szCs w:val="24"/>
                <w:lang w:eastAsia="ru-RU"/>
              </w:rPr>
              <w:t xml:space="preserve">   Прийняття проекту наказу надасть змогу повністю досягнути поставлених цілей державного регулювання:</w:t>
            </w:r>
          </w:p>
          <w:p w:rsidR="00AF6E5C" w:rsidRPr="004D6877" w:rsidRDefault="00AF6E5C" w:rsidP="00AF6E5C">
            <w:pPr>
              <w:contextualSpacing/>
              <w:jc w:val="both"/>
              <w:rPr>
                <w:sz w:val="24"/>
                <w:szCs w:val="24"/>
                <w:lang w:eastAsia="ru-RU"/>
              </w:rPr>
            </w:pPr>
            <w:r w:rsidRPr="004D6877">
              <w:rPr>
                <w:sz w:val="24"/>
                <w:szCs w:val="24"/>
                <w:lang w:eastAsia="ru-RU"/>
              </w:rPr>
              <w:t xml:space="preserve">   забезпечити практичну реалізацію вимог Закону України № 190 та постанови № 321 шляхом нормативного врегулювання порядку обліку ДПС руху коштів, сплачених платниками на єдиний рахунок;</w:t>
            </w:r>
          </w:p>
          <w:p w:rsidR="00AF6E5C" w:rsidRPr="004D6877" w:rsidRDefault="00AF6E5C" w:rsidP="00AF6E5C">
            <w:pPr>
              <w:contextualSpacing/>
              <w:jc w:val="both"/>
              <w:rPr>
                <w:sz w:val="24"/>
                <w:szCs w:val="24"/>
                <w:lang w:eastAsia="ru-RU"/>
              </w:rPr>
            </w:pPr>
            <w:r w:rsidRPr="004D6877">
              <w:rPr>
                <w:sz w:val="24"/>
                <w:szCs w:val="24"/>
                <w:lang w:eastAsia="ru-RU"/>
              </w:rPr>
              <w:t xml:space="preserve">    створити умови для реалізації на практиці спрощеної процедури розрахунків платників - громадян з державним та/або місцевими бюджетами,  цільовими страховими фондами;</w:t>
            </w:r>
          </w:p>
          <w:p w:rsidR="00AF6E5C" w:rsidRPr="004D6877" w:rsidRDefault="00AF6E5C" w:rsidP="00AF6E5C">
            <w:pPr>
              <w:contextualSpacing/>
              <w:jc w:val="both"/>
              <w:rPr>
                <w:sz w:val="24"/>
                <w:szCs w:val="24"/>
                <w:lang w:eastAsia="ru-RU"/>
              </w:rPr>
            </w:pPr>
            <w:r w:rsidRPr="004D6877">
              <w:rPr>
                <w:sz w:val="24"/>
                <w:szCs w:val="24"/>
                <w:lang w:eastAsia="ru-RU"/>
              </w:rPr>
              <w:t xml:space="preserve">   забезпечити</w:t>
            </w:r>
          </w:p>
          <w:p w:rsidR="00AF6E5C" w:rsidRPr="004D6877" w:rsidRDefault="00AF6E5C" w:rsidP="00AF6E5C">
            <w:pPr>
              <w:contextualSpacing/>
              <w:jc w:val="both"/>
              <w:rPr>
                <w:sz w:val="24"/>
                <w:szCs w:val="24"/>
                <w:lang w:eastAsia="ru-RU"/>
              </w:rPr>
            </w:pPr>
            <w:r w:rsidRPr="004D6877">
              <w:rPr>
                <w:sz w:val="24"/>
                <w:szCs w:val="24"/>
                <w:lang w:eastAsia="ru-RU"/>
              </w:rPr>
              <w:t>методологічне підґрунтя  для своєчасного та в повному обсязі перерахування коштів сплачених суб’єктами господарювання на єдиний рахунок, з єдиного рахунку на бюджетні/небюджетні рахунки в межах сум грошових зобов’язання та/або податкового боргу (заборгованості) з податків і зборів, єдиного внеску та інших платежів, контроль за справлянням яких покладено на ДПС;</w:t>
            </w:r>
          </w:p>
          <w:p w:rsidR="00AF6E5C" w:rsidRPr="004D6877" w:rsidRDefault="00AF6E5C" w:rsidP="00AF6E5C">
            <w:pPr>
              <w:contextualSpacing/>
              <w:jc w:val="both"/>
              <w:rPr>
                <w:sz w:val="24"/>
                <w:szCs w:val="24"/>
              </w:rPr>
            </w:pPr>
            <w:r w:rsidRPr="004D6877">
              <w:rPr>
                <w:sz w:val="24"/>
                <w:szCs w:val="24"/>
              </w:rPr>
              <w:t xml:space="preserve">   створити умови для мінімізації випадків помилкової сплати податків і зборів, єдиного внеску та інших платежів, контроль за справлянням яких покладено на ДПС, на неналежні бюджетні/небюджетні рахунки та застосування внаслідок цього до платників відповідних </w:t>
            </w:r>
            <w:r w:rsidRPr="004D6877">
              <w:rPr>
                <w:sz w:val="24"/>
                <w:szCs w:val="24"/>
              </w:rPr>
              <w:lastRenderedPageBreak/>
              <w:t>сум штрафів і пені, скоротити витрати платника, ДПС, Казначейства та інших відповідних органів на здійснення повернення/</w:t>
            </w:r>
            <w:r w:rsidRPr="004D6877">
              <w:rPr>
                <w:sz w:val="28"/>
                <w:szCs w:val="28"/>
              </w:rPr>
              <w:t xml:space="preserve"> </w:t>
            </w:r>
            <w:r w:rsidRPr="004D6877">
              <w:rPr>
                <w:sz w:val="24"/>
                <w:szCs w:val="24"/>
              </w:rPr>
              <w:t>перерахування між видами доходів і бюджетів помилково сплачених коштів;</w:t>
            </w:r>
          </w:p>
          <w:p w:rsidR="00AF6E5C" w:rsidRPr="004D6877" w:rsidRDefault="00AF6E5C" w:rsidP="00AF6E5C">
            <w:pPr>
              <w:contextualSpacing/>
              <w:jc w:val="both"/>
              <w:rPr>
                <w:sz w:val="24"/>
                <w:szCs w:val="24"/>
                <w:lang w:eastAsia="ru-RU"/>
              </w:rPr>
            </w:pPr>
            <w:r w:rsidRPr="004D6877">
              <w:rPr>
                <w:sz w:val="24"/>
                <w:szCs w:val="24"/>
                <w:lang w:eastAsia="ru-RU"/>
              </w:rPr>
              <w:t xml:space="preserve">   забезпечити розширення переліку електронних послуг, які надаються ДПС платникам в Електронному кабінеті,  підвищення рівня довіри платників до ДПС та покращення показників результативності, ефективності, відкритості і прозорості діяльності ДПС.</w:t>
            </w:r>
            <w:r w:rsidRPr="004D6877">
              <w:rPr>
                <w:bCs/>
                <w:sz w:val="24"/>
                <w:szCs w:val="24"/>
                <w:lang w:eastAsia="ru-RU"/>
              </w:rPr>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AF6E5C" w:rsidRPr="004D6877" w:rsidRDefault="00AF6E5C" w:rsidP="00AF6E5C">
            <w:pPr>
              <w:jc w:val="both"/>
              <w:rPr>
                <w:rFonts w:eastAsia="Calibri"/>
                <w:sz w:val="24"/>
                <w:szCs w:val="24"/>
                <w:lang w:eastAsia="ru-RU"/>
              </w:rPr>
            </w:pPr>
            <w:r w:rsidRPr="004D6877">
              <w:rPr>
                <w:rFonts w:eastAsia="Calibri"/>
                <w:sz w:val="24"/>
                <w:szCs w:val="24"/>
                <w:lang w:eastAsia="ru-RU"/>
              </w:rPr>
              <w:lastRenderedPageBreak/>
              <w:t xml:space="preserve">    Основні витрати держави для досягнення поставлених цілей державного регулювання знаходяться в межах фінансування ДПС.</w:t>
            </w:r>
          </w:p>
          <w:p w:rsidR="00AF6E5C" w:rsidRPr="004D6877" w:rsidRDefault="00AF6E5C" w:rsidP="00AF6E5C">
            <w:pPr>
              <w:keepNext/>
              <w:widowControl w:val="0"/>
              <w:tabs>
                <w:tab w:val="left" w:pos="301"/>
                <w:tab w:val="left" w:pos="567"/>
              </w:tabs>
              <w:jc w:val="both"/>
              <w:outlineLvl w:val="2"/>
              <w:rPr>
                <w:bCs/>
                <w:sz w:val="24"/>
                <w:szCs w:val="24"/>
                <w:lang w:eastAsia="ru-RU"/>
              </w:rPr>
            </w:pPr>
            <w:r w:rsidRPr="004D6877">
              <w:rPr>
                <w:bCs/>
                <w:sz w:val="24"/>
                <w:szCs w:val="24"/>
                <w:lang w:eastAsia="ru-RU"/>
              </w:rPr>
              <w:t xml:space="preserve">    Витрати громадян та суб’єктів господарювання, пов’язані з виконанням вимог проекту наказу, відсутні.</w:t>
            </w:r>
          </w:p>
        </w:tc>
        <w:tc>
          <w:tcPr>
            <w:tcW w:w="2375" w:type="dxa"/>
            <w:tcBorders>
              <w:top w:val="single" w:sz="4" w:space="0" w:color="auto"/>
              <w:left w:val="single" w:sz="4" w:space="0" w:color="auto"/>
              <w:bottom w:val="single" w:sz="4" w:space="0" w:color="auto"/>
              <w:right w:val="single" w:sz="4" w:space="0" w:color="auto"/>
            </w:tcBorders>
          </w:tcPr>
          <w:p w:rsidR="00AF6E5C" w:rsidRPr="004D6877" w:rsidRDefault="00AF6E5C" w:rsidP="00AF6E5C">
            <w:pPr>
              <w:widowControl w:val="0"/>
              <w:jc w:val="both"/>
              <w:rPr>
                <w:rFonts w:eastAsia="Calibri"/>
              </w:rPr>
            </w:pPr>
            <w:r w:rsidRPr="004D6877">
              <w:rPr>
                <w:rFonts w:eastAsia="Calibri"/>
                <w:sz w:val="24"/>
                <w:szCs w:val="24"/>
                <w:lang w:eastAsia="ru-RU"/>
              </w:rPr>
              <w:t xml:space="preserve">Є найоптимальнішою із запропонованих альтернатив, оскільки забезпечує досягнення поставлених цілей державного регулювання без додаткових витрат. Відповідає вимогам </w:t>
            </w:r>
            <w:r w:rsidRPr="004D6877">
              <w:rPr>
                <w:rFonts w:eastAsia="Calibri"/>
                <w:sz w:val="24"/>
                <w:szCs w:val="24"/>
              </w:rPr>
              <w:t>законодавства України з питань електронного документообігу та електронних довірчих послуг.</w:t>
            </w:r>
          </w:p>
          <w:p w:rsidR="00AF6E5C" w:rsidRPr="004D6877" w:rsidRDefault="00AF6E5C" w:rsidP="00AF6E5C">
            <w:pPr>
              <w:spacing w:before="60"/>
              <w:ind w:firstLine="97"/>
              <w:contextualSpacing/>
              <w:jc w:val="both"/>
              <w:rPr>
                <w:sz w:val="24"/>
                <w:szCs w:val="24"/>
                <w:lang w:val="x-none" w:eastAsia="ru-RU"/>
              </w:rPr>
            </w:pPr>
          </w:p>
        </w:tc>
      </w:tr>
      <w:tr w:rsidR="00AF6E5C" w:rsidRPr="004D6877" w:rsidTr="00AF6E5C">
        <w:tc>
          <w:tcPr>
            <w:tcW w:w="2093" w:type="dxa"/>
            <w:tcBorders>
              <w:top w:val="single" w:sz="4" w:space="0" w:color="auto"/>
              <w:left w:val="single" w:sz="4" w:space="0" w:color="auto"/>
              <w:bottom w:val="single" w:sz="4" w:space="0" w:color="auto"/>
              <w:right w:val="single" w:sz="4" w:space="0" w:color="auto"/>
            </w:tcBorders>
            <w:hideMark/>
          </w:tcPr>
          <w:p w:rsidR="00AF6E5C" w:rsidRPr="004D6877" w:rsidRDefault="00AF6E5C" w:rsidP="00AF6E5C">
            <w:pPr>
              <w:widowControl w:val="0"/>
              <w:jc w:val="both"/>
              <w:rPr>
                <w:rFonts w:ascii="Calibri" w:eastAsia="Calibri" w:hAnsi="Calibri"/>
                <w:sz w:val="24"/>
                <w:szCs w:val="24"/>
                <w:lang w:eastAsia="ru-RU"/>
              </w:rPr>
            </w:pPr>
            <w:r w:rsidRPr="004D6877">
              <w:rPr>
                <w:rFonts w:ascii="Calibri" w:eastAsia="Calibri" w:hAnsi="Calibri"/>
                <w:sz w:val="24"/>
                <w:szCs w:val="24"/>
                <w:lang w:eastAsia="ru-RU"/>
              </w:rPr>
              <w:t>Альтернатива 2</w:t>
            </w:r>
          </w:p>
        </w:tc>
        <w:tc>
          <w:tcPr>
            <w:tcW w:w="2977" w:type="dxa"/>
            <w:tcBorders>
              <w:top w:val="single" w:sz="4" w:space="0" w:color="auto"/>
              <w:left w:val="single" w:sz="4" w:space="0" w:color="auto"/>
              <w:bottom w:val="single" w:sz="4" w:space="0" w:color="auto"/>
              <w:right w:val="single" w:sz="4" w:space="0" w:color="auto"/>
            </w:tcBorders>
            <w:hideMark/>
          </w:tcPr>
          <w:p w:rsidR="00AF6E5C" w:rsidRPr="004D6877" w:rsidRDefault="00AF6E5C" w:rsidP="00AF6E5C">
            <w:pPr>
              <w:widowControl w:val="0"/>
              <w:jc w:val="both"/>
              <w:rPr>
                <w:rFonts w:eastAsia="Calibri"/>
                <w:sz w:val="24"/>
                <w:szCs w:val="24"/>
                <w:lang w:eastAsia="ru-RU"/>
              </w:rPr>
            </w:pPr>
            <w:r w:rsidRPr="004D6877">
              <w:rPr>
                <w:rFonts w:eastAsia="Calibri"/>
                <w:sz w:val="24"/>
                <w:szCs w:val="24"/>
                <w:lang w:eastAsia="ru-RU"/>
              </w:rPr>
              <w:t>Вигоди відсутні.</w:t>
            </w:r>
          </w:p>
        </w:tc>
        <w:tc>
          <w:tcPr>
            <w:tcW w:w="2409" w:type="dxa"/>
            <w:tcBorders>
              <w:top w:val="single" w:sz="4" w:space="0" w:color="auto"/>
              <w:left w:val="single" w:sz="4" w:space="0" w:color="auto"/>
              <w:bottom w:val="single" w:sz="4" w:space="0" w:color="auto"/>
              <w:right w:val="single" w:sz="4" w:space="0" w:color="auto"/>
            </w:tcBorders>
            <w:hideMark/>
          </w:tcPr>
          <w:p w:rsidR="00AF6E5C" w:rsidRPr="004D6877" w:rsidRDefault="00AF6E5C" w:rsidP="00AF6E5C">
            <w:pPr>
              <w:widowControl w:val="0"/>
              <w:jc w:val="both"/>
              <w:rPr>
                <w:rFonts w:eastAsia="Calibri"/>
                <w:sz w:val="24"/>
                <w:szCs w:val="24"/>
                <w:lang w:val="ru-RU" w:eastAsia="ru-RU"/>
              </w:rPr>
            </w:pPr>
            <w:r w:rsidRPr="004D6877">
              <w:rPr>
                <w:rFonts w:eastAsia="Calibri"/>
                <w:sz w:val="24"/>
                <w:szCs w:val="24"/>
              </w:rPr>
              <w:t>Витрати відсутні.</w:t>
            </w:r>
          </w:p>
        </w:tc>
        <w:tc>
          <w:tcPr>
            <w:tcW w:w="2375" w:type="dxa"/>
            <w:tcBorders>
              <w:top w:val="single" w:sz="4" w:space="0" w:color="auto"/>
              <w:left w:val="single" w:sz="4" w:space="0" w:color="auto"/>
              <w:bottom w:val="single" w:sz="4" w:space="0" w:color="auto"/>
              <w:right w:val="single" w:sz="4" w:space="0" w:color="auto"/>
            </w:tcBorders>
            <w:hideMark/>
          </w:tcPr>
          <w:p w:rsidR="00AF6E5C" w:rsidRPr="004D6877" w:rsidRDefault="00AF6E5C" w:rsidP="00AF6E5C">
            <w:pPr>
              <w:widowControl w:val="0"/>
              <w:jc w:val="both"/>
              <w:rPr>
                <w:rFonts w:eastAsia="Calibri"/>
                <w:sz w:val="24"/>
                <w:szCs w:val="24"/>
                <w:lang w:eastAsia="ru-RU"/>
              </w:rPr>
            </w:pPr>
            <w:r w:rsidRPr="004D6877">
              <w:rPr>
                <w:rFonts w:eastAsia="Calibri"/>
                <w:sz w:val="24"/>
                <w:szCs w:val="24"/>
                <w:lang w:eastAsia="ru-RU"/>
              </w:rPr>
              <w:t xml:space="preserve">Є найгіршою з альтернатив, оскільки </w:t>
            </w:r>
            <w:r w:rsidRPr="004D6877">
              <w:rPr>
                <w:rFonts w:eastAsia="Calibri"/>
                <w:sz w:val="24"/>
                <w:szCs w:val="24"/>
              </w:rPr>
              <w:t xml:space="preserve">механізм реалізації вимог  Закону № 190 та постанови № 321 залишиться нормативно неврегульованим, тобто </w:t>
            </w:r>
            <w:r w:rsidRPr="004D6877">
              <w:rPr>
                <w:rFonts w:eastAsia="Calibri"/>
                <w:sz w:val="24"/>
                <w:szCs w:val="24"/>
                <w:lang w:eastAsia="ru-RU"/>
              </w:rPr>
              <w:t xml:space="preserve">досягнення цілей державного регулювання не буде забезпечено. </w:t>
            </w:r>
          </w:p>
        </w:tc>
      </w:tr>
    </w:tbl>
    <w:p w:rsidR="00AF6E5C" w:rsidRPr="004D6877" w:rsidRDefault="00AF6E5C" w:rsidP="00AF6E5C">
      <w:pPr>
        <w:widowControl w:val="0"/>
        <w:spacing w:after="0" w:line="240" w:lineRule="auto"/>
        <w:jc w:val="both"/>
        <w:rPr>
          <w:rFonts w:ascii="Times New Roman" w:eastAsia="Calibri" w:hAnsi="Times New Roman" w:cs="Times New Roman"/>
          <w:strike/>
          <w:sz w:val="24"/>
          <w:szCs w:val="24"/>
        </w:rPr>
      </w:pPr>
    </w:p>
    <w:p w:rsidR="00AF6E5C" w:rsidRPr="004D6877" w:rsidRDefault="00AF6E5C" w:rsidP="00AF6E5C">
      <w:pPr>
        <w:widowControl w:val="0"/>
        <w:spacing w:after="0" w:line="240" w:lineRule="auto"/>
        <w:ind w:firstLine="709"/>
        <w:jc w:val="center"/>
        <w:rPr>
          <w:rFonts w:ascii="Times New Roman" w:eastAsia="Calibri" w:hAnsi="Times New Roman" w:cs="Times New Roman"/>
          <w:b/>
          <w:sz w:val="28"/>
          <w:szCs w:val="28"/>
        </w:rPr>
      </w:pPr>
      <w:r w:rsidRPr="004D6877">
        <w:rPr>
          <w:rFonts w:ascii="Times New Roman" w:eastAsia="Calibri" w:hAnsi="Times New Roman" w:cs="Times New Roman"/>
          <w:b/>
          <w:sz w:val="28"/>
          <w:szCs w:val="28"/>
        </w:rPr>
        <w:t>V. Механізми та заходи, які забезпечать розв’язання визначеної проблеми</w:t>
      </w:r>
    </w:p>
    <w:p w:rsidR="00AF6E5C" w:rsidRPr="004D6877" w:rsidRDefault="00AF6E5C" w:rsidP="00AF6E5C">
      <w:pPr>
        <w:widowControl w:val="0"/>
        <w:spacing w:before="120" w:after="0" w:line="240" w:lineRule="auto"/>
        <w:ind w:firstLine="709"/>
        <w:jc w:val="both"/>
        <w:rPr>
          <w:rFonts w:ascii="Times New Roman" w:eastAsia="Calibri" w:hAnsi="Times New Roman" w:cs="Times New Roman"/>
          <w:i/>
          <w:sz w:val="28"/>
          <w:szCs w:val="28"/>
        </w:rPr>
      </w:pPr>
      <w:r w:rsidRPr="004D6877">
        <w:rPr>
          <w:rFonts w:ascii="Times New Roman" w:eastAsia="Calibri" w:hAnsi="Times New Roman" w:cs="Times New Roman"/>
          <w:i/>
          <w:sz w:val="28"/>
          <w:szCs w:val="28"/>
        </w:rPr>
        <w:t>Механізм дії регуляторного акта</w:t>
      </w:r>
    </w:p>
    <w:p w:rsidR="00AF6E5C" w:rsidRPr="004D6877" w:rsidRDefault="00AF6E5C" w:rsidP="00AF6E5C">
      <w:pPr>
        <w:keepNext/>
        <w:spacing w:before="60" w:after="0" w:line="240" w:lineRule="auto"/>
        <w:ind w:firstLine="709"/>
        <w:jc w:val="both"/>
        <w:outlineLvl w:val="2"/>
        <w:rPr>
          <w:rFonts w:ascii="Times New Roman" w:eastAsia="Calibri" w:hAnsi="Times New Roman" w:cs="Times New Roman"/>
          <w:sz w:val="28"/>
          <w:szCs w:val="28"/>
        </w:rPr>
      </w:pPr>
      <w:r w:rsidRPr="004D6877">
        <w:rPr>
          <w:rFonts w:ascii="Times New Roman" w:eastAsia="Calibri" w:hAnsi="Times New Roman" w:cs="Times New Roman"/>
          <w:sz w:val="28"/>
          <w:szCs w:val="28"/>
        </w:rPr>
        <w:t>Реалізація поставлених цілей державного регулювання забезпечується шляхом прийняття проекту наказу, яким врегульовуються наступні питання:</w:t>
      </w:r>
    </w:p>
    <w:p w:rsidR="00AF6E5C" w:rsidRPr="004D6877" w:rsidRDefault="00AF6E5C" w:rsidP="00AF6E5C">
      <w:pPr>
        <w:widowControl w:val="0"/>
        <w:autoSpaceDE w:val="0"/>
        <w:autoSpaceDN w:val="0"/>
        <w:adjustRightInd w:val="0"/>
        <w:spacing w:before="40" w:after="0" w:line="240" w:lineRule="auto"/>
        <w:ind w:right="29" w:firstLine="709"/>
        <w:contextualSpacing/>
        <w:jc w:val="both"/>
        <w:rPr>
          <w:rFonts w:ascii="Times New Roman" w:eastAsia="Calibri" w:hAnsi="Times New Roman" w:cs="Times New Roman"/>
          <w:sz w:val="28"/>
          <w:szCs w:val="28"/>
        </w:rPr>
      </w:pPr>
      <w:r w:rsidRPr="004D6877">
        <w:rPr>
          <w:rFonts w:ascii="Times New Roman" w:eastAsia="Times New Roman" w:hAnsi="Times New Roman" w:cs="Times New Roman"/>
          <w:sz w:val="28"/>
          <w:szCs w:val="28"/>
          <w:lang w:eastAsia="ru-RU"/>
        </w:rPr>
        <w:t>1) ведення єдиної картки платників за платниками, включеними до реєстру платників, які використовують єдиний рахунок;</w:t>
      </w:r>
      <w:r w:rsidRPr="004D6877">
        <w:rPr>
          <w:rFonts w:ascii="Times New Roman" w:eastAsia="Times New Roman" w:hAnsi="Times New Roman" w:cs="Times New Roman"/>
          <w:sz w:val="24"/>
          <w:szCs w:val="26"/>
          <w:lang w:eastAsia="ru-RU"/>
        </w:rPr>
        <w:t xml:space="preserve"> </w:t>
      </w:r>
    </w:p>
    <w:p w:rsidR="00AF6E5C" w:rsidRPr="004D6877" w:rsidRDefault="00AF6E5C" w:rsidP="00AF6E5C">
      <w:pPr>
        <w:widowControl w:val="0"/>
        <w:tabs>
          <w:tab w:val="left" w:pos="993"/>
        </w:tabs>
        <w:autoSpaceDE w:val="0"/>
        <w:autoSpaceDN w:val="0"/>
        <w:adjustRightInd w:val="0"/>
        <w:spacing w:before="40" w:after="0" w:line="240" w:lineRule="auto"/>
        <w:ind w:firstLine="709"/>
        <w:jc w:val="both"/>
        <w:rPr>
          <w:rFonts w:ascii="Times New Roman" w:eastAsia="Calibri" w:hAnsi="Times New Roman" w:cs="Times New Roman"/>
          <w:sz w:val="27"/>
          <w:szCs w:val="27"/>
        </w:rPr>
      </w:pPr>
      <w:r w:rsidRPr="004D6877">
        <w:rPr>
          <w:rFonts w:ascii="Times New Roman" w:eastAsia="Calibri" w:hAnsi="Times New Roman" w:cs="Times New Roman"/>
          <w:sz w:val="28"/>
          <w:szCs w:val="28"/>
        </w:rPr>
        <w:t>2) отримання, опрацювання та відображення в</w:t>
      </w:r>
      <w:r w:rsidRPr="004D6877">
        <w:rPr>
          <w:rFonts w:ascii="Times New Roman" w:eastAsia="Calibri" w:hAnsi="Times New Roman" w:cs="Times New Roman"/>
          <w:sz w:val="28"/>
          <w:szCs w:val="28"/>
          <w:lang w:val="ru-RU"/>
        </w:rPr>
        <w:t xml:space="preserve"> </w:t>
      </w:r>
      <w:r w:rsidRPr="004D6877">
        <w:rPr>
          <w:rFonts w:ascii="Times New Roman" w:eastAsia="Calibri" w:hAnsi="Times New Roman" w:cs="Times New Roman"/>
          <w:sz w:val="28"/>
          <w:szCs w:val="28"/>
        </w:rPr>
        <w:t>інформаційно-телекомунікаційній системі ДПС інформації Казначейства про рух коштів на єдиному рахунку;</w:t>
      </w:r>
      <w:r w:rsidRPr="004D6877">
        <w:rPr>
          <w:rFonts w:ascii="Times New Roman" w:eastAsia="Calibri" w:hAnsi="Times New Roman" w:cs="Times New Roman"/>
          <w:sz w:val="27"/>
          <w:szCs w:val="27"/>
        </w:rPr>
        <w:t xml:space="preserve"> </w:t>
      </w:r>
    </w:p>
    <w:p w:rsidR="00AF6E5C" w:rsidRPr="004D6877" w:rsidRDefault="00AF6E5C" w:rsidP="00AF6E5C">
      <w:pPr>
        <w:spacing w:before="40" w:after="0" w:line="240" w:lineRule="auto"/>
        <w:ind w:firstLine="709"/>
        <w:jc w:val="both"/>
        <w:rPr>
          <w:rFonts w:ascii="Times New Roman" w:eastAsia="Calibri" w:hAnsi="Times New Roman" w:cs="Times New Roman"/>
          <w:sz w:val="28"/>
          <w:szCs w:val="28"/>
        </w:rPr>
      </w:pPr>
      <w:r w:rsidRPr="004D6877">
        <w:rPr>
          <w:rFonts w:ascii="Times New Roman" w:eastAsia="Calibri" w:hAnsi="Times New Roman" w:cs="Times New Roman"/>
          <w:sz w:val="28"/>
          <w:szCs w:val="28"/>
        </w:rPr>
        <w:t>3) формування повідомлень платникам про наявні помилки в реквізитах поля «Призначення платежу» розрахункового  документу;</w:t>
      </w:r>
    </w:p>
    <w:p w:rsidR="00AF6E5C" w:rsidRPr="004D6877" w:rsidRDefault="00AF6E5C" w:rsidP="00AF6E5C">
      <w:pPr>
        <w:widowControl w:val="0"/>
        <w:autoSpaceDE w:val="0"/>
        <w:autoSpaceDN w:val="0"/>
        <w:adjustRightInd w:val="0"/>
        <w:spacing w:before="40" w:after="0" w:line="240" w:lineRule="auto"/>
        <w:ind w:firstLine="709"/>
        <w:jc w:val="both"/>
        <w:rPr>
          <w:rFonts w:ascii="Times New Roman" w:eastAsia="Calibri" w:hAnsi="Times New Roman" w:cs="Times New Roman"/>
          <w:szCs w:val="26"/>
        </w:rPr>
      </w:pPr>
      <w:r w:rsidRPr="004D6877">
        <w:rPr>
          <w:rFonts w:ascii="Times New Roman" w:eastAsia="Calibri" w:hAnsi="Times New Roman" w:cs="Times New Roman"/>
          <w:sz w:val="28"/>
          <w:szCs w:val="28"/>
        </w:rPr>
        <w:lastRenderedPageBreak/>
        <w:t>4) відображення в</w:t>
      </w:r>
      <w:r w:rsidRPr="004D6877">
        <w:rPr>
          <w:rFonts w:ascii="Times New Roman" w:eastAsia="Calibri" w:hAnsi="Times New Roman" w:cs="Times New Roman"/>
          <w:sz w:val="28"/>
          <w:szCs w:val="28"/>
          <w:lang w:val="ru-RU"/>
        </w:rPr>
        <w:t xml:space="preserve"> </w:t>
      </w:r>
      <w:r w:rsidRPr="004D6877">
        <w:rPr>
          <w:rFonts w:ascii="Times New Roman" w:eastAsia="Calibri" w:hAnsi="Times New Roman" w:cs="Times New Roman"/>
          <w:sz w:val="28"/>
          <w:szCs w:val="28"/>
        </w:rPr>
        <w:t xml:space="preserve">інформаційно-телекомунікаційній системі ДПС інформації, отриманої від платників через </w:t>
      </w:r>
      <w:r w:rsidRPr="004D6877">
        <w:rPr>
          <w:rFonts w:ascii="Times New Roman" w:eastAsia="Calibri" w:hAnsi="Times New Roman" w:cs="Times New Roman"/>
          <w:sz w:val="28"/>
          <w:szCs w:val="28"/>
          <w:lang w:eastAsia="uk-UA"/>
        </w:rPr>
        <w:t xml:space="preserve">Електронний кабінет </w:t>
      </w:r>
      <w:r w:rsidRPr="004D6877">
        <w:rPr>
          <w:rFonts w:ascii="Times New Roman" w:eastAsia="Calibri" w:hAnsi="Times New Roman" w:cs="Times New Roman"/>
          <w:sz w:val="28"/>
          <w:szCs w:val="28"/>
        </w:rPr>
        <w:t>про уточнення реквізитів поля «Призначення платежу» розрахункового документу, за яким сплачено кошти на єдиний рахунок, та визначення напряму використання коштів на єдиному рахунку;</w:t>
      </w:r>
    </w:p>
    <w:p w:rsidR="00AF6E5C" w:rsidRPr="004D6877" w:rsidRDefault="00AF6E5C" w:rsidP="00AF6E5C">
      <w:pPr>
        <w:spacing w:before="40" w:after="0" w:line="240" w:lineRule="auto"/>
        <w:ind w:firstLine="709"/>
        <w:jc w:val="both"/>
        <w:rPr>
          <w:rFonts w:ascii="Times New Roman" w:eastAsia="Calibri" w:hAnsi="Times New Roman" w:cs="Times New Roman"/>
          <w:sz w:val="28"/>
          <w:szCs w:val="28"/>
        </w:rPr>
      </w:pPr>
      <w:r w:rsidRPr="004D6877">
        <w:rPr>
          <w:rFonts w:ascii="Times New Roman" w:eastAsia="Calibri" w:hAnsi="Times New Roman" w:cs="Times New Roman"/>
          <w:sz w:val="28"/>
          <w:szCs w:val="28"/>
        </w:rPr>
        <w:t>5) повернення коштів з єдиного рахунк</w:t>
      </w:r>
      <w:r w:rsidR="004D6877" w:rsidRPr="004D6877">
        <w:rPr>
          <w:rFonts w:ascii="Times New Roman" w:eastAsia="Calibri" w:hAnsi="Times New Roman" w:cs="Times New Roman"/>
          <w:sz w:val="28"/>
          <w:szCs w:val="28"/>
        </w:rPr>
        <w:t>а</w:t>
      </w:r>
      <w:r w:rsidRPr="004D6877">
        <w:rPr>
          <w:rFonts w:ascii="Times New Roman" w:eastAsia="Calibri" w:hAnsi="Times New Roman" w:cs="Times New Roman"/>
          <w:sz w:val="28"/>
          <w:szCs w:val="28"/>
        </w:rPr>
        <w:t xml:space="preserve"> платникам, яких не можна ідентифікувати та/або які не включені до реєстру платників, які використовують єдиний рахунок;</w:t>
      </w:r>
    </w:p>
    <w:p w:rsidR="00AF6E5C" w:rsidRPr="004D6877" w:rsidRDefault="00AF6E5C" w:rsidP="00AF6E5C">
      <w:pPr>
        <w:widowControl w:val="0"/>
        <w:autoSpaceDE w:val="0"/>
        <w:autoSpaceDN w:val="0"/>
        <w:adjustRightInd w:val="0"/>
        <w:spacing w:before="40" w:after="0" w:line="240" w:lineRule="auto"/>
        <w:ind w:firstLine="709"/>
        <w:jc w:val="both"/>
        <w:rPr>
          <w:rFonts w:ascii="Times New Roman" w:eastAsia="Calibri" w:hAnsi="Times New Roman" w:cs="Times New Roman"/>
          <w:sz w:val="28"/>
          <w:szCs w:val="28"/>
        </w:rPr>
      </w:pPr>
      <w:r w:rsidRPr="004D6877">
        <w:rPr>
          <w:rFonts w:ascii="Times New Roman" w:eastAsia="Calibri" w:hAnsi="Times New Roman" w:cs="Times New Roman"/>
          <w:sz w:val="28"/>
          <w:szCs w:val="28"/>
        </w:rPr>
        <w:t>6) генерування онлайн-інформації про зарахування коштів на єдиний рахунок та офлайн-інформації про помилково та/або надміру сплачені грошові зобов’язання (зобов’язання з єдиного внеску) і пені, що надійшли на єдиний рахунок, за якими платник через</w:t>
      </w:r>
      <w:r w:rsidRPr="004D6877">
        <w:rPr>
          <w:rFonts w:ascii="Times New Roman" w:eastAsia="Calibri" w:hAnsi="Times New Roman" w:cs="Times New Roman"/>
          <w:sz w:val="28"/>
          <w:szCs w:val="28"/>
          <w:lang w:eastAsia="uk-UA"/>
        </w:rPr>
        <w:t xml:space="preserve"> Електронний кабінет </w:t>
      </w:r>
      <w:r w:rsidRPr="004D6877">
        <w:rPr>
          <w:rFonts w:ascii="Times New Roman" w:eastAsia="Calibri" w:hAnsi="Times New Roman" w:cs="Times New Roman"/>
          <w:sz w:val="28"/>
          <w:szCs w:val="28"/>
        </w:rPr>
        <w:t>уточнив належність платежу відповідному одержувачу та/або визначив напрям використання таких коштів;</w:t>
      </w:r>
    </w:p>
    <w:p w:rsidR="00AF6E5C" w:rsidRPr="004D6877" w:rsidRDefault="00AF6E5C" w:rsidP="00AF6E5C">
      <w:pPr>
        <w:widowControl w:val="0"/>
        <w:tabs>
          <w:tab w:val="left" w:pos="709"/>
        </w:tabs>
        <w:autoSpaceDE w:val="0"/>
        <w:autoSpaceDN w:val="0"/>
        <w:adjustRightInd w:val="0"/>
        <w:spacing w:before="40" w:after="0" w:line="240" w:lineRule="auto"/>
        <w:ind w:firstLine="709"/>
        <w:jc w:val="both"/>
        <w:rPr>
          <w:rFonts w:ascii="Times New Roman" w:eastAsia="Calibri" w:hAnsi="Times New Roman" w:cs="Times New Roman"/>
          <w:sz w:val="28"/>
          <w:szCs w:val="28"/>
        </w:rPr>
      </w:pPr>
      <w:r w:rsidRPr="004D6877">
        <w:rPr>
          <w:rFonts w:ascii="Times New Roman" w:eastAsia="Calibri" w:hAnsi="Times New Roman" w:cs="Times New Roman"/>
          <w:sz w:val="28"/>
          <w:szCs w:val="28"/>
        </w:rPr>
        <w:t>7) формування контрольних ренкінгів платників за показниками (упорядкована інформація), які підлягають сплаті на бюджетні/небюджетні рахунки;</w:t>
      </w:r>
    </w:p>
    <w:p w:rsidR="00AF6E5C" w:rsidRPr="004D6877" w:rsidRDefault="00AF6E5C" w:rsidP="00AF6E5C">
      <w:pPr>
        <w:widowControl w:val="0"/>
        <w:autoSpaceDE w:val="0"/>
        <w:autoSpaceDN w:val="0"/>
        <w:adjustRightInd w:val="0"/>
        <w:spacing w:before="40" w:after="0" w:line="240" w:lineRule="auto"/>
        <w:ind w:firstLine="709"/>
        <w:jc w:val="both"/>
        <w:rPr>
          <w:rFonts w:ascii="Times New Roman" w:eastAsia="Calibri" w:hAnsi="Times New Roman" w:cs="Times New Roman"/>
          <w:sz w:val="28"/>
          <w:szCs w:val="28"/>
        </w:rPr>
      </w:pPr>
      <w:r w:rsidRPr="004D6877">
        <w:rPr>
          <w:rFonts w:ascii="Times New Roman" w:eastAsia="Calibri" w:hAnsi="Times New Roman" w:cs="Times New Roman"/>
          <w:sz w:val="28"/>
          <w:szCs w:val="28"/>
        </w:rPr>
        <w:t>8) генерування реєстру платежів з єдиного рахунка в розрізі окремого платника у складі зведеного реєстру платежів з єдиного рахунка, на підставі якого Казначейством перераховуються кошти з єдиного рахунк</w:t>
      </w:r>
      <w:r w:rsidR="004D6877" w:rsidRPr="004D6877">
        <w:rPr>
          <w:rFonts w:ascii="Times New Roman" w:eastAsia="Calibri" w:hAnsi="Times New Roman" w:cs="Times New Roman"/>
          <w:sz w:val="28"/>
          <w:szCs w:val="28"/>
        </w:rPr>
        <w:t>а</w:t>
      </w:r>
      <w:r w:rsidRPr="004D6877">
        <w:rPr>
          <w:rFonts w:ascii="Times New Roman" w:eastAsia="Calibri" w:hAnsi="Times New Roman" w:cs="Times New Roman"/>
          <w:sz w:val="28"/>
          <w:szCs w:val="28"/>
        </w:rPr>
        <w:t xml:space="preserve"> на бюджетні/небюджетні рахунки.</w:t>
      </w:r>
    </w:p>
    <w:p w:rsidR="00AF6E5C" w:rsidRPr="004D6877" w:rsidRDefault="00AF6E5C" w:rsidP="00AF6E5C">
      <w:pPr>
        <w:widowControl w:val="0"/>
        <w:spacing w:before="120" w:after="120" w:line="240" w:lineRule="auto"/>
        <w:ind w:firstLine="709"/>
        <w:rPr>
          <w:rFonts w:ascii="Times New Roman" w:eastAsia="Calibri" w:hAnsi="Times New Roman" w:cs="Times New Roman"/>
          <w:i/>
          <w:sz w:val="28"/>
          <w:szCs w:val="28"/>
        </w:rPr>
      </w:pPr>
      <w:r w:rsidRPr="004D6877">
        <w:rPr>
          <w:rFonts w:ascii="Times New Roman" w:eastAsia="Calibri" w:hAnsi="Times New Roman" w:cs="Times New Roman"/>
          <w:i/>
          <w:sz w:val="28"/>
          <w:szCs w:val="28"/>
        </w:rPr>
        <w:t>Організаційні заходи впровадження регуляторного акта в дію</w:t>
      </w:r>
    </w:p>
    <w:p w:rsidR="00AF6E5C" w:rsidRPr="004D6877" w:rsidRDefault="00AF6E5C" w:rsidP="00AF6E5C">
      <w:pPr>
        <w:suppressAutoHyphens/>
        <w:spacing w:before="120" w:after="0" w:line="240" w:lineRule="auto"/>
        <w:ind w:firstLine="709"/>
        <w:jc w:val="both"/>
        <w:rPr>
          <w:rFonts w:ascii="Times New Roman" w:eastAsia="Times New Roman" w:hAnsi="Times New Roman" w:cs="Times New Roman"/>
          <w:bCs/>
          <w:sz w:val="28"/>
          <w:szCs w:val="28"/>
          <w:lang w:eastAsia="ru-RU"/>
        </w:rPr>
      </w:pPr>
      <w:r w:rsidRPr="004D6877">
        <w:rPr>
          <w:rFonts w:ascii="Times New Roman" w:eastAsia="Times New Roman" w:hAnsi="Times New Roman" w:cs="Times New Roman"/>
          <w:bCs/>
          <w:sz w:val="28"/>
          <w:szCs w:val="28"/>
          <w:lang w:eastAsia="ru-RU"/>
        </w:rPr>
        <w:t>Для впровадження цього регуляторного акта необхідно забезпечити інформування громадськості про вимоги регуляторного акта шляхом його оприлюднення на офіційному вебсайті Міністерства фінансів України.</w:t>
      </w:r>
    </w:p>
    <w:p w:rsidR="00AF6E5C" w:rsidRPr="004D6877" w:rsidRDefault="00AF6E5C" w:rsidP="00AF6E5C">
      <w:pPr>
        <w:tabs>
          <w:tab w:val="left" w:pos="-180"/>
        </w:tabs>
        <w:spacing w:before="40" w:after="0" w:line="240" w:lineRule="auto"/>
        <w:ind w:right="-82" w:firstLine="709"/>
        <w:jc w:val="both"/>
        <w:rPr>
          <w:rFonts w:ascii="Times New Roman" w:eastAsia="Times New Roman" w:hAnsi="Times New Roman" w:cs="Times New Roman"/>
          <w:bCs/>
          <w:sz w:val="28"/>
          <w:szCs w:val="28"/>
          <w:lang w:eastAsia="ru-RU"/>
        </w:rPr>
      </w:pPr>
      <w:r w:rsidRPr="004D6877">
        <w:rPr>
          <w:rFonts w:ascii="Times New Roman" w:eastAsia="Times New Roman" w:hAnsi="Times New Roman" w:cs="Times New Roman"/>
          <w:bCs/>
          <w:sz w:val="28"/>
          <w:szCs w:val="28"/>
          <w:lang w:eastAsia="ru-RU"/>
        </w:rPr>
        <w:t>Ризики впливу зовнішніх факторів на дію регуляторного акта відсутні.</w:t>
      </w:r>
    </w:p>
    <w:p w:rsidR="00AF6E5C" w:rsidRPr="004D6877" w:rsidRDefault="00AF6E5C" w:rsidP="00AF6E5C">
      <w:pPr>
        <w:spacing w:before="40" w:after="0" w:line="240" w:lineRule="auto"/>
        <w:ind w:firstLine="709"/>
        <w:jc w:val="both"/>
        <w:rPr>
          <w:rFonts w:ascii="Times New Roman" w:eastAsia="Times New Roman" w:hAnsi="Times New Roman" w:cs="Times New Roman"/>
          <w:bCs/>
          <w:sz w:val="28"/>
          <w:szCs w:val="28"/>
          <w:lang w:eastAsia="ru-RU"/>
        </w:rPr>
      </w:pPr>
      <w:r w:rsidRPr="004D6877">
        <w:rPr>
          <w:rFonts w:ascii="Times New Roman" w:eastAsia="Times New Roman" w:hAnsi="Times New Roman" w:cs="Times New Roman"/>
          <w:bCs/>
          <w:sz w:val="28"/>
          <w:szCs w:val="28"/>
          <w:lang w:eastAsia="ru-RU"/>
        </w:rPr>
        <w:t>Прийняття проекту наказу не приведе до неочікуваних результатів і не потребує додаткових витрат з державного чи місцевих бюджетів.</w:t>
      </w:r>
    </w:p>
    <w:p w:rsidR="00AF6E5C" w:rsidRPr="004D6877" w:rsidRDefault="00AF6E5C" w:rsidP="00AF6E5C">
      <w:pPr>
        <w:spacing w:before="40" w:after="0" w:line="240" w:lineRule="auto"/>
        <w:ind w:firstLine="709"/>
        <w:jc w:val="both"/>
        <w:rPr>
          <w:rFonts w:ascii="Times New Roman" w:eastAsia="Times New Roman" w:hAnsi="Times New Roman" w:cs="Times New Roman"/>
          <w:bCs/>
          <w:sz w:val="28"/>
          <w:szCs w:val="28"/>
          <w:lang w:eastAsia="ru-RU"/>
        </w:rPr>
      </w:pPr>
      <w:r w:rsidRPr="004D6877">
        <w:rPr>
          <w:rFonts w:ascii="Times New Roman" w:eastAsia="Times New Roman" w:hAnsi="Times New Roman" w:cs="Times New Roman"/>
          <w:bCs/>
          <w:sz w:val="28"/>
          <w:szCs w:val="28"/>
          <w:lang w:eastAsia="ru-RU"/>
        </w:rPr>
        <w:t>Можлива шкода у разі очікуваних наслідків дії акта не прогнозується.</w:t>
      </w:r>
    </w:p>
    <w:p w:rsidR="00AF6E5C" w:rsidRPr="004D6877" w:rsidRDefault="00AF6E5C" w:rsidP="00AF6E5C">
      <w:pPr>
        <w:spacing w:before="40" w:after="0" w:line="240" w:lineRule="auto"/>
        <w:ind w:firstLine="709"/>
        <w:jc w:val="both"/>
        <w:rPr>
          <w:rFonts w:ascii="Times New Roman" w:eastAsia="Times New Roman" w:hAnsi="Times New Roman" w:cs="Times New Roman"/>
          <w:bCs/>
          <w:sz w:val="28"/>
          <w:szCs w:val="28"/>
          <w:lang w:eastAsia="ru-RU"/>
        </w:rPr>
      </w:pPr>
      <w:r w:rsidRPr="004D6877">
        <w:rPr>
          <w:rFonts w:ascii="Times New Roman" w:eastAsia="Times New Roman" w:hAnsi="Times New Roman" w:cs="Times New Roman"/>
          <w:bCs/>
          <w:sz w:val="28"/>
          <w:szCs w:val="28"/>
          <w:lang w:eastAsia="ru-RU"/>
        </w:rPr>
        <w:t>З боку суб’єктів господарювання відсутня необхідність вчинення додаткових дій, оскільки проект акта не створює регуляторних бар’єрів щодо здійснення господарської діяльності.</w:t>
      </w:r>
    </w:p>
    <w:p w:rsidR="00AF6E5C" w:rsidRPr="004D6877" w:rsidRDefault="00AF6E5C" w:rsidP="00AF6E5C">
      <w:pPr>
        <w:spacing w:before="40" w:after="0" w:line="240" w:lineRule="auto"/>
        <w:ind w:firstLine="709"/>
        <w:jc w:val="both"/>
        <w:rPr>
          <w:rFonts w:ascii="Times New Roman" w:eastAsia="Calibri" w:hAnsi="Times New Roman" w:cs="Times New Roman"/>
          <w:sz w:val="28"/>
          <w:szCs w:val="28"/>
        </w:rPr>
      </w:pPr>
      <w:r w:rsidRPr="004D6877">
        <w:rPr>
          <w:rFonts w:ascii="Times New Roman" w:eastAsia="Calibri" w:hAnsi="Times New Roman" w:cs="Times New Roman"/>
          <w:sz w:val="28"/>
          <w:szCs w:val="28"/>
        </w:rPr>
        <w:t>Проект наказу потребує погодження з Державною податковою службою України, Державною казначейською службою України, Державною регуляторною службою України, Державною службою спеціального зв’язку та захисту інформації України та отримання висновку Міністерства цифрової трансформації України про проведення цифрової експертизи.</w:t>
      </w:r>
    </w:p>
    <w:p w:rsidR="00AF6E5C" w:rsidRPr="004D6877" w:rsidRDefault="00AF6E5C" w:rsidP="00AF6E5C">
      <w:pPr>
        <w:spacing w:before="60" w:after="0" w:line="240" w:lineRule="auto"/>
        <w:ind w:firstLine="709"/>
        <w:jc w:val="both"/>
        <w:rPr>
          <w:rFonts w:ascii="Times New Roman" w:eastAsia="Times New Roman" w:hAnsi="Times New Roman" w:cs="Times New Roman"/>
          <w:bCs/>
          <w:sz w:val="28"/>
          <w:szCs w:val="28"/>
          <w:lang w:eastAsia="ru-RU"/>
        </w:rPr>
      </w:pPr>
      <w:r w:rsidRPr="004D6877">
        <w:rPr>
          <w:rFonts w:ascii="Times New Roman" w:eastAsia="Times New Roman" w:hAnsi="Times New Roman" w:cs="Times New Roman"/>
          <w:bCs/>
          <w:sz w:val="28"/>
          <w:szCs w:val="28"/>
          <w:lang w:eastAsia="ru-RU"/>
        </w:rPr>
        <w:t>Досягнення цілей не передбачає додаткових організаційних заходів.</w:t>
      </w:r>
    </w:p>
    <w:p w:rsidR="00AF6E5C" w:rsidRPr="004D6877" w:rsidRDefault="00AF6E5C" w:rsidP="00AF6E5C">
      <w:pPr>
        <w:spacing w:before="60" w:after="0" w:line="240" w:lineRule="auto"/>
        <w:ind w:firstLine="709"/>
        <w:jc w:val="both"/>
        <w:rPr>
          <w:rFonts w:ascii="Times New Roman" w:eastAsia="Times New Roman" w:hAnsi="Times New Roman" w:cs="Times New Roman"/>
          <w:bCs/>
          <w:sz w:val="28"/>
          <w:szCs w:val="28"/>
          <w:lang w:eastAsia="ru-RU"/>
        </w:rPr>
      </w:pPr>
    </w:p>
    <w:p w:rsidR="00AF6E5C" w:rsidRPr="004D6877" w:rsidRDefault="00AF6E5C" w:rsidP="00AF6E5C">
      <w:pPr>
        <w:spacing w:before="60" w:after="0" w:line="240" w:lineRule="auto"/>
        <w:ind w:firstLine="709"/>
        <w:jc w:val="both"/>
        <w:rPr>
          <w:rFonts w:ascii="Times New Roman" w:eastAsia="Times New Roman" w:hAnsi="Times New Roman" w:cs="Times New Roman"/>
          <w:bCs/>
          <w:sz w:val="28"/>
          <w:szCs w:val="28"/>
          <w:lang w:eastAsia="ru-RU"/>
        </w:rPr>
      </w:pPr>
    </w:p>
    <w:p w:rsidR="00AF6E5C" w:rsidRPr="004D6877" w:rsidRDefault="00AF6E5C" w:rsidP="00AF6E5C">
      <w:pPr>
        <w:spacing w:before="60" w:after="0" w:line="240" w:lineRule="auto"/>
        <w:ind w:firstLine="709"/>
        <w:jc w:val="both"/>
        <w:rPr>
          <w:rFonts w:ascii="Times New Roman" w:eastAsia="Times New Roman" w:hAnsi="Times New Roman" w:cs="Times New Roman"/>
          <w:bCs/>
          <w:sz w:val="28"/>
          <w:szCs w:val="28"/>
          <w:lang w:eastAsia="ru-RU"/>
        </w:rPr>
      </w:pPr>
    </w:p>
    <w:p w:rsidR="00AF6E5C" w:rsidRPr="004D6877" w:rsidRDefault="00AF6E5C" w:rsidP="00AF6E5C">
      <w:pPr>
        <w:spacing w:before="60" w:after="0" w:line="240" w:lineRule="auto"/>
        <w:ind w:firstLine="709"/>
        <w:jc w:val="both"/>
        <w:rPr>
          <w:rFonts w:ascii="Times New Roman" w:eastAsia="Times New Roman" w:hAnsi="Times New Roman" w:cs="Times New Roman"/>
          <w:bCs/>
          <w:sz w:val="28"/>
          <w:szCs w:val="28"/>
          <w:lang w:eastAsia="ru-RU"/>
        </w:rPr>
      </w:pPr>
    </w:p>
    <w:p w:rsidR="00AF6E5C" w:rsidRPr="004D6877" w:rsidRDefault="00AF6E5C" w:rsidP="00AF6E5C">
      <w:pPr>
        <w:widowControl w:val="0"/>
        <w:spacing w:after="0" w:line="240" w:lineRule="auto"/>
        <w:ind w:firstLine="709"/>
        <w:jc w:val="center"/>
        <w:rPr>
          <w:rFonts w:ascii="Times New Roman" w:eastAsia="Calibri" w:hAnsi="Times New Roman" w:cs="Times New Roman"/>
          <w:b/>
          <w:sz w:val="28"/>
          <w:szCs w:val="28"/>
        </w:rPr>
      </w:pPr>
      <w:r w:rsidRPr="004D6877">
        <w:rPr>
          <w:rFonts w:ascii="Times New Roman" w:eastAsia="Calibri" w:hAnsi="Times New Roman" w:cs="Times New Roman"/>
          <w:b/>
          <w:sz w:val="28"/>
          <w:szCs w:val="28"/>
        </w:rPr>
        <w:lastRenderedPageBreak/>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AF6E5C" w:rsidRPr="004D6877" w:rsidRDefault="00AF6E5C" w:rsidP="00AF6E5C">
      <w:pPr>
        <w:widowControl w:val="0"/>
        <w:spacing w:before="120" w:after="0" w:line="240" w:lineRule="auto"/>
        <w:ind w:firstLine="709"/>
        <w:jc w:val="both"/>
        <w:outlineLvl w:val="2"/>
        <w:rPr>
          <w:rFonts w:ascii="Times New Roman" w:eastAsia="Calibri" w:hAnsi="Times New Roman" w:cs="Times New Roman"/>
          <w:sz w:val="28"/>
          <w:szCs w:val="28"/>
        </w:rPr>
      </w:pPr>
      <w:r w:rsidRPr="004D6877">
        <w:rPr>
          <w:rFonts w:ascii="Times New Roman" w:eastAsia="Calibri" w:hAnsi="Times New Roman" w:cs="Times New Roman"/>
          <w:sz w:val="28"/>
          <w:szCs w:val="28"/>
        </w:rPr>
        <w:t xml:space="preserve">Реалізація проекту наказу не передбачає фінансових витрат з боку </w:t>
      </w:r>
      <w:r w:rsidRPr="004D6877">
        <w:rPr>
          <w:rFonts w:ascii="Times New Roman" w:eastAsia="Times New Roman" w:hAnsi="Times New Roman" w:cs="Times New Roman"/>
          <w:bCs/>
          <w:sz w:val="28"/>
          <w:szCs w:val="28"/>
          <w:lang w:eastAsia="ru-RU"/>
        </w:rPr>
        <w:t>органів виконавчої влади чи органів місцевого самоврядування</w:t>
      </w:r>
      <w:r w:rsidRPr="004D6877">
        <w:rPr>
          <w:rFonts w:ascii="Times New Roman" w:eastAsia="Calibri" w:hAnsi="Times New Roman" w:cs="Times New Roman"/>
          <w:sz w:val="28"/>
          <w:szCs w:val="28"/>
        </w:rPr>
        <w:t>, ф</w:t>
      </w:r>
      <w:r w:rsidRPr="004D6877">
        <w:rPr>
          <w:rFonts w:ascii="Times New Roman" w:eastAsia="Times New Roman" w:hAnsi="Times New Roman" w:cs="Times New Roman"/>
          <w:bCs/>
          <w:sz w:val="28"/>
          <w:szCs w:val="28"/>
          <w:lang w:eastAsia="ru-RU"/>
        </w:rPr>
        <w:t>ізичних та юридичних осіб</w:t>
      </w:r>
      <w:r w:rsidRPr="004D6877">
        <w:rPr>
          <w:rFonts w:ascii="Times New Roman" w:eastAsia="Calibri" w:hAnsi="Times New Roman" w:cs="Times New Roman"/>
          <w:sz w:val="28"/>
          <w:szCs w:val="28"/>
        </w:rPr>
        <w:t>.</w:t>
      </w:r>
    </w:p>
    <w:p w:rsidR="00AF6E5C" w:rsidRPr="004D6877" w:rsidRDefault="00AF6E5C" w:rsidP="00AF6E5C">
      <w:pPr>
        <w:widowControl w:val="0"/>
        <w:spacing w:before="120" w:after="0" w:line="240" w:lineRule="auto"/>
        <w:ind w:firstLine="709"/>
        <w:jc w:val="both"/>
        <w:outlineLvl w:val="2"/>
        <w:rPr>
          <w:rFonts w:ascii="Times New Roman" w:eastAsia="Calibri" w:hAnsi="Times New Roman" w:cs="Times New Roman"/>
          <w:sz w:val="28"/>
          <w:szCs w:val="28"/>
        </w:rPr>
      </w:pPr>
    </w:p>
    <w:p w:rsidR="00AF6E5C" w:rsidRPr="004D6877" w:rsidRDefault="00AF6E5C" w:rsidP="00AF6E5C">
      <w:pPr>
        <w:widowControl w:val="0"/>
        <w:spacing w:after="0" w:line="240" w:lineRule="auto"/>
        <w:ind w:firstLine="709"/>
        <w:jc w:val="center"/>
        <w:rPr>
          <w:rFonts w:ascii="Times New Roman" w:eastAsia="Calibri" w:hAnsi="Times New Roman" w:cs="Times New Roman"/>
          <w:b/>
          <w:sz w:val="28"/>
          <w:szCs w:val="28"/>
        </w:rPr>
      </w:pPr>
      <w:r w:rsidRPr="004D6877">
        <w:rPr>
          <w:rFonts w:ascii="Times New Roman" w:eastAsia="Calibri" w:hAnsi="Times New Roman" w:cs="Times New Roman"/>
          <w:b/>
          <w:sz w:val="28"/>
          <w:szCs w:val="28"/>
        </w:rPr>
        <w:t>VII. Обґрунтування запропонованого строку дії регуляторного акта</w:t>
      </w:r>
    </w:p>
    <w:p w:rsidR="00AF6E5C" w:rsidRPr="004D6877" w:rsidRDefault="00AF6E5C" w:rsidP="00AF6E5C">
      <w:pPr>
        <w:widowControl w:val="0"/>
        <w:spacing w:before="120" w:after="0"/>
        <w:ind w:firstLine="709"/>
        <w:contextualSpacing/>
        <w:jc w:val="both"/>
        <w:rPr>
          <w:rFonts w:ascii="Times New Roman" w:eastAsia="Times New Roman" w:hAnsi="Times New Roman" w:cs="Times New Roman"/>
          <w:sz w:val="28"/>
          <w:szCs w:val="28"/>
          <w:lang w:eastAsia="ru-RU"/>
        </w:rPr>
      </w:pPr>
      <w:r w:rsidRPr="004D6877">
        <w:rPr>
          <w:rFonts w:ascii="Times New Roman" w:eastAsia="Times New Roman" w:hAnsi="Times New Roman" w:cs="Times New Roman"/>
          <w:sz w:val="28"/>
          <w:szCs w:val="28"/>
          <w:lang w:eastAsia="ru-RU"/>
        </w:rPr>
        <w:t xml:space="preserve">Термін дії акта є необмеженим, оскільки норми Закону № 190, </w:t>
      </w:r>
      <w:r w:rsidRPr="004D6877">
        <w:rPr>
          <w:rFonts w:ascii="Times New Roman" w:eastAsia="Times New Roman" w:hAnsi="Times New Roman" w:cs="Times New Roman"/>
          <w:sz w:val="28"/>
          <w:szCs w:val="28"/>
          <w:lang w:eastAsia="ru-RU"/>
        </w:rPr>
        <w:br/>
        <w:t>Закону № 559 та постанови № 321, на виконання вимог яких розроблено проект наказу, мають необмежений термін дії.</w:t>
      </w:r>
    </w:p>
    <w:p w:rsidR="00AF6E5C" w:rsidRPr="004D6877" w:rsidRDefault="00AF6E5C" w:rsidP="00AF6E5C">
      <w:pPr>
        <w:widowControl w:val="0"/>
        <w:spacing w:after="0"/>
        <w:ind w:firstLine="709"/>
        <w:contextualSpacing/>
        <w:jc w:val="both"/>
        <w:rPr>
          <w:rFonts w:ascii="Times New Roman" w:eastAsia="Times New Roman" w:hAnsi="Times New Roman" w:cs="Times New Roman"/>
          <w:sz w:val="28"/>
          <w:szCs w:val="28"/>
          <w:lang w:eastAsia="ru-RU"/>
        </w:rPr>
      </w:pPr>
      <w:r w:rsidRPr="004D6877">
        <w:rPr>
          <w:rFonts w:ascii="Times New Roman" w:eastAsia="Times New Roman" w:hAnsi="Times New Roman" w:cs="Times New Roman"/>
          <w:sz w:val="28"/>
          <w:szCs w:val="28"/>
          <w:lang w:eastAsia="ru-RU"/>
        </w:rPr>
        <w:t>Зміна терміну дії акта можлива у разі внесення відповідних змін до зазначених законодавчо – нормативних актів.</w:t>
      </w:r>
    </w:p>
    <w:p w:rsidR="00AF6E5C" w:rsidRPr="004D6877" w:rsidRDefault="00AF6E5C" w:rsidP="00AF6E5C">
      <w:pPr>
        <w:spacing w:after="0"/>
        <w:ind w:firstLine="709"/>
        <w:contextualSpacing/>
        <w:jc w:val="both"/>
        <w:rPr>
          <w:rFonts w:ascii="Times New Roman" w:eastAsia="Times New Roman" w:hAnsi="Times New Roman" w:cs="Times New Roman"/>
          <w:sz w:val="28"/>
          <w:szCs w:val="28"/>
          <w:lang w:eastAsia="ru-RU"/>
        </w:rPr>
      </w:pPr>
      <w:r w:rsidRPr="004D6877">
        <w:rPr>
          <w:rFonts w:ascii="Times New Roman" w:eastAsia="Times New Roman" w:hAnsi="Times New Roman" w:cs="Times New Roman"/>
          <w:sz w:val="28"/>
          <w:szCs w:val="28"/>
          <w:lang w:eastAsia="ru-RU"/>
        </w:rPr>
        <w:t>Термін набрання чинності регуляторним актом – відповідно до законодавства після його офіційного оприлюднення із застосуванням з 01 січня 2020 року.</w:t>
      </w:r>
    </w:p>
    <w:p w:rsidR="00AF6E5C" w:rsidRPr="004D6877" w:rsidRDefault="00AF6E5C" w:rsidP="00AF6E5C">
      <w:pPr>
        <w:widowControl w:val="0"/>
        <w:spacing w:after="0"/>
        <w:ind w:firstLine="709"/>
        <w:contextualSpacing/>
        <w:jc w:val="both"/>
        <w:rPr>
          <w:rFonts w:ascii="Times New Roman" w:eastAsia="Times New Roman" w:hAnsi="Times New Roman" w:cs="Times New Roman"/>
          <w:sz w:val="28"/>
          <w:szCs w:val="28"/>
          <w:lang w:eastAsia="ru-RU"/>
        </w:rPr>
      </w:pPr>
      <w:r w:rsidRPr="004D6877">
        <w:rPr>
          <w:rFonts w:ascii="Times New Roman" w:eastAsia="Times New Roman" w:hAnsi="Times New Roman" w:cs="Times New Roman"/>
          <w:sz w:val="28"/>
          <w:szCs w:val="28"/>
          <w:lang w:eastAsia="ru-RU"/>
        </w:rPr>
        <w:t xml:space="preserve">У разі внесення змін до норм Закону № 190, Закону № 559 та </w:t>
      </w:r>
      <w:r w:rsidRPr="004D6877">
        <w:rPr>
          <w:rFonts w:ascii="Times New Roman" w:eastAsia="Times New Roman" w:hAnsi="Times New Roman" w:cs="Times New Roman"/>
          <w:sz w:val="28"/>
          <w:szCs w:val="28"/>
          <w:lang w:eastAsia="ru-RU"/>
        </w:rPr>
        <w:br/>
        <w:t>постанови № 321 регуляторний акт має бути приведений у відповідність до таких змін.</w:t>
      </w:r>
    </w:p>
    <w:p w:rsidR="00AF6E5C" w:rsidRPr="004D6877" w:rsidRDefault="00AF6E5C" w:rsidP="00AF6E5C">
      <w:pPr>
        <w:widowControl w:val="0"/>
        <w:spacing w:after="0" w:line="240" w:lineRule="auto"/>
        <w:ind w:firstLine="709"/>
        <w:jc w:val="center"/>
        <w:rPr>
          <w:rFonts w:ascii="Times New Roman" w:eastAsia="Times New Roman" w:hAnsi="Times New Roman" w:cs="Times New Roman"/>
          <w:b/>
          <w:sz w:val="28"/>
          <w:szCs w:val="28"/>
          <w:lang w:eastAsia="ru-RU"/>
        </w:rPr>
      </w:pPr>
      <w:r w:rsidRPr="004D6877">
        <w:rPr>
          <w:rFonts w:ascii="Times New Roman" w:eastAsia="Times New Roman" w:hAnsi="Times New Roman" w:cs="Times New Roman"/>
          <w:b/>
          <w:sz w:val="28"/>
          <w:szCs w:val="28"/>
          <w:lang w:eastAsia="ru-RU"/>
        </w:rPr>
        <w:br/>
        <w:t>VIII. Визначення показників результативності дії регуляторного акта</w:t>
      </w:r>
    </w:p>
    <w:p w:rsidR="00AF6E5C" w:rsidRPr="004D6877" w:rsidRDefault="00AF6E5C" w:rsidP="00AF6E5C">
      <w:pPr>
        <w:spacing w:before="120" w:after="0" w:line="240" w:lineRule="auto"/>
        <w:ind w:firstLine="709"/>
        <w:jc w:val="both"/>
        <w:rPr>
          <w:rFonts w:ascii="Times New Roman" w:eastAsia="Calibri" w:hAnsi="Times New Roman" w:cs="Times New Roman"/>
          <w:sz w:val="28"/>
          <w:szCs w:val="28"/>
        </w:rPr>
      </w:pPr>
      <w:r w:rsidRPr="004D6877">
        <w:rPr>
          <w:rFonts w:ascii="Times New Roman" w:eastAsia="Calibri" w:hAnsi="Times New Roman" w:cs="Times New Roman"/>
          <w:sz w:val="28"/>
          <w:szCs w:val="28"/>
        </w:rPr>
        <w:t>Щодо прогнозних значень показників результативності цього регуляторного акта, слід зазначити таке:</w:t>
      </w:r>
    </w:p>
    <w:p w:rsidR="00AF6E5C" w:rsidRPr="004D6877" w:rsidRDefault="00AF6E5C" w:rsidP="00AF6E5C">
      <w:pPr>
        <w:widowControl w:val="0"/>
        <w:spacing w:after="0"/>
        <w:ind w:firstLine="709"/>
        <w:contextualSpacing/>
        <w:jc w:val="both"/>
        <w:rPr>
          <w:rFonts w:ascii="Times New Roman" w:eastAsia="Times New Roman" w:hAnsi="Times New Roman" w:cs="Times New Roman"/>
          <w:sz w:val="28"/>
          <w:szCs w:val="28"/>
          <w:lang w:eastAsia="ru-RU"/>
        </w:rPr>
      </w:pPr>
      <w:r w:rsidRPr="004D6877">
        <w:rPr>
          <w:rFonts w:ascii="Times New Roman" w:eastAsia="Times New Roman" w:hAnsi="Times New Roman" w:cs="Times New Roman"/>
          <w:sz w:val="28"/>
          <w:szCs w:val="28"/>
          <w:lang w:eastAsia="ru-RU"/>
        </w:rPr>
        <w:t>прийняття акта не впливає на розмір надходжень до державного та/або місцевих бюджетів і цільових страхових фондів;</w:t>
      </w:r>
    </w:p>
    <w:p w:rsidR="00AF6E5C" w:rsidRPr="004D6877" w:rsidRDefault="00AF6E5C" w:rsidP="00AF6E5C">
      <w:pPr>
        <w:widowControl w:val="0"/>
        <w:spacing w:after="0"/>
        <w:ind w:firstLine="709"/>
        <w:contextualSpacing/>
        <w:jc w:val="both"/>
        <w:rPr>
          <w:rFonts w:ascii="Times New Roman" w:eastAsia="Times New Roman" w:hAnsi="Times New Roman" w:cs="Times New Roman"/>
          <w:sz w:val="28"/>
          <w:szCs w:val="28"/>
          <w:lang w:eastAsia="ru-RU"/>
        </w:rPr>
      </w:pPr>
      <w:r w:rsidRPr="004D6877">
        <w:rPr>
          <w:rFonts w:ascii="Times New Roman" w:eastAsia="Times New Roman" w:hAnsi="Times New Roman" w:cs="Times New Roman"/>
          <w:sz w:val="28"/>
          <w:szCs w:val="28"/>
          <w:lang w:eastAsia="ru-RU"/>
        </w:rPr>
        <w:t>дія акта опосередковано поширюється на значне коло суб’єктів господарювання та громадян, які перебувають на обліку в ДПС та включені до реєстру платників, які використовують єдиний рахунок (за власним бажанням);</w:t>
      </w:r>
    </w:p>
    <w:p w:rsidR="00AF6E5C" w:rsidRPr="004D6877" w:rsidRDefault="00AF6E5C" w:rsidP="00AF6E5C">
      <w:pPr>
        <w:widowControl w:val="0"/>
        <w:spacing w:after="0"/>
        <w:ind w:firstLine="709"/>
        <w:contextualSpacing/>
        <w:jc w:val="both"/>
        <w:rPr>
          <w:rFonts w:ascii="Times New Roman" w:eastAsia="Times New Roman" w:hAnsi="Times New Roman" w:cs="Times New Roman"/>
          <w:sz w:val="28"/>
          <w:szCs w:val="28"/>
          <w:lang w:eastAsia="ru-RU"/>
        </w:rPr>
      </w:pPr>
      <w:r w:rsidRPr="004D6877">
        <w:rPr>
          <w:rFonts w:ascii="Times New Roman" w:eastAsia="Times New Roman" w:hAnsi="Times New Roman" w:cs="Times New Roman"/>
          <w:sz w:val="28"/>
          <w:szCs w:val="28"/>
          <w:lang w:eastAsia="ru-RU"/>
        </w:rPr>
        <w:t>збільшення розміру коштів і часу громадян та суб’єктів господарювання на дотримання вимог акта не передбачається. Витрати ДПС, пов’язані із впровадженням норм проекту наказу, пере</w:t>
      </w:r>
      <w:bookmarkStart w:id="0" w:name="_GoBack"/>
      <w:bookmarkEnd w:id="0"/>
      <w:r w:rsidRPr="004D6877">
        <w:rPr>
          <w:rFonts w:ascii="Times New Roman" w:eastAsia="Times New Roman" w:hAnsi="Times New Roman" w:cs="Times New Roman"/>
          <w:sz w:val="28"/>
          <w:szCs w:val="28"/>
          <w:lang w:eastAsia="ru-RU"/>
        </w:rPr>
        <w:t xml:space="preserve">дбачаються в межах фінансування ДПС; </w:t>
      </w:r>
    </w:p>
    <w:p w:rsidR="00AF6E5C" w:rsidRPr="004D6877" w:rsidRDefault="00AF6E5C" w:rsidP="00AF6E5C">
      <w:pPr>
        <w:widowControl w:val="0"/>
        <w:spacing w:after="0"/>
        <w:ind w:firstLine="709"/>
        <w:contextualSpacing/>
        <w:jc w:val="both"/>
        <w:rPr>
          <w:rFonts w:ascii="Times New Roman" w:eastAsia="Times New Roman" w:hAnsi="Times New Roman" w:cs="Times New Roman"/>
          <w:sz w:val="28"/>
          <w:szCs w:val="28"/>
          <w:lang w:eastAsia="ru-RU"/>
        </w:rPr>
      </w:pPr>
      <w:r w:rsidRPr="004D6877">
        <w:rPr>
          <w:rFonts w:ascii="Times New Roman" w:eastAsia="Times New Roman" w:hAnsi="Times New Roman" w:cs="Times New Roman"/>
          <w:sz w:val="28"/>
          <w:szCs w:val="28"/>
          <w:lang w:eastAsia="ru-RU"/>
        </w:rPr>
        <w:t>рівень поінформованості суб’єктів господарювання щодо основних положень  акта є високим. Проект наказу оприлюднено для громадського обговорення в мережі Інтернет на офіційному вебсайті Міністерства фінансів України. Після прийняття акта його буде оприлюднено в засобах масової інформації.</w:t>
      </w:r>
    </w:p>
    <w:p w:rsidR="00AF6E5C" w:rsidRPr="004D6877" w:rsidRDefault="00AF6E5C" w:rsidP="00AF6E5C">
      <w:pPr>
        <w:widowControl w:val="0"/>
        <w:spacing w:after="0"/>
        <w:ind w:firstLine="709"/>
        <w:contextualSpacing/>
        <w:jc w:val="both"/>
        <w:rPr>
          <w:rFonts w:ascii="Times New Roman" w:eastAsia="Times New Roman" w:hAnsi="Times New Roman" w:cs="Times New Roman"/>
          <w:sz w:val="28"/>
          <w:szCs w:val="28"/>
          <w:lang w:eastAsia="ru-RU"/>
        </w:rPr>
      </w:pPr>
      <w:r w:rsidRPr="004D6877">
        <w:rPr>
          <w:rFonts w:ascii="Times New Roman" w:eastAsia="Times New Roman" w:hAnsi="Times New Roman" w:cs="Times New Roman"/>
          <w:sz w:val="28"/>
          <w:szCs w:val="28"/>
          <w:lang w:eastAsia="ru-RU"/>
        </w:rPr>
        <w:t xml:space="preserve">Додаткові показники результативності регуляторного акта, які можливо </w:t>
      </w:r>
      <w:r w:rsidRPr="004D6877">
        <w:rPr>
          <w:rFonts w:ascii="Times New Roman" w:eastAsia="Times New Roman" w:hAnsi="Times New Roman" w:cs="Times New Roman"/>
          <w:sz w:val="28"/>
          <w:szCs w:val="28"/>
          <w:lang w:eastAsia="ru-RU"/>
        </w:rPr>
        <w:lastRenderedPageBreak/>
        <w:t>буде отримати через рік після набрання ним чинності:</w:t>
      </w:r>
    </w:p>
    <w:p w:rsidR="00AF6E5C" w:rsidRPr="004D6877" w:rsidRDefault="00AF6E5C" w:rsidP="00AF6E5C">
      <w:pPr>
        <w:spacing w:after="0" w:line="240" w:lineRule="auto"/>
        <w:ind w:firstLine="709"/>
        <w:jc w:val="both"/>
        <w:rPr>
          <w:rFonts w:ascii="Times New Roman" w:eastAsia="Calibri" w:hAnsi="Times New Roman" w:cs="Times New Roman"/>
          <w:sz w:val="28"/>
          <w:szCs w:val="28"/>
        </w:rPr>
      </w:pPr>
      <w:r w:rsidRPr="004D6877">
        <w:rPr>
          <w:rFonts w:ascii="Times New Roman" w:eastAsia="Calibri" w:hAnsi="Times New Roman" w:cs="Times New Roman"/>
          <w:sz w:val="28"/>
          <w:szCs w:val="28"/>
        </w:rPr>
        <w:t xml:space="preserve">кількість платників, включених до реєстру платників, які використовують єдиний рахунок; </w:t>
      </w:r>
    </w:p>
    <w:p w:rsidR="00AF6E5C" w:rsidRPr="004D6877" w:rsidRDefault="00AF6E5C" w:rsidP="00AF6E5C">
      <w:pPr>
        <w:spacing w:after="0" w:line="240" w:lineRule="auto"/>
        <w:ind w:firstLine="709"/>
        <w:jc w:val="both"/>
        <w:rPr>
          <w:rFonts w:ascii="Times New Roman" w:eastAsia="Calibri" w:hAnsi="Times New Roman" w:cs="Times New Roman"/>
          <w:sz w:val="28"/>
          <w:szCs w:val="28"/>
        </w:rPr>
      </w:pPr>
      <w:r w:rsidRPr="004D6877">
        <w:rPr>
          <w:rFonts w:ascii="Times New Roman" w:eastAsia="Calibri" w:hAnsi="Times New Roman" w:cs="Times New Roman"/>
          <w:sz w:val="28"/>
          <w:szCs w:val="28"/>
        </w:rPr>
        <w:t xml:space="preserve">кількість </w:t>
      </w:r>
      <w:r w:rsidRPr="004D6877">
        <w:rPr>
          <w:rFonts w:ascii="Times New Roman" w:eastAsia="Calibri" w:hAnsi="Times New Roman" w:cs="Times New Roman"/>
          <w:sz w:val="28"/>
          <w:szCs w:val="28"/>
          <w:lang w:eastAsia="uk-UA"/>
        </w:rPr>
        <w:t>єдиних карток платників</w:t>
      </w:r>
      <w:r w:rsidRPr="004D6877">
        <w:rPr>
          <w:rFonts w:ascii="Times New Roman" w:eastAsia="Calibri" w:hAnsi="Times New Roman" w:cs="Times New Roman"/>
          <w:sz w:val="28"/>
          <w:szCs w:val="28"/>
        </w:rPr>
        <w:t xml:space="preserve"> за платниками, включеними до реєстру платників, які використовують єдиний рахунок; </w:t>
      </w:r>
    </w:p>
    <w:p w:rsidR="00AF6E5C" w:rsidRPr="004D6877" w:rsidRDefault="00AF6E5C" w:rsidP="00AF6E5C">
      <w:pPr>
        <w:spacing w:after="0" w:line="240" w:lineRule="auto"/>
        <w:ind w:firstLine="709"/>
        <w:jc w:val="both"/>
        <w:rPr>
          <w:rFonts w:ascii="Times New Roman" w:eastAsia="Calibri" w:hAnsi="Times New Roman" w:cs="Times New Roman"/>
          <w:sz w:val="28"/>
          <w:szCs w:val="28"/>
        </w:rPr>
      </w:pPr>
      <w:r w:rsidRPr="004D6877">
        <w:rPr>
          <w:rFonts w:ascii="Times New Roman" w:eastAsia="Calibri" w:hAnsi="Times New Roman" w:cs="Times New Roman"/>
          <w:sz w:val="28"/>
          <w:szCs w:val="28"/>
        </w:rPr>
        <w:t>суми надходжень податків і зборів, єдиного внеску та інших платежів, контроль за справлянням яких покладено на ДПС, перерахованих з єдиного рахунк</w:t>
      </w:r>
      <w:r w:rsidR="004D6877" w:rsidRPr="004D6877">
        <w:rPr>
          <w:rFonts w:ascii="Times New Roman" w:eastAsia="Calibri" w:hAnsi="Times New Roman" w:cs="Times New Roman"/>
          <w:sz w:val="28"/>
          <w:szCs w:val="28"/>
        </w:rPr>
        <w:t>а</w:t>
      </w:r>
      <w:r w:rsidRPr="004D6877">
        <w:rPr>
          <w:rFonts w:ascii="Times New Roman" w:eastAsia="Calibri" w:hAnsi="Times New Roman" w:cs="Times New Roman"/>
          <w:sz w:val="28"/>
          <w:szCs w:val="28"/>
        </w:rPr>
        <w:t>.</w:t>
      </w:r>
    </w:p>
    <w:p w:rsidR="00AF6E5C" w:rsidRPr="004D6877" w:rsidRDefault="00AF6E5C" w:rsidP="00AF6E5C">
      <w:pPr>
        <w:spacing w:after="0" w:line="240" w:lineRule="auto"/>
        <w:ind w:firstLine="709"/>
        <w:jc w:val="center"/>
        <w:rPr>
          <w:rFonts w:ascii="Times New Roman" w:eastAsia="Times New Roman" w:hAnsi="Times New Roman" w:cs="Times New Roman"/>
          <w:b/>
          <w:sz w:val="28"/>
          <w:szCs w:val="28"/>
          <w:lang w:eastAsia="ru-RU"/>
        </w:rPr>
      </w:pPr>
      <w:r w:rsidRPr="004D6877">
        <w:rPr>
          <w:rFonts w:ascii="Times New Roman" w:eastAsia="Calibri" w:hAnsi="Times New Roman" w:cs="Times New Roman"/>
          <w:sz w:val="28"/>
          <w:szCs w:val="28"/>
          <w:highlight w:val="yellow"/>
        </w:rPr>
        <w:br/>
      </w:r>
      <w:r w:rsidRPr="004D6877">
        <w:rPr>
          <w:rFonts w:ascii="Times New Roman" w:eastAsia="Times New Roman" w:hAnsi="Times New Roman" w:cs="Times New Roman"/>
          <w:b/>
          <w:sz w:val="28"/>
          <w:szCs w:val="28"/>
          <w:lang w:eastAsia="ru-RU"/>
        </w:rPr>
        <w:t>IX. Визначення заходів, за допомогою яких здійснюватиметься відстеження результативності дії регуляторного акта</w:t>
      </w:r>
    </w:p>
    <w:p w:rsidR="00AF6E5C" w:rsidRPr="004D6877" w:rsidRDefault="00AF6E5C" w:rsidP="00AF6E5C">
      <w:pPr>
        <w:widowControl w:val="0"/>
        <w:spacing w:before="120" w:after="0" w:line="240" w:lineRule="auto"/>
        <w:ind w:firstLine="709"/>
        <w:jc w:val="both"/>
        <w:rPr>
          <w:rFonts w:ascii="Times New Roman" w:eastAsia="Times New Roman" w:hAnsi="Times New Roman" w:cs="Times New Roman"/>
          <w:sz w:val="28"/>
          <w:szCs w:val="28"/>
          <w:lang w:eastAsia="ru-RU"/>
        </w:rPr>
      </w:pPr>
      <w:r w:rsidRPr="004D6877">
        <w:rPr>
          <w:rFonts w:ascii="Times New Roman" w:eastAsia="Times New Roman" w:hAnsi="Times New Roman" w:cs="Times New Roman"/>
          <w:sz w:val="28"/>
          <w:szCs w:val="28"/>
          <w:lang w:eastAsia="ru-RU"/>
        </w:rPr>
        <w:t>Стосовно регуляторного акта здійснюється базове та повторне</w:t>
      </w:r>
      <w:r w:rsidRPr="004D6877">
        <w:rPr>
          <w:rFonts w:ascii="Times New Roman" w:eastAsia="Times New Roman" w:hAnsi="Times New Roman" w:cs="Times New Roman"/>
          <w:b/>
          <w:sz w:val="28"/>
          <w:szCs w:val="28"/>
          <w:lang w:val="ru-RU" w:eastAsia="ru-RU"/>
        </w:rPr>
        <w:t xml:space="preserve"> </w:t>
      </w:r>
      <w:r w:rsidRPr="004D6877">
        <w:rPr>
          <w:rFonts w:ascii="Times New Roman" w:eastAsia="Times New Roman" w:hAnsi="Times New Roman" w:cs="Times New Roman"/>
          <w:sz w:val="28"/>
          <w:szCs w:val="28"/>
          <w:lang w:eastAsia="ru-RU"/>
        </w:rPr>
        <w:t>відстеження результативності дії акта у межах строків, установлених </w:t>
      </w:r>
      <w:hyperlink r:id="rId10" w:tgtFrame="_blank" w:history="1">
        <w:r w:rsidRPr="004D6877">
          <w:rPr>
            <w:rFonts w:ascii="Times New Roman" w:eastAsia="Times New Roman" w:hAnsi="Times New Roman" w:cs="Times New Roman"/>
            <w:sz w:val="28"/>
            <w:szCs w:val="28"/>
            <w:u w:val="single"/>
            <w:lang w:eastAsia="ru-RU"/>
          </w:rPr>
          <w:t>статтею 10</w:t>
        </w:r>
      </w:hyperlink>
      <w:r w:rsidRPr="004D6877">
        <w:rPr>
          <w:rFonts w:ascii="Times New Roman" w:eastAsia="Times New Roman" w:hAnsi="Times New Roman" w:cs="Times New Roman"/>
          <w:sz w:val="28"/>
          <w:szCs w:val="28"/>
          <w:lang w:eastAsia="ru-RU"/>
        </w:rPr>
        <w:t> Закону України від 11.09.2003 № 1160-</w:t>
      </w:r>
      <w:r w:rsidRPr="004D6877">
        <w:rPr>
          <w:rFonts w:ascii="Times New Roman" w:eastAsia="Times New Roman" w:hAnsi="Times New Roman" w:cs="Times New Roman"/>
          <w:sz w:val="28"/>
          <w:szCs w:val="28"/>
          <w:lang w:val="en-US" w:eastAsia="ru-RU"/>
        </w:rPr>
        <w:t>IV</w:t>
      </w:r>
      <w:r w:rsidRPr="004D6877">
        <w:rPr>
          <w:rFonts w:ascii="Times New Roman" w:eastAsia="Times New Roman" w:hAnsi="Times New Roman" w:cs="Times New Roman"/>
          <w:sz w:val="28"/>
          <w:szCs w:val="28"/>
          <w:lang w:val="ru-RU" w:eastAsia="ru-RU"/>
        </w:rPr>
        <w:t xml:space="preserve"> </w:t>
      </w:r>
      <w:r w:rsidRPr="004D6877">
        <w:rPr>
          <w:rFonts w:ascii="Times New Roman" w:eastAsia="Times New Roman" w:hAnsi="Times New Roman" w:cs="Times New Roman"/>
          <w:sz w:val="28"/>
          <w:szCs w:val="28"/>
          <w:lang w:eastAsia="ru-RU"/>
        </w:rPr>
        <w:t>«Про засади державної регуляторної політики у сфері господарської діяльності».</w:t>
      </w:r>
    </w:p>
    <w:p w:rsidR="00AF6E5C" w:rsidRPr="004D6877" w:rsidRDefault="00AF6E5C" w:rsidP="00AF6E5C">
      <w:pPr>
        <w:widowControl w:val="0"/>
        <w:spacing w:after="0" w:line="240" w:lineRule="auto"/>
        <w:ind w:firstLine="709"/>
        <w:jc w:val="both"/>
        <w:rPr>
          <w:rFonts w:ascii="Times New Roman" w:eastAsia="Times New Roman" w:hAnsi="Times New Roman" w:cs="Times New Roman"/>
          <w:sz w:val="28"/>
          <w:szCs w:val="28"/>
          <w:lang w:eastAsia="ru-RU"/>
        </w:rPr>
      </w:pPr>
      <w:r w:rsidRPr="004D6877">
        <w:rPr>
          <w:rFonts w:ascii="Times New Roman" w:eastAsia="Times New Roman" w:hAnsi="Times New Roman" w:cs="Times New Roman"/>
          <w:sz w:val="28"/>
          <w:szCs w:val="28"/>
          <w:lang w:eastAsia="ru-RU"/>
        </w:rPr>
        <w:t>Відстеження результативності регуляторного акта буде здійснюватися шляхом аналізу статистичних даних.</w:t>
      </w:r>
    </w:p>
    <w:p w:rsidR="00AF6E5C" w:rsidRPr="004D6877" w:rsidRDefault="00AF6E5C" w:rsidP="00AF6E5C">
      <w:pPr>
        <w:widowControl w:val="0"/>
        <w:spacing w:after="0" w:line="240" w:lineRule="auto"/>
        <w:ind w:firstLine="709"/>
        <w:jc w:val="both"/>
        <w:rPr>
          <w:rFonts w:ascii="Times New Roman" w:eastAsia="Times New Roman" w:hAnsi="Times New Roman" w:cs="Times New Roman"/>
          <w:sz w:val="28"/>
          <w:szCs w:val="28"/>
          <w:lang w:eastAsia="ru-RU"/>
        </w:rPr>
      </w:pPr>
      <w:r w:rsidRPr="004D6877">
        <w:rPr>
          <w:rFonts w:ascii="Times New Roman" w:eastAsia="Times New Roman" w:hAnsi="Times New Roman" w:cs="Times New Roman"/>
          <w:sz w:val="28"/>
          <w:szCs w:val="28"/>
          <w:lang w:eastAsia="ru-RU"/>
        </w:rPr>
        <w:t xml:space="preserve">Базове відстеження результативності акта буде здійснюватися через рік після набрання ним чинності, </w:t>
      </w:r>
      <w:r w:rsidRPr="004D6877">
        <w:rPr>
          <w:rFonts w:ascii="Times New Roman" w:eastAsia="Times New Roman" w:hAnsi="Times New Roman" w:cs="Times New Roman"/>
          <w:bCs/>
          <w:sz w:val="28"/>
          <w:szCs w:val="28"/>
          <w:lang w:eastAsia="ru-RU"/>
        </w:rPr>
        <w:t>але не пізніше дня, з якого починається проведення повторного відстеження результативності цього акта</w:t>
      </w:r>
      <w:r w:rsidRPr="004D6877">
        <w:rPr>
          <w:rFonts w:ascii="Times New Roman" w:eastAsia="Times New Roman" w:hAnsi="Times New Roman" w:cs="Times New Roman"/>
          <w:sz w:val="28"/>
          <w:szCs w:val="28"/>
          <w:lang w:eastAsia="ru-RU"/>
        </w:rPr>
        <w:t>.</w:t>
      </w:r>
    </w:p>
    <w:p w:rsidR="00AF6E5C" w:rsidRPr="004D6877" w:rsidRDefault="00AF6E5C" w:rsidP="00AF6E5C">
      <w:pPr>
        <w:widowControl w:val="0"/>
        <w:spacing w:after="0" w:line="240" w:lineRule="auto"/>
        <w:ind w:firstLine="709"/>
        <w:jc w:val="both"/>
        <w:rPr>
          <w:rFonts w:ascii="Times New Roman" w:eastAsia="Times New Roman" w:hAnsi="Times New Roman" w:cs="Times New Roman"/>
          <w:sz w:val="28"/>
          <w:szCs w:val="28"/>
          <w:lang w:eastAsia="ru-RU"/>
        </w:rPr>
      </w:pPr>
      <w:r w:rsidRPr="004D6877">
        <w:rPr>
          <w:rFonts w:ascii="Times New Roman" w:eastAsia="Times New Roman" w:hAnsi="Times New Roman" w:cs="Times New Roman"/>
          <w:sz w:val="28"/>
          <w:szCs w:val="28"/>
          <w:lang w:eastAsia="ru-RU"/>
        </w:rPr>
        <w:t xml:space="preserve">Повторне відстеження результативності акта буде здійснюватися </w:t>
      </w:r>
      <w:r w:rsidRPr="004D6877">
        <w:rPr>
          <w:rFonts w:ascii="Times New Roman" w:eastAsia="Times New Roman" w:hAnsi="Times New Roman" w:cs="Times New Roman"/>
          <w:bCs/>
          <w:sz w:val="28"/>
          <w:szCs w:val="28"/>
          <w:lang w:eastAsia="ru-RU"/>
        </w:rPr>
        <w:t>не пізніше двох років з дня набрання ним чинності.</w:t>
      </w:r>
    </w:p>
    <w:p w:rsidR="00AF6E5C" w:rsidRPr="004D6877" w:rsidRDefault="00AF6E5C" w:rsidP="00AF6E5C">
      <w:pPr>
        <w:widowControl w:val="0"/>
        <w:shd w:val="clear" w:color="auto" w:fill="FFFFFF"/>
        <w:spacing w:after="0" w:line="240" w:lineRule="auto"/>
        <w:ind w:firstLine="709"/>
        <w:jc w:val="both"/>
        <w:textAlignment w:val="baseline"/>
        <w:rPr>
          <w:rFonts w:ascii="Times New Roman" w:eastAsia="Calibri" w:hAnsi="Times New Roman" w:cs="Times New Roman"/>
          <w:sz w:val="28"/>
          <w:szCs w:val="28"/>
        </w:rPr>
      </w:pPr>
      <w:r w:rsidRPr="004D6877">
        <w:rPr>
          <w:rFonts w:ascii="Times New Roman" w:eastAsia="Calibri" w:hAnsi="Times New Roman" w:cs="Times New Roman"/>
          <w:sz w:val="28"/>
          <w:szCs w:val="28"/>
        </w:rPr>
        <w:t>Періодичні відстеження результативності акта</w:t>
      </w:r>
      <w:r w:rsidRPr="004D6877">
        <w:rPr>
          <w:rFonts w:ascii="Calibri" w:eastAsia="Calibri" w:hAnsi="Calibri" w:cs="Times New Roman"/>
          <w:sz w:val="28"/>
          <w:szCs w:val="28"/>
        </w:rPr>
        <w:t xml:space="preserve"> </w:t>
      </w:r>
      <w:r w:rsidRPr="004D6877">
        <w:rPr>
          <w:rFonts w:ascii="Times New Roman" w:eastAsia="Calibri" w:hAnsi="Times New Roman" w:cs="Times New Roman"/>
          <w:sz w:val="28"/>
          <w:szCs w:val="28"/>
        </w:rPr>
        <w:t>планується здійснювати один раз на кожних три роки, починаючи з дня закінчення заходів з повторного відстеження результативності цього акта.</w:t>
      </w:r>
    </w:p>
    <w:p w:rsidR="00AF6E5C" w:rsidRPr="004D6877" w:rsidRDefault="00AF6E5C" w:rsidP="00AF6E5C">
      <w:pPr>
        <w:widowControl w:val="0"/>
        <w:spacing w:after="0" w:line="240" w:lineRule="auto"/>
        <w:ind w:firstLine="709"/>
        <w:jc w:val="both"/>
        <w:rPr>
          <w:rFonts w:ascii="Times New Roman" w:eastAsia="Times New Roman" w:hAnsi="Times New Roman" w:cs="Times New Roman"/>
          <w:sz w:val="28"/>
          <w:szCs w:val="28"/>
          <w:lang w:eastAsia="ru-RU"/>
        </w:rPr>
      </w:pPr>
      <w:r w:rsidRPr="004D6877">
        <w:rPr>
          <w:rFonts w:ascii="Times New Roman" w:eastAsia="Times New Roman" w:hAnsi="Times New Roman" w:cs="Times New Roman"/>
          <w:sz w:val="28"/>
          <w:szCs w:val="28"/>
          <w:lang w:eastAsia="ru-RU"/>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 до акта.</w:t>
      </w:r>
    </w:p>
    <w:p w:rsidR="00AF6E5C" w:rsidRPr="004D6877" w:rsidRDefault="00AF6E5C" w:rsidP="00AF6E5C">
      <w:pPr>
        <w:widowControl w:val="0"/>
        <w:spacing w:after="0" w:line="240" w:lineRule="auto"/>
        <w:ind w:firstLine="709"/>
        <w:jc w:val="both"/>
        <w:rPr>
          <w:rFonts w:ascii="Times New Roman" w:eastAsia="Times New Roman" w:hAnsi="Times New Roman" w:cs="Times New Roman"/>
          <w:sz w:val="28"/>
          <w:szCs w:val="28"/>
          <w:lang w:eastAsia="ru-RU"/>
        </w:rPr>
      </w:pPr>
    </w:p>
    <w:p w:rsidR="00AF6E5C" w:rsidRPr="004D6877" w:rsidRDefault="00AF6E5C" w:rsidP="00AF6E5C">
      <w:pPr>
        <w:widowControl w:val="0"/>
        <w:spacing w:after="0" w:line="240" w:lineRule="auto"/>
        <w:ind w:firstLine="709"/>
        <w:jc w:val="both"/>
        <w:rPr>
          <w:rFonts w:ascii="Times New Roman" w:eastAsia="Times New Roman" w:hAnsi="Times New Roman" w:cs="Times New Roman"/>
          <w:sz w:val="28"/>
          <w:szCs w:val="28"/>
          <w:lang w:eastAsia="ru-RU"/>
        </w:rPr>
      </w:pPr>
    </w:p>
    <w:p w:rsidR="00AF6E5C" w:rsidRPr="004D6877" w:rsidRDefault="00AF6E5C" w:rsidP="00AF6E5C">
      <w:pPr>
        <w:spacing w:after="0" w:line="240" w:lineRule="auto"/>
        <w:jc w:val="both"/>
        <w:rPr>
          <w:rFonts w:ascii="Times New Roman" w:eastAsia="Times New Roman" w:hAnsi="Times New Roman" w:cs="Times New Roman"/>
          <w:b/>
          <w:sz w:val="28"/>
          <w:szCs w:val="28"/>
          <w:lang w:eastAsia="ru-RU"/>
        </w:rPr>
      </w:pPr>
      <w:r w:rsidRPr="004D6877">
        <w:rPr>
          <w:rFonts w:ascii="Times New Roman" w:eastAsia="Times New Roman" w:hAnsi="Times New Roman" w:cs="Times New Roman"/>
          <w:b/>
          <w:sz w:val="28"/>
          <w:szCs w:val="28"/>
          <w:lang w:eastAsia="ru-RU"/>
        </w:rPr>
        <w:t>Міністр фінансів України                                                     Сергій МАРЧЕНКО</w:t>
      </w:r>
    </w:p>
    <w:p w:rsidR="00AF6E5C" w:rsidRPr="004D6877" w:rsidRDefault="00AF6E5C" w:rsidP="00AF6E5C">
      <w:pPr>
        <w:spacing w:after="0" w:line="240" w:lineRule="auto"/>
        <w:jc w:val="both"/>
        <w:rPr>
          <w:rFonts w:ascii="Times New Roman" w:eastAsia="Times New Roman" w:hAnsi="Times New Roman" w:cs="Times New Roman"/>
          <w:sz w:val="28"/>
          <w:szCs w:val="28"/>
          <w:lang w:eastAsia="ru-RU"/>
        </w:rPr>
      </w:pPr>
    </w:p>
    <w:p w:rsidR="00AF6E5C" w:rsidRPr="004D6877" w:rsidRDefault="00AF6E5C" w:rsidP="00AF6E5C">
      <w:pPr>
        <w:spacing w:after="0" w:line="240" w:lineRule="auto"/>
        <w:jc w:val="both"/>
        <w:rPr>
          <w:rFonts w:ascii="Times New Roman" w:eastAsia="Times New Roman" w:hAnsi="Times New Roman" w:cs="Times New Roman"/>
          <w:sz w:val="28"/>
          <w:szCs w:val="28"/>
          <w:lang w:eastAsia="ru-RU"/>
        </w:rPr>
      </w:pPr>
    </w:p>
    <w:p w:rsidR="00AF6E5C" w:rsidRPr="004D6877" w:rsidRDefault="00AF6E5C" w:rsidP="00AF6E5C">
      <w:pPr>
        <w:spacing w:after="0" w:line="240" w:lineRule="auto"/>
        <w:jc w:val="both"/>
        <w:rPr>
          <w:rFonts w:ascii="Times New Roman" w:eastAsia="Times New Roman" w:hAnsi="Times New Roman" w:cs="Times New Roman"/>
          <w:sz w:val="28"/>
          <w:szCs w:val="28"/>
          <w:lang w:eastAsia="ru-RU"/>
        </w:rPr>
      </w:pPr>
      <w:r w:rsidRPr="004D6877">
        <w:rPr>
          <w:rFonts w:ascii="Times New Roman" w:eastAsia="Times New Roman" w:hAnsi="Times New Roman" w:cs="Times New Roman"/>
          <w:sz w:val="28"/>
          <w:szCs w:val="28"/>
          <w:lang w:eastAsia="ru-RU"/>
        </w:rPr>
        <w:t xml:space="preserve">«_____» ________________ </w:t>
      </w:r>
      <w:r w:rsidRPr="004D6877">
        <w:rPr>
          <w:rFonts w:ascii="Times New Roman" w:eastAsia="Times New Roman" w:hAnsi="Times New Roman" w:cs="Times New Roman"/>
          <w:sz w:val="28"/>
          <w:szCs w:val="28"/>
          <w:lang w:val="ru-RU" w:eastAsia="ru-RU"/>
        </w:rPr>
        <w:t xml:space="preserve"> </w:t>
      </w:r>
      <w:r w:rsidRPr="004D6877">
        <w:rPr>
          <w:rFonts w:ascii="Times New Roman" w:eastAsia="Times New Roman" w:hAnsi="Times New Roman" w:cs="Times New Roman"/>
          <w:sz w:val="28"/>
          <w:szCs w:val="28"/>
          <w:lang w:eastAsia="ru-RU"/>
        </w:rPr>
        <w:t xml:space="preserve">року </w:t>
      </w:r>
    </w:p>
    <w:p w:rsidR="00AF6E5C" w:rsidRPr="004D6877" w:rsidRDefault="00AF6E5C" w:rsidP="00AF6E5C">
      <w:pPr>
        <w:rPr>
          <w:rFonts w:ascii="Calibri" w:eastAsia="Calibri" w:hAnsi="Calibri" w:cs="Times New Roman"/>
        </w:rPr>
      </w:pPr>
    </w:p>
    <w:p w:rsidR="00AF6E5C" w:rsidRPr="004D6877" w:rsidRDefault="00AF6E5C" w:rsidP="00AF6E5C">
      <w:pPr>
        <w:widowControl w:val="0"/>
        <w:spacing w:after="0" w:line="240" w:lineRule="auto"/>
        <w:jc w:val="both"/>
        <w:rPr>
          <w:rFonts w:ascii="Times New Roman" w:eastAsia="Times New Roman" w:hAnsi="Times New Roman" w:cs="Times New Roman"/>
          <w:b/>
          <w:sz w:val="28"/>
          <w:szCs w:val="28"/>
          <w:lang w:eastAsia="ru-RU"/>
        </w:rPr>
      </w:pPr>
    </w:p>
    <w:p w:rsidR="00C57914" w:rsidRPr="004D6877" w:rsidRDefault="00C57914" w:rsidP="00AF6E5C"/>
    <w:sectPr w:rsidR="00C57914" w:rsidRPr="004D6877" w:rsidSect="008A64BE">
      <w:headerReference w:type="default" r:id="rId11"/>
      <w:pgSz w:w="11906" w:h="16838" w:code="9"/>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02E" w:rsidRDefault="00A4602E" w:rsidP="00CA4AA4">
      <w:pPr>
        <w:spacing w:after="0" w:line="240" w:lineRule="auto"/>
      </w:pPr>
      <w:r>
        <w:separator/>
      </w:r>
    </w:p>
  </w:endnote>
  <w:endnote w:type="continuationSeparator" w:id="0">
    <w:p w:rsidR="00A4602E" w:rsidRDefault="00A4602E" w:rsidP="00CA4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02E" w:rsidRDefault="00A4602E" w:rsidP="00CA4AA4">
      <w:pPr>
        <w:spacing w:after="0" w:line="240" w:lineRule="auto"/>
      </w:pPr>
      <w:r>
        <w:separator/>
      </w:r>
    </w:p>
  </w:footnote>
  <w:footnote w:type="continuationSeparator" w:id="0">
    <w:p w:rsidR="00A4602E" w:rsidRDefault="00A4602E" w:rsidP="00CA4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765702"/>
      <w:docPartObj>
        <w:docPartGallery w:val="Page Numbers (Top of Page)"/>
        <w:docPartUnique/>
      </w:docPartObj>
    </w:sdtPr>
    <w:sdtEndPr/>
    <w:sdtContent>
      <w:p w:rsidR="00FD378A" w:rsidRDefault="00FD378A">
        <w:pPr>
          <w:pStyle w:val="a8"/>
          <w:jc w:val="center"/>
        </w:pPr>
        <w:r>
          <w:fldChar w:fldCharType="begin"/>
        </w:r>
        <w:r>
          <w:instrText>PAGE   \* MERGEFORMAT</w:instrText>
        </w:r>
        <w:r>
          <w:fldChar w:fldCharType="separate"/>
        </w:r>
        <w:r w:rsidR="004D6877" w:rsidRPr="004D6877">
          <w:rPr>
            <w:noProof/>
            <w:lang w:val="ru-RU"/>
          </w:rPr>
          <w:t>10</w:t>
        </w:r>
        <w:r>
          <w:fldChar w:fldCharType="end"/>
        </w:r>
      </w:p>
    </w:sdtContent>
  </w:sdt>
  <w:p w:rsidR="00FD378A" w:rsidRDefault="00FD378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3573"/>
    <w:multiLevelType w:val="hybridMultilevel"/>
    <w:tmpl w:val="5CFCC2C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B642D97"/>
    <w:multiLevelType w:val="hybridMultilevel"/>
    <w:tmpl w:val="CAE2C0A6"/>
    <w:lvl w:ilvl="0" w:tplc="CDFCE1B0">
      <w:numFmt w:val="bullet"/>
      <w:lvlText w:val=""/>
      <w:lvlJc w:val="left"/>
      <w:pPr>
        <w:ind w:left="1620" w:hanging="900"/>
      </w:pPr>
      <w:rPr>
        <w:rFonts w:ascii="Symbol" w:eastAsia="Times New Roman" w:hAnsi="Symbol"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0DA053C4"/>
    <w:multiLevelType w:val="hybridMultilevel"/>
    <w:tmpl w:val="41ACEEB8"/>
    <w:lvl w:ilvl="0" w:tplc="FE02463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1DEC1D0A"/>
    <w:multiLevelType w:val="hybridMultilevel"/>
    <w:tmpl w:val="943C4276"/>
    <w:lvl w:ilvl="0" w:tplc="058298BA">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1FCB745E"/>
    <w:multiLevelType w:val="hybridMultilevel"/>
    <w:tmpl w:val="BF20C2AC"/>
    <w:lvl w:ilvl="0" w:tplc="354C151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92A5ACB"/>
    <w:multiLevelType w:val="hybridMultilevel"/>
    <w:tmpl w:val="D5FE1F8C"/>
    <w:lvl w:ilvl="0" w:tplc="D86AD4AE">
      <w:start w:val="1"/>
      <w:numFmt w:val="upperRoman"/>
      <w:lvlText w:val="%1."/>
      <w:lvlJc w:val="left"/>
      <w:pPr>
        <w:ind w:left="1287" w:hanging="72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3E2837FB"/>
    <w:multiLevelType w:val="hybridMultilevel"/>
    <w:tmpl w:val="7720A39E"/>
    <w:lvl w:ilvl="0" w:tplc="4B60F098">
      <w:numFmt w:val="bullet"/>
      <w:lvlText w:val="-"/>
      <w:lvlJc w:val="left"/>
      <w:pPr>
        <w:ind w:left="930" w:hanging="360"/>
      </w:pPr>
      <w:rPr>
        <w:rFonts w:ascii="Times New Roman" w:eastAsia="Times New Roman" w:hAnsi="Times New Roman" w:cs="Times New Roman" w:hint="default"/>
      </w:rPr>
    </w:lvl>
    <w:lvl w:ilvl="1" w:tplc="04220003" w:tentative="1">
      <w:start w:val="1"/>
      <w:numFmt w:val="bullet"/>
      <w:lvlText w:val="o"/>
      <w:lvlJc w:val="left"/>
      <w:pPr>
        <w:ind w:left="1650" w:hanging="360"/>
      </w:pPr>
      <w:rPr>
        <w:rFonts w:ascii="Courier New" w:hAnsi="Courier New" w:cs="Courier New" w:hint="default"/>
      </w:rPr>
    </w:lvl>
    <w:lvl w:ilvl="2" w:tplc="04220005" w:tentative="1">
      <w:start w:val="1"/>
      <w:numFmt w:val="bullet"/>
      <w:lvlText w:val=""/>
      <w:lvlJc w:val="left"/>
      <w:pPr>
        <w:ind w:left="2370" w:hanging="360"/>
      </w:pPr>
      <w:rPr>
        <w:rFonts w:ascii="Wingdings" w:hAnsi="Wingdings" w:hint="default"/>
      </w:rPr>
    </w:lvl>
    <w:lvl w:ilvl="3" w:tplc="04220001" w:tentative="1">
      <w:start w:val="1"/>
      <w:numFmt w:val="bullet"/>
      <w:lvlText w:val=""/>
      <w:lvlJc w:val="left"/>
      <w:pPr>
        <w:ind w:left="3090" w:hanging="360"/>
      </w:pPr>
      <w:rPr>
        <w:rFonts w:ascii="Symbol" w:hAnsi="Symbol" w:hint="default"/>
      </w:rPr>
    </w:lvl>
    <w:lvl w:ilvl="4" w:tplc="04220003" w:tentative="1">
      <w:start w:val="1"/>
      <w:numFmt w:val="bullet"/>
      <w:lvlText w:val="o"/>
      <w:lvlJc w:val="left"/>
      <w:pPr>
        <w:ind w:left="3810" w:hanging="360"/>
      </w:pPr>
      <w:rPr>
        <w:rFonts w:ascii="Courier New" w:hAnsi="Courier New" w:cs="Courier New" w:hint="default"/>
      </w:rPr>
    </w:lvl>
    <w:lvl w:ilvl="5" w:tplc="04220005" w:tentative="1">
      <w:start w:val="1"/>
      <w:numFmt w:val="bullet"/>
      <w:lvlText w:val=""/>
      <w:lvlJc w:val="left"/>
      <w:pPr>
        <w:ind w:left="4530" w:hanging="360"/>
      </w:pPr>
      <w:rPr>
        <w:rFonts w:ascii="Wingdings" w:hAnsi="Wingdings" w:hint="default"/>
      </w:rPr>
    </w:lvl>
    <w:lvl w:ilvl="6" w:tplc="04220001" w:tentative="1">
      <w:start w:val="1"/>
      <w:numFmt w:val="bullet"/>
      <w:lvlText w:val=""/>
      <w:lvlJc w:val="left"/>
      <w:pPr>
        <w:ind w:left="5250" w:hanging="360"/>
      </w:pPr>
      <w:rPr>
        <w:rFonts w:ascii="Symbol" w:hAnsi="Symbol" w:hint="default"/>
      </w:rPr>
    </w:lvl>
    <w:lvl w:ilvl="7" w:tplc="04220003" w:tentative="1">
      <w:start w:val="1"/>
      <w:numFmt w:val="bullet"/>
      <w:lvlText w:val="o"/>
      <w:lvlJc w:val="left"/>
      <w:pPr>
        <w:ind w:left="5970" w:hanging="360"/>
      </w:pPr>
      <w:rPr>
        <w:rFonts w:ascii="Courier New" w:hAnsi="Courier New" w:cs="Courier New" w:hint="default"/>
      </w:rPr>
    </w:lvl>
    <w:lvl w:ilvl="8" w:tplc="04220005" w:tentative="1">
      <w:start w:val="1"/>
      <w:numFmt w:val="bullet"/>
      <w:lvlText w:val=""/>
      <w:lvlJc w:val="left"/>
      <w:pPr>
        <w:ind w:left="6690" w:hanging="360"/>
      </w:pPr>
      <w:rPr>
        <w:rFonts w:ascii="Wingdings" w:hAnsi="Wingdings" w:hint="default"/>
      </w:rPr>
    </w:lvl>
  </w:abstractNum>
  <w:abstractNum w:abstractNumId="7" w15:restartNumberingAfterBreak="0">
    <w:nsid w:val="4B332F7F"/>
    <w:multiLevelType w:val="hybridMultilevel"/>
    <w:tmpl w:val="63FE9D2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E124CAD"/>
    <w:multiLevelType w:val="hybridMultilevel"/>
    <w:tmpl w:val="D5FE1F8C"/>
    <w:lvl w:ilvl="0" w:tplc="D86AD4AE">
      <w:start w:val="1"/>
      <w:numFmt w:val="upperRoman"/>
      <w:lvlText w:val="%1."/>
      <w:lvlJc w:val="left"/>
      <w:pPr>
        <w:ind w:left="1287" w:hanging="72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51FC6473"/>
    <w:multiLevelType w:val="hybridMultilevel"/>
    <w:tmpl w:val="B97AF37C"/>
    <w:lvl w:ilvl="0" w:tplc="CDFCE1B0">
      <w:numFmt w:val="bullet"/>
      <w:lvlText w:val=""/>
      <w:lvlJc w:val="left"/>
      <w:pPr>
        <w:ind w:left="1620" w:hanging="900"/>
      </w:pPr>
      <w:rPr>
        <w:rFonts w:ascii="Symbol" w:eastAsia="Times New Roman" w:hAnsi="Symbol"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40A6EF1"/>
    <w:multiLevelType w:val="hybridMultilevel"/>
    <w:tmpl w:val="AD0C57CE"/>
    <w:lvl w:ilvl="0" w:tplc="67360276">
      <w:start w:val="2"/>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7"/>
  </w:num>
  <w:num w:numId="5">
    <w:abstractNumId w:val="8"/>
  </w:num>
  <w:num w:numId="6">
    <w:abstractNumId w:val="10"/>
  </w:num>
  <w:num w:numId="7">
    <w:abstractNumId w:val="6"/>
  </w:num>
  <w:num w:numId="8">
    <w:abstractNumId w:val="2"/>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5BB"/>
    <w:rsid w:val="000035F0"/>
    <w:rsid w:val="000060E1"/>
    <w:rsid w:val="00006E38"/>
    <w:rsid w:val="0001071A"/>
    <w:rsid w:val="00012C3E"/>
    <w:rsid w:val="000131A2"/>
    <w:rsid w:val="00015CE5"/>
    <w:rsid w:val="0001666F"/>
    <w:rsid w:val="00017C47"/>
    <w:rsid w:val="00025628"/>
    <w:rsid w:val="000261B1"/>
    <w:rsid w:val="00031036"/>
    <w:rsid w:val="000347BD"/>
    <w:rsid w:val="000353F9"/>
    <w:rsid w:val="00036A12"/>
    <w:rsid w:val="00047087"/>
    <w:rsid w:val="000558FD"/>
    <w:rsid w:val="0005763A"/>
    <w:rsid w:val="0006622E"/>
    <w:rsid w:val="000663C3"/>
    <w:rsid w:val="000700B8"/>
    <w:rsid w:val="00070B19"/>
    <w:rsid w:val="00075F8A"/>
    <w:rsid w:val="00077295"/>
    <w:rsid w:val="000934A1"/>
    <w:rsid w:val="000A0CAB"/>
    <w:rsid w:val="000A273B"/>
    <w:rsid w:val="000A4EB3"/>
    <w:rsid w:val="000B28E2"/>
    <w:rsid w:val="000B4A46"/>
    <w:rsid w:val="000B5D98"/>
    <w:rsid w:val="000C01AC"/>
    <w:rsid w:val="000C4D6B"/>
    <w:rsid w:val="000C714E"/>
    <w:rsid w:val="000C780E"/>
    <w:rsid w:val="000D4F69"/>
    <w:rsid w:val="000D53F2"/>
    <w:rsid w:val="000E05A2"/>
    <w:rsid w:val="000E2B26"/>
    <w:rsid w:val="000E5EDC"/>
    <w:rsid w:val="000F09D2"/>
    <w:rsid w:val="000F422F"/>
    <w:rsid w:val="000F7469"/>
    <w:rsid w:val="000F7ECF"/>
    <w:rsid w:val="00100361"/>
    <w:rsid w:val="00102344"/>
    <w:rsid w:val="001105C4"/>
    <w:rsid w:val="001107E2"/>
    <w:rsid w:val="00110AD5"/>
    <w:rsid w:val="00112561"/>
    <w:rsid w:val="00116F88"/>
    <w:rsid w:val="00126F65"/>
    <w:rsid w:val="00126FD4"/>
    <w:rsid w:val="0013097D"/>
    <w:rsid w:val="0013217B"/>
    <w:rsid w:val="001355BC"/>
    <w:rsid w:val="00141D8D"/>
    <w:rsid w:val="00147986"/>
    <w:rsid w:val="0015099C"/>
    <w:rsid w:val="00151D8D"/>
    <w:rsid w:val="001538CA"/>
    <w:rsid w:val="00155856"/>
    <w:rsid w:val="00156536"/>
    <w:rsid w:val="00160029"/>
    <w:rsid w:val="00161B5C"/>
    <w:rsid w:val="00165A58"/>
    <w:rsid w:val="00166114"/>
    <w:rsid w:val="00174986"/>
    <w:rsid w:val="00174B4E"/>
    <w:rsid w:val="00177B19"/>
    <w:rsid w:val="0018138A"/>
    <w:rsid w:val="001814A8"/>
    <w:rsid w:val="00181FA1"/>
    <w:rsid w:val="00182C2D"/>
    <w:rsid w:val="00183F2D"/>
    <w:rsid w:val="001857A9"/>
    <w:rsid w:val="001859A1"/>
    <w:rsid w:val="00186DA4"/>
    <w:rsid w:val="0018714A"/>
    <w:rsid w:val="00191355"/>
    <w:rsid w:val="0019743F"/>
    <w:rsid w:val="00197A4B"/>
    <w:rsid w:val="001A0D46"/>
    <w:rsid w:val="001A3508"/>
    <w:rsid w:val="001A3A14"/>
    <w:rsid w:val="001B0FC8"/>
    <w:rsid w:val="001B24A5"/>
    <w:rsid w:val="001B397C"/>
    <w:rsid w:val="001B60F5"/>
    <w:rsid w:val="001B7BD4"/>
    <w:rsid w:val="001C289F"/>
    <w:rsid w:val="001C3CB1"/>
    <w:rsid w:val="001C47BE"/>
    <w:rsid w:val="001C60DD"/>
    <w:rsid w:val="001C61DA"/>
    <w:rsid w:val="001D212F"/>
    <w:rsid w:val="001D26F0"/>
    <w:rsid w:val="001D324D"/>
    <w:rsid w:val="001D6F37"/>
    <w:rsid w:val="001D71B5"/>
    <w:rsid w:val="001E1CBD"/>
    <w:rsid w:val="001E31AA"/>
    <w:rsid w:val="001E7187"/>
    <w:rsid w:val="001E786C"/>
    <w:rsid w:val="001F09A3"/>
    <w:rsid w:val="001F0B1C"/>
    <w:rsid w:val="001F29BC"/>
    <w:rsid w:val="001F2F92"/>
    <w:rsid w:val="001F3D0D"/>
    <w:rsid w:val="001F4C02"/>
    <w:rsid w:val="001F6089"/>
    <w:rsid w:val="0020068F"/>
    <w:rsid w:val="00204D2E"/>
    <w:rsid w:val="0021088B"/>
    <w:rsid w:val="00217479"/>
    <w:rsid w:val="0022083C"/>
    <w:rsid w:val="0022343C"/>
    <w:rsid w:val="002252D9"/>
    <w:rsid w:val="00225988"/>
    <w:rsid w:val="0022786E"/>
    <w:rsid w:val="0023266F"/>
    <w:rsid w:val="0023539E"/>
    <w:rsid w:val="00237111"/>
    <w:rsid w:val="00243A87"/>
    <w:rsid w:val="002440BF"/>
    <w:rsid w:val="00245DDE"/>
    <w:rsid w:val="0024695C"/>
    <w:rsid w:val="00246C1E"/>
    <w:rsid w:val="002550D5"/>
    <w:rsid w:val="00260986"/>
    <w:rsid w:val="002621C8"/>
    <w:rsid w:val="00262AAA"/>
    <w:rsid w:val="002651FD"/>
    <w:rsid w:val="0027223E"/>
    <w:rsid w:val="0027303C"/>
    <w:rsid w:val="00274A82"/>
    <w:rsid w:val="00282936"/>
    <w:rsid w:val="002844EB"/>
    <w:rsid w:val="00287125"/>
    <w:rsid w:val="002873F5"/>
    <w:rsid w:val="00291455"/>
    <w:rsid w:val="0029157F"/>
    <w:rsid w:val="002A040D"/>
    <w:rsid w:val="002A2EB0"/>
    <w:rsid w:val="002A5919"/>
    <w:rsid w:val="002A64D6"/>
    <w:rsid w:val="002A6CC0"/>
    <w:rsid w:val="002B08C9"/>
    <w:rsid w:val="002B16E5"/>
    <w:rsid w:val="002B2667"/>
    <w:rsid w:val="002C429C"/>
    <w:rsid w:val="002C4B9D"/>
    <w:rsid w:val="002C4C96"/>
    <w:rsid w:val="002C738C"/>
    <w:rsid w:val="002D12D6"/>
    <w:rsid w:val="002E522C"/>
    <w:rsid w:val="002E74DE"/>
    <w:rsid w:val="002F174B"/>
    <w:rsid w:val="002F2A8C"/>
    <w:rsid w:val="002F5549"/>
    <w:rsid w:val="003018FC"/>
    <w:rsid w:val="00305C97"/>
    <w:rsid w:val="00306181"/>
    <w:rsid w:val="00307F81"/>
    <w:rsid w:val="003106F9"/>
    <w:rsid w:val="00310F1B"/>
    <w:rsid w:val="00313064"/>
    <w:rsid w:val="00322C57"/>
    <w:rsid w:val="00322D6C"/>
    <w:rsid w:val="00323E5F"/>
    <w:rsid w:val="00324CF4"/>
    <w:rsid w:val="00327347"/>
    <w:rsid w:val="00327C18"/>
    <w:rsid w:val="003321A3"/>
    <w:rsid w:val="00333F6B"/>
    <w:rsid w:val="00335A9B"/>
    <w:rsid w:val="00336906"/>
    <w:rsid w:val="00340F71"/>
    <w:rsid w:val="00341D5F"/>
    <w:rsid w:val="0034292A"/>
    <w:rsid w:val="00345334"/>
    <w:rsid w:val="00351275"/>
    <w:rsid w:val="0035465A"/>
    <w:rsid w:val="00356F80"/>
    <w:rsid w:val="00364878"/>
    <w:rsid w:val="003661E9"/>
    <w:rsid w:val="00367612"/>
    <w:rsid w:val="00382AB4"/>
    <w:rsid w:val="003840DF"/>
    <w:rsid w:val="00395370"/>
    <w:rsid w:val="00396FEE"/>
    <w:rsid w:val="003A0171"/>
    <w:rsid w:val="003A2EE4"/>
    <w:rsid w:val="003A71A6"/>
    <w:rsid w:val="003B33D5"/>
    <w:rsid w:val="003B5C8A"/>
    <w:rsid w:val="003B7590"/>
    <w:rsid w:val="003C2D25"/>
    <w:rsid w:val="003C3363"/>
    <w:rsid w:val="003E385D"/>
    <w:rsid w:val="003E4A7C"/>
    <w:rsid w:val="003F25C6"/>
    <w:rsid w:val="003F3910"/>
    <w:rsid w:val="003F466B"/>
    <w:rsid w:val="003F474F"/>
    <w:rsid w:val="003F70F6"/>
    <w:rsid w:val="003F72DE"/>
    <w:rsid w:val="0040288F"/>
    <w:rsid w:val="00403A91"/>
    <w:rsid w:val="00404373"/>
    <w:rsid w:val="00407EE5"/>
    <w:rsid w:val="004117FA"/>
    <w:rsid w:val="004119C3"/>
    <w:rsid w:val="0041764D"/>
    <w:rsid w:val="00423333"/>
    <w:rsid w:val="004240FE"/>
    <w:rsid w:val="00427591"/>
    <w:rsid w:val="00427F5F"/>
    <w:rsid w:val="00431DEE"/>
    <w:rsid w:val="00440D1B"/>
    <w:rsid w:val="00441D2B"/>
    <w:rsid w:val="0044403E"/>
    <w:rsid w:val="00444EEA"/>
    <w:rsid w:val="00444F80"/>
    <w:rsid w:val="00446D1A"/>
    <w:rsid w:val="0045168F"/>
    <w:rsid w:val="00455FB6"/>
    <w:rsid w:val="00457787"/>
    <w:rsid w:val="00464185"/>
    <w:rsid w:val="0047326E"/>
    <w:rsid w:val="00474E5F"/>
    <w:rsid w:val="004750FA"/>
    <w:rsid w:val="00476726"/>
    <w:rsid w:val="00480072"/>
    <w:rsid w:val="00483F58"/>
    <w:rsid w:val="00490404"/>
    <w:rsid w:val="0049223C"/>
    <w:rsid w:val="00492C22"/>
    <w:rsid w:val="0049312F"/>
    <w:rsid w:val="00494149"/>
    <w:rsid w:val="004978C7"/>
    <w:rsid w:val="004A0A4E"/>
    <w:rsid w:val="004A3611"/>
    <w:rsid w:val="004A67F2"/>
    <w:rsid w:val="004C421F"/>
    <w:rsid w:val="004C4C9A"/>
    <w:rsid w:val="004C69FF"/>
    <w:rsid w:val="004D2F85"/>
    <w:rsid w:val="004D5665"/>
    <w:rsid w:val="004D659E"/>
    <w:rsid w:val="004D6877"/>
    <w:rsid w:val="004E0187"/>
    <w:rsid w:val="004E48DE"/>
    <w:rsid w:val="004E4F93"/>
    <w:rsid w:val="004F0A73"/>
    <w:rsid w:val="004F0A78"/>
    <w:rsid w:val="004F37A3"/>
    <w:rsid w:val="004F472F"/>
    <w:rsid w:val="004F79CA"/>
    <w:rsid w:val="0050270D"/>
    <w:rsid w:val="00504261"/>
    <w:rsid w:val="0051169E"/>
    <w:rsid w:val="00514405"/>
    <w:rsid w:val="005204D3"/>
    <w:rsid w:val="00521072"/>
    <w:rsid w:val="00521A1A"/>
    <w:rsid w:val="00525338"/>
    <w:rsid w:val="005259E6"/>
    <w:rsid w:val="00525B99"/>
    <w:rsid w:val="005302FE"/>
    <w:rsid w:val="005308BC"/>
    <w:rsid w:val="005326E9"/>
    <w:rsid w:val="00534BDE"/>
    <w:rsid w:val="00540778"/>
    <w:rsid w:val="0054119B"/>
    <w:rsid w:val="00542D7D"/>
    <w:rsid w:val="005535A5"/>
    <w:rsid w:val="00561169"/>
    <w:rsid w:val="0056180B"/>
    <w:rsid w:val="00563C49"/>
    <w:rsid w:val="00565ADF"/>
    <w:rsid w:val="00571735"/>
    <w:rsid w:val="00575351"/>
    <w:rsid w:val="00575C23"/>
    <w:rsid w:val="0058048B"/>
    <w:rsid w:val="00584DF8"/>
    <w:rsid w:val="00584FF4"/>
    <w:rsid w:val="00591CB5"/>
    <w:rsid w:val="005940F2"/>
    <w:rsid w:val="0059544F"/>
    <w:rsid w:val="00595B4F"/>
    <w:rsid w:val="00597AD1"/>
    <w:rsid w:val="005A44FB"/>
    <w:rsid w:val="005A5206"/>
    <w:rsid w:val="005A528F"/>
    <w:rsid w:val="005B2D67"/>
    <w:rsid w:val="005B404A"/>
    <w:rsid w:val="005B4D25"/>
    <w:rsid w:val="005B76F1"/>
    <w:rsid w:val="005C1591"/>
    <w:rsid w:val="005C342E"/>
    <w:rsid w:val="005C3599"/>
    <w:rsid w:val="005C3808"/>
    <w:rsid w:val="005C3CB8"/>
    <w:rsid w:val="005C4354"/>
    <w:rsid w:val="005C4D6A"/>
    <w:rsid w:val="005D18A9"/>
    <w:rsid w:val="005D2AC1"/>
    <w:rsid w:val="005D377B"/>
    <w:rsid w:val="005D38AF"/>
    <w:rsid w:val="005D3DB7"/>
    <w:rsid w:val="005D4336"/>
    <w:rsid w:val="005D4AF8"/>
    <w:rsid w:val="005D5021"/>
    <w:rsid w:val="005D7786"/>
    <w:rsid w:val="005E3568"/>
    <w:rsid w:val="005E6A22"/>
    <w:rsid w:val="005F0C6D"/>
    <w:rsid w:val="005F1090"/>
    <w:rsid w:val="005F157C"/>
    <w:rsid w:val="0060060F"/>
    <w:rsid w:val="0060165E"/>
    <w:rsid w:val="00602696"/>
    <w:rsid w:val="00602ACE"/>
    <w:rsid w:val="00606912"/>
    <w:rsid w:val="006120B6"/>
    <w:rsid w:val="0061585A"/>
    <w:rsid w:val="00615BF2"/>
    <w:rsid w:val="00626053"/>
    <w:rsid w:val="0063277D"/>
    <w:rsid w:val="00633F30"/>
    <w:rsid w:val="00634BC1"/>
    <w:rsid w:val="006350E4"/>
    <w:rsid w:val="00637407"/>
    <w:rsid w:val="006400D3"/>
    <w:rsid w:val="00640457"/>
    <w:rsid w:val="00641A74"/>
    <w:rsid w:val="006442CD"/>
    <w:rsid w:val="00647627"/>
    <w:rsid w:val="0065159B"/>
    <w:rsid w:val="00661536"/>
    <w:rsid w:val="0066310C"/>
    <w:rsid w:val="00664A01"/>
    <w:rsid w:val="00665330"/>
    <w:rsid w:val="00667CDE"/>
    <w:rsid w:val="00670E32"/>
    <w:rsid w:val="00672672"/>
    <w:rsid w:val="00673602"/>
    <w:rsid w:val="0068653F"/>
    <w:rsid w:val="00686AAA"/>
    <w:rsid w:val="0068787A"/>
    <w:rsid w:val="00692A49"/>
    <w:rsid w:val="00693961"/>
    <w:rsid w:val="006945BC"/>
    <w:rsid w:val="0069635C"/>
    <w:rsid w:val="006A1EE5"/>
    <w:rsid w:val="006A3641"/>
    <w:rsid w:val="006A45CC"/>
    <w:rsid w:val="006A6DA1"/>
    <w:rsid w:val="006B077A"/>
    <w:rsid w:val="006B2F52"/>
    <w:rsid w:val="006B5DBB"/>
    <w:rsid w:val="006B7D93"/>
    <w:rsid w:val="006C03AC"/>
    <w:rsid w:val="006C2590"/>
    <w:rsid w:val="006C297C"/>
    <w:rsid w:val="006C4330"/>
    <w:rsid w:val="006C488A"/>
    <w:rsid w:val="006C4FDA"/>
    <w:rsid w:val="006C554E"/>
    <w:rsid w:val="006C5F25"/>
    <w:rsid w:val="006C69D9"/>
    <w:rsid w:val="006D0E5D"/>
    <w:rsid w:val="006D48DC"/>
    <w:rsid w:val="006D492F"/>
    <w:rsid w:val="006E0469"/>
    <w:rsid w:val="006F122B"/>
    <w:rsid w:val="006F5A7F"/>
    <w:rsid w:val="00702D8C"/>
    <w:rsid w:val="00702EFB"/>
    <w:rsid w:val="00706DD5"/>
    <w:rsid w:val="00716061"/>
    <w:rsid w:val="007200B6"/>
    <w:rsid w:val="007234FD"/>
    <w:rsid w:val="007254FE"/>
    <w:rsid w:val="00727F86"/>
    <w:rsid w:val="00731132"/>
    <w:rsid w:val="007311D2"/>
    <w:rsid w:val="007336B1"/>
    <w:rsid w:val="007359DE"/>
    <w:rsid w:val="007425ED"/>
    <w:rsid w:val="00742A9F"/>
    <w:rsid w:val="007466E6"/>
    <w:rsid w:val="00752A80"/>
    <w:rsid w:val="00757465"/>
    <w:rsid w:val="0076466B"/>
    <w:rsid w:val="00765B32"/>
    <w:rsid w:val="00766FC9"/>
    <w:rsid w:val="007810E9"/>
    <w:rsid w:val="007839E4"/>
    <w:rsid w:val="007841CC"/>
    <w:rsid w:val="00786CCB"/>
    <w:rsid w:val="00792819"/>
    <w:rsid w:val="0079479F"/>
    <w:rsid w:val="00794EF8"/>
    <w:rsid w:val="00797C61"/>
    <w:rsid w:val="007A06CE"/>
    <w:rsid w:val="007A661B"/>
    <w:rsid w:val="007B14D8"/>
    <w:rsid w:val="007B228A"/>
    <w:rsid w:val="007B3C3C"/>
    <w:rsid w:val="007B6DA9"/>
    <w:rsid w:val="007C4769"/>
    <w:rsid w:val="007C581D"/>
    <w:rsid w:val="007D048E"/>
    <w:rsid w:val="007D77E4"/>
    <w:rsid w:val="007E0CC5"/>
    <w:rsid w:val="007E1BC8"/>
    <w:rsid w:val="007E2B2D"/>
    <w:rsid w:val="007E3234"/>
    <w:rsid w:val="007F041A"/>
    <w:rsid w:val="007F0FCD"/>
    <w:rsid w:val="008007E3"/>
    <w:rsid w:val="00800C26"/>
    <w:rsid w:val="00801353"/>
    <w:rsid w:val="0080378D"/>
    <w:rsid w:val="00805074"/>
    <w:rsid w:val="00805C67"/>
    <w:rsid w:val="0081426C"/>
    <w:rsid w:val="00816AA0"/>
    <w:rsid w:val="00816CEE"/>
    <w:rsid w:val="008172C5"/>
    <w:rsid w:val="008177B6"/>
    <w:rsid w:val="00817E0F"/>
    <w:rsid w:val="00821EAC"/>
    <w:rsid w:val="008240B6"/>
    <w:rsid w:val="0083052D"/>
    <w:rsid w:val="00832B2C"/>
    <w:rsid w:val="00833455"/>
    <w:rsid w:val="008354D4"/>
    <w:rsid w:val="008449EF"/>
    <w:rsid w:val="008455B9"/>
    <w:rsid w:val="008516E9"/>
    <w:rsid w:val="00852467"/>
    <w:rsid w:val="00853750"/>
    <w:rsid w:val="00857750"/>
    <w:rsid w:val="0086195B"/>
    <w:rsid w:val="00862899"/>
    <w:rsid w:val="0086363A"/>
    <w:rsid w:val="0087335F"/>
    <w:rsid w:val="00875151"/>
    <w:rsid w:val="00875A13"/>
    <w:rsid w:val="00875C19"/>
    <w:rsid w:val="0087651A"/>
    <w:rsid w:val="00882B1D"/>
    <w:rsid w:val="00884183"/>
    <w:rsid w:val="00890447"/>
    <w:rsid w:val="00894A2E"/>
    <w:rsid w:val="00897372"/>
    <w:rsid w:val="008A10CB"/>
    <w:rsid w:val="008A2DBE"/>
    <w:rsid w:val="008A352C"/>
    <w:rsid w:val="008A64BE"/>
    <w:rsid w:val="008B0CB8"/>
    <w:rsid w:val="008B2D0C"/>
    <w:rsid w:val="008B3644"/>
    <w:rsid w:val="008B4B9B"/>
    <w:rsid w:val="008B726F"/>
    <w:rsid w:val="008C1139"/>
    <w:rsid w:val="008C673A"/>
    <w:rsid w:val="008D06BC"/>
    <w:rsid w:val="008D4930"/>
    <w:rsid w:val="008E2FC0"/>
    <w:rsid w:val="008E3425"/>
    <w:rsid w:val="008E362F"/>
    <w:rsid w:val="008E408B"/>
    <w:rsid w:val="008E5474"/>
    <w:rsid w:val="008E56C3"/>
    <w:rsid w:val="008E6C1A"/>
    <w:rsid w:val="008E7A50"/>
    <w:rsid w:val="008F173B"/>
    <w:rsid w:val="008F5A09"/>
    <w:rsid w:val="008F62B0"/>
    <w:rsid w:val="008F671F"/>
    <w:rsid w:val="008F7F04"/>
    <w:rsid w:val="00907B88"/>
    <w:rsid w:val="00913B11"/>
    <w:rsid w:val="009171C9"/>
    <w:rsid w:val="009175A9"/>
    <w:rsid w:val="00917F97"/>
    <w:rsid w:val="00920C79"/>
    <w:rsid w:val="00920F60"/>
    <w:rsid w:val="00924F92"/>
    <w:rsid w:val="00927E0A"/>
    <w:rsid w:val="00931298"/>
    <w:rsid w:val="0093268B"/>
    <w:rsid w:val="009438CB"/>
    <w:rsid w:val="00944512"/>
    <w:rsid w:val="0094642A"/>
    <w:rsid w:val="00951703"/>
    <w:rsid w:val="0095483C"/>
    <w:rsid w:val="009573AC"/>
    <w:rsid w:val="0096100C"/>
    <w:rsid w:val="00964759"/>
    <w:rsid w:val="009671CF"/>
    <w:rsid w:val="0097207D"/>
    <w:rsid w:val="009723DC"/>
    <w:rsid w:val="009731BD"/>
    <w:rsid w:val="009761B6"/>
    <w:rsid w:val="00980513"/>
    <w:rsid w:val="0098085C"/>
    <w:rsid w:val="0098208E"/>
    <w:rsid w:val="009854E2"/>
    <w:rsid w:val="00986F19"/>
    <w:rsid w:val="00996ACA"/>
    <w:rsid w:val="009A3BAE"/>
    <w:rsid w:val="009B1356"/>
    <w:rsid w:val="009B321B"/>
    <w:rsid w:val="009B6AAB"/>
    <w:rsid w:val="009D3CDB"/>
    <w:rsid w:val="009D513E"/>
    <w:rsid w:val="009D5252"/>
    <w:rsid w:val="009D7A70"/>
    <w:rsid w:val="009E2FF5"/>
    <w:rsid w:val="009E7E79"/>
    <w:rsid w:val="009F05AC"/>
    <w:rsid w:val="009F1089"/>
    <w:rsid w:val="009F2A04"/>
    <w:rsid w:val="009F2BF0"/>
    <w:rsid w:val="009F341E"/>
    <w:rsid w:val="009F46BA"/>
    <w:rsid w:val="009F5541"/>
    <w:rsid w:val="00A0126B"/>
    <w:rsid w:val="00A01E21"/>
    <w:rsid w:val="00A03053"/>
    <w:rsid w:val="00A050B5"/>
    <w:rsid w:val="00A1002A"/>
    <w:rsid w:val="00A1154A"/>
    <w:rsid w:val="00A118B2"/>
    <w:rsid w:val="00A12711"/>
    <w:rsid w:val="00A149FA"/>
    <w:rsid w:val="00A25493"/>
    <w:rsid w:val="00A25B1F"/>
    <w:rsid w:val="00A2700D"/>
    <w:rsid w:val="00A3356E"/>
    <w:rsid w:val="00A438A8"/>
    <w:rsid w:val="00A4500D"/>
    <w:rsid w:val="00A45364"/>
    <w:rsid w:val="00A4602E"/>
    <w:rsid w:val="00A46B3B"/>
    <w:rsid w:val="00A5322B"/>
    <w:rsid w:val="00A564CD"/>
    <w:rsid w:val="00A570D3"/>
    <w:rsid w:val="00A57C1A"/>
    <w:rsid w:val="00A6011A"/>
    <w:rsid w:val="00A6350B"/>
    <w:rsid w:val="00A65620"/>
    <w:rsid w:val="00A667D0"/>
    <w:rsid w:val="00A66A9A"/>
    <w:rsid w:val="00A719AB"/>
    <w:rsid w:val="00A72813"/>
    <w:rsid w:val="00A72AB7"/>
    <w:rsid w:val="00A762D6"/>
    <w:rsid w:val="00A81C73"/>
    <w:rsid w:val="00A87C94"/>
    <w:rsid w:val="00A91287"/>
    <w:rsid w:val="00A942AB"/>
    <w:rsid w:val="00A9726C"/>
    <w:rsid w:val="00AA06FE"/>
    <w:rsid w:val="00AA5BB0"/>
    <w:rsid w:val="00AA6E0E"/>
    <w:rsid w:val="00AB0813"/>
    <w:rsid w:val="00AB08EC"/>
    <w:rsid w:val="00AB246F"/>
    <w:rsid w:val="00AB7073"/>
    <w:rsid w:val="00AC13E9"/>
    <w:rsid w:val="00AC4010"/>
    <w:rsid w:val="00AC5469"/>
    <w:rsid w:val="00AC6803"/>
    <w:rsid w:val="00AD0120"/>
    <w:rsid w:val="00AD3F2A"/>
    <w:rsid w:val="00AD7282"/>
    <w:rsid w:val="00AD733C"/>
    <w:rsid w:val="00AE0643"/>
    <w:rsid w:val="00AE09F3"/>
    <w:rsid w:val="00AE412E"/>
    <w:rsid w:val="00AE6BCF"/>
    <w:rsid w:val="00AE7B48"/>
    <w:rsid w:val="00AF1FAC"/>
    <w:rsid w:val="00AF40BD"/>
    <w:rsid w:val="00AF644F"/>
    <w:rsid w:val="00AF6E5C"/>
    <w:rsid w:val="00B03AFE"/>
    <w:rsid w:val="00B061A1"/>
    <w:rsid w:val="00B10381"/>
    <w:rsid w:val="00B11ACE"/>
    <w:rsid w:val="00B13783"/>
    <w:rsid w:val="00B2431D"/>
    <w:rsid w:val="00B24ADA"/>
    <w:rsid w:val="00B26C73"/>
    <w:rsid w:val="00B26CD4"/>
    <w:rsid w:val="00B33A58"/>
    <w:rsid w:val="00B35528"/>
    <w:rsid w:val="00B424E9"/>
    <w:rsid w:val="00B46579"/>
    <w:rsid w:val="00B51F11"/>
    <w:rsid w:val="00B528C2"/>
    <w:rsid w:val="00B5350B"/>
    <w:rsid w:val="00B54934"/>
    <w:rsid w:val="00B54AC1"/>
    <w:rsid w:val="00B60DBF"/>
    <w:rsid w:val="00B65424"/>
    <w:rsid w:val="00B7581F"/>
    <w:rsid w:val="00B8045B"/>
    <w:rsid w:val="00B830B0"/>
    <w:rsid w:val="00B83DAC"/>
    <w:rsid w:val="00B87016"/>
    <w:rsid w:val="00B93241"/>
    <w:rsid w:val="00B944A1"/>
    <w:rsid w:val="00B94A6E"/>
    <w:rsid w:val="00B950C7"/>
    <w:rsid w:val="00B96295"/>
    <w:rsid w:val="00BA38A7"/>
    <w:rsid w:val="00BA4E9A"/>
    <w:rsid w:val="00BA4F59"/>
    <w:rsid w:val="00BA594D"/>
    <w:rsid w:val="00BA629C"/>
    <w:rsid w:val="00BA687E"/>
    <w:rsid w:val="00BB00F8"/>
    <w:rsid w:val="00BB125F"/>
    <w:rsid w:val="00BB17AD"/>
    <w:rsid w:val="00BB1923"/>
    <w:rsid w:val="00BB5E49"/>
    <w:rsid w:val="00BC0898"/>
    <w:rsid w:val="00BC1B91"/>
    <w:rsid w:val="00BC4CC7"/>
    <w:rsid w:val="00BD6009"/>
    <w:rsid w:val="00BD60A7"/>
    <w:rsid w:val="00BD6799"/>
    <w:rsid w:val="00BE0922"/>
    <w:rsid w:val="00BE0E98"/>
    <w:rsid w:val="00BE11B6"/>
    <w:rsid w:val="00BE3968"/>
    <w:rsid w:val="00BE6090"/>
    <w:rsid w:val="00BF267C"/>
    <w:rsid w:val="00BF4B53"/>
    <w:rsid w:val="00C01695"/>
    <w:rsid w:val="00C01BDB"/>
    <w:rsid w:val="00C042EE"/>
    <w:rsid w:val="00C057D2"/>
    <w:rsid w:val="00C058F3"/>
    <w:rsid w:val="00C05CA0"/>
    <w:rsid w:val="00C1024D"/>
    <w:rsid w:val="00C1115C"/>
    <w:rsid w:val="00C13E2D"/>
    <w:rsid w:val="00C15AC7"/>
    <w:rsid w:val="00C1648E"/>
    <w:rsid w:val="00C17112"/>
    <w:rsid w:val="00C20B6B"/>
    <w:rsid w:val="00C3272E"/>
    <w:rsid w:val="00C34038"/>
    <w:rsid w:val="00C366DE"/>
    <w:rsid w:val="00C36F8A"/>
    <w:rsid w:val="00C375FB"/>
    <w:rsid w:val="00C40CD6"/>
    <w:rsid w:val="00C4449A"/>
    <w:rsid w:val="00C452FB"/>
    <w:rsid w:val="00C5547E"/>
    <w:rsid w:val="00C56F24"/>
    <w:rsid w:val="00C57914"/>
    <w:rsid w:val="00C60575"/>
    <w:rsid w:val="00C60767"/>
    <w:rsid w:val="00C63693"/>
    <w:rsid w:val="00C6380F"/>
    <w:rsid w:val="00C63F0B"/>
    <w:rsid w:val="00C63F99"/>
    <w:rsid w:val="00C660DB"/>
    <w:rsid w:val="00C728E5"/>
    <w:rsid w:val="00C72C42"/>
    <w:rsid w:val="00C741A0"/>
    <w:rsid w:val="00C7436B"/>
    <w:rsid w:val="00C74FB8"/>
    <w:rsid w:val="00C77438"/>
    <w:rsid w:val="00C82E57"/>
    <w:rsid w:val="00C84B66"/>
    <w:rsid w:val="00C8731D"/>
    <w:rsid w:val="00CA00DE"/>
    <w:rsid w:val="00CA0741"/>
    <w:rsid w:val="00CA2525"/>
    <w:rsid w:val="00CA282E"/>
    <w:rsid w:val="00CA4AA4"/>
    <w:rsid w:val="00CA797D"/>
    <w:rsid w:val="00CB5A0E"/>
    <w:rsid w:val="00CC0B5F"/>
    <w:rsid w:val="00CC0E92"/>
    <w:rsid w:val="00CC313B"/>
    <w:rsid w:val="00CC4539"/>
    <w:rsid w:val="00CC6FE5"/>
    <w:rsid w:val="00CC74E6"/>
    <w:rsid w:val="00CD0067"/>
    <w:rsid w:val="00CD10F8"/>
    <w:rsid w:val="00CD2463"/>
    <w:rsid w:val="00CD2A88"/>
    <w:rsid w:val="00CE026D"/>
    <w:rsid w:val="00CE266F"/>
    <w:rsid w:val="00CF00BC"/>
    <w:rsid w:val="00CF1D47"/>
    <w:rsid w:val="00CF3503"/>
    <w:rsid w:val="00CF79A6"/>
    <w:rsid w:val="00D02AED"/>
    <w:rsid w:val="00D02F23"/>
    <w:rsid w:val="00D04123"/>
    <w:rsid w:val="00D04EFE"/>
    <w:rsid w:val="00D05DAB"/>
    <w:rsid w:val="00D0660D"/>
    <w:rsid w:val="00D10C9D"/>
    <w:rsid w:val="00D117F5"/>
    <w:rsid w:val="00D11F94"/>
    <w:rsid w:val="00D12100"/>
    <w:rsid w:val="00D17C26"/>
    <w:rsid w:val="00D209FD"/>
    <w:rsid w:val="00D2107A"/>
    <w:rsid w:val="00D26E33"/>
    <w:rsid w:val="00D30077"/>
    <w:rsid w:val="00D33975"/>
    <w:rsid w:val="00D339D6"/>
    <w:rsid w:val="00D34242"/>
    <w:rsid w:val="00D34C77"/>
    <w:rsid w:val="00D364F6"/>
    <w:rsid w:val="00D4680E"/>
    <w:rsid w:val="00D53176"/>
    <w:rsid w:val="00D531A8"/>
    <w:rsid w:val="00D53924"/>
    <w:rsid w:val="00D57B52"/>
    <w:rsid w:val="00D57FB3"/>
    <w:rsid w:val="00D60065"/>
    <w:rsid w:val="00D6254B"/>
    <w:rsid w:val="00D63A33"/>
    <w:rsid w:val="00D64064"/>
    <w:rsid w:val="00D670FE"/>
    <w:rsid w:val="00D67812"/>
    <w:rsid w:val="00D72796"/>
    <w:rsid w:val="00D7435C"/>
    <w:rsid w:val="00D8099B"/>
    <w:rsid w:val="00D82E3D"/>
    <w:rsid w:val="00D83CE2"/>
    <w:rsid w:val="00D9008A"/>
    <w:rsid w:val="00D91EA2"/>
    <w:rsid w:val="00D938DB"/>
    <w:rsid w:val="00D95E14"/>
    <w:rsid w:val="00D96322"/>
    <w:rsid w:val="00DA3A97"/>
    <w:rsid w:val="00DA4692"/>
    <w:rsid w:val="00DA4829"/>
    <w:rsid w:val="00DA5796"/>
    <w:rsid w:val="00DB1DD8"/>
    <w:rsid w:val="00DB6070"/>
    <w:rsid w:val="00DB7B5C"/>
    <w:rsid w:val="00DC0406"/>
    <w:rsid w:val="00DC138D"/>
    <w:rsid w:val="00DC3619"/>
    <w:rsid w:val="00DC4123"/>
    <w:rsid w:val="00DC5E83"/>
    <w:rsid w:val="00DC6927"/>
    <w:rsid w:val="00DC787D"/>
    <w:rsid w:val="00DD0903"/>
    <w:rsid w:val="00DD1C39"/>
    <w:rsid w:val="00DD74F4"/>
    <w:rsid w:val="00DE0904"/>
    <w:rsid w:val="00DE1D16"/>
    <w:rsid w:val="00DF60F7"/>
    <w:rsid w:val="00DF69DD"/>
    <w:rsid w:val="00E00806"/>
    <w:rsid w:val="00E01D77"/>
    <w:rsid w:val="00E04E23"/>
    <w:rsid w:val="00E128A4"/>
    <w:rsid w:val="00E12D2D"/>
    <w:rsid w:val="00E1459A"/>
    <w:rsid w:val="00E168C4"/>
    <w:rsid w:val="00E207DD"/>
    <w:rsid w:val="00E279D6"/>
    <w:rsid w:val="00E32E08"/>
    <w:rsid w:val="00E33562"/>
    <w:rsid w:val="00E33BB9"/>
    <w:rsid w:val="00E352CF"/>
    <w:rsid w:val="00E361C2"/>
    <w:rsid w:val="00E378C2"/>
    <w:rsid w:val="00E41634"/>
    <w:rsid w:val="00E4290F"/>
    <w:rsid w:val="00E4423B"/>
    <w:rsid w:val="00E448FE"/>
    <w:rsid w:val="00E51F04"/>
    <w:rsid w:val="00E607E3"/>
    <w:rsid w:val="00E609D4"/>
    <w:rsid w:val="00E610F7"/>
    <w:rsid w:val="00E67C37"/>
    <w:rsid w:val="00E7112C"/>
    <w:rsid w:val="00E83155"/>
    <w:rsid w:val="00E8528B"/>
    <w:rsid w:val="00E86E2C"/>
    <w:rsid w:val="00E9038D"/>
    <w:rsid w:val="00E9152C"/>
    <w:rsid w:val="00EB27B2"/>
    <w:rsid w:val="00EB469F"/>
    <w:rsid w:val="00EC6406"/>
    <w:rsid w:val="00EC691F"/>
    <w:rsid w:val="00ED4BEA"/>
    <w:rsid w:val="00ED63BE"/>
    <w:rsid w:val="00EE0CC3"/>
    <w:rsid w:val="00EE507E"/>
    <w:rsid w:val="00EF0F1C"/>
    <w:rsid w:val="00EF1152"/>
    <w:rsid w:val="00EF172D"/>
    <w:rsid w:val="00EF1C7A"/>
    <w:rsid w:val="00EF2E3C"/>
    <w:rsid w:val="00EF2F40"/>
    <w:rsid w:val="00EF329E"/>
    <w:rsid w:val="00EF473C"/>
    <w:rsid w:val="00EF4842"/>
    <w:rsid w:val="00EF6654"/>
    <w:rsid w:val="00F02660"/>
    <w:rsid w:val="00F11AAD"/>
    <w:rsid w:val="00F14214"/>
    <w:rsid w:val="00F15204"/>
    <w:rsid w:val="00F17C82"/>
    <w:rsid w:val="00F204E0"/>
    <w:rsid w:val="00F23602"/>
    <w:rsid w:val="00F2485F"/>
    <w:rsid w:val="00F34BF0"/>
    <w:rsid w:val="00F376AA"/>
    <w:rsid w:val="00F40D39"/>
    <w:rsid w:val="00F41777"/>
    <w:rsid w:val="00F44047"/>
    <w:rsid w:val="00F50055"/>
    <w:rsid w:val="00F50695"/>
    <w:rsid w:val="00F53762"/>
    <w:rsid w:val="00F563A0"/>
    <w:rsid w:val="00F67F42"/>
    <w:rsid w:val="00F72DF7"/>
    <w:rsid w:val="00F74351"/>
    <w:rsid w:val="00F758B1"/>
    <w:rsid w:val="00F77E6C"/>
    <w:rsid w:val="00F82C16"/>
    <w:rsid w:val="00F839B3"/>
    <w:rsid w:val="00F865BB"/>
    <w:rsid w:val="00F90364"/>
    <w:rsid w:val="00F91BF4"/>
    <w:rsid w:val="00F92A71"/>
    <w:rsid w:val="00F9571C"/>
    <w:rsid w:val="00FA1A30"/>
    <w:rsid w:val="00FA465A"/>
    <w:rsid w:val="00FA5FE0"/>
    <w:rsid w:val="00FA683D"/>
    <w:rsid w:val="00FA79D6"/>
    <w:rsid w:val="00FA7D79"/>
    <w:rsid w:val="00FB12EF"/>
    <w:rsid w:val="00FB13B1"/>
    <w:rsid w:val="00FB2FBA"/>
    <w:rsid w:val="00FB43D6"/>
    <w:rsid w:val="00FC3662"/>
    <w:rsid w:val="00FD2746"/>
    <w:rsid w:val="00FD378A"/>
    <w:rsid w:val="00FE1486"/>
    <w:rsid w:val="00FE4AF4"/>
    <w:rsid w:val="00FE757A"/>
    <w:rsid w:val="00FF13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BB45"/>
  <w15:docId w15:val="{A0FA1E5C-FCD4-42FB-B675-F6F290A8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5618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322D6C"/>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C366DE"/>
    <w:pPr>
      <w:ind w:left="720"/>
      <w:contextualSpacing/>
    </w:pPr>
  </w:style>
  <w:style w:type="table" w:styleId="a5">
    <w:name w:val="Table Grid"/>
    <w:basedOn w:val="a1"/>
    <w:uiPriority w:val="39"/>
    <w:rsid w:val="00C36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Знак1 Знак,Знак1 Знак Знак,Знак1 Знак Знак Знак Знак Знак Знак Знак,Знак1,Знак1 Знак Знак Знак,Обычный (веб) Знак2,Обычный (веб) Знак1 Знак,Обычный (веб) Знак Знак Знак,Знак1 Знак1 Знак Знак Знак Знак,Знак"/>
    <w:basedOn w:val="a"/>
    <w:link w:val="a7"/>
    <w:qFormat/>
    <w:rsid w:val="00A4500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7">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Обычный (веб) Знак2 Знак,Обычный (веб) Знак1 Знак Знак,Знак Знак"/>
    <w:link w:val="a6"/>
    <w:locked/>
    <w:rsid w:val="00A4500D"/>
    <w:rPr>
      <w:rFonts w:ascii="Times New Roman" w:eastAsia="Times New Roman" w:hAnsi="Times New Roman" w:cs="Times New Roman"/>
      <w:color w:val="000000"/>
      <w:sz w:val="24"/>
      <w:szCs w:val="24"/>
      <w:lang w:eastAsia="ru-RU"/>
    </w:rPr>
  </w:style>
  <w:style w:type="table" w:customStyle="1" w:styleId="1">
    <w:name w:val="Сетка таблицы1"/>
    <w:basedOn w:val="a1"/>
    <w:next w:val="a5"/>
    <w:uiPriority w:val="59"/>
    <w:rsid w:val="00542D7D"/>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8B3644"/>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59"/>
    <w:rsid w:val="00A25493"/>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2B2667"/>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59"/>
    <w:rsid w:val="00D11F94"/>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322D6C"/>
    <w:rPr>
      <w:rFonts w:ascii="Arial" w:eastAsia="Times New Roman" w:hAnsi="Arial" w:cs="Arial"/>
      <w:b/>
      <w:bCs/>
      <w:sz w:val="26"/>
      <w:szCs w:val="26"/>
      <w:lang w:eastAsia="ru-RU"/>
    </w:rPr>
  </w:style>
  <w:style w:type="paragraph" w:styleId="HTML">
    <w:name w:val="HTML Preformatted"/>
    <w:basedOn w:val="a"/>
    <w:link w:val="HTML0"/>
    <w:uiPriority w:val="99"/>
    <w:rsid w:val="00BF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00"/>
      <w:kern w:val="1"/>
      <w:lang w:val="ru-RU" w:eastAsia="zh-CN" w:bidi="hi-IN"/>
    </w:rPr>
  </w:style>
  <w:style w:type="character" w:customStyle="1" w:styleId="HTML0">
    <w:name w:val="Стандартний HTML Знак"/>
    <w:basedOn w:val="a0"/>
    <w:link w:val="HTML"/>
    <w:uiPriority w:val="99"/>
    <w:rsid w:val="00BF4B53"/>
    <w:rPr>
      <w:rFonts w:ascii="Courier New" w:eastAsia="Times New Roman" w:hAnsi="Courier New" w:cs="Courier New"/>
      <w:color w:val="000000"/>
      <w:kern w:val="1"/>
      <w:lang w:val="ru-RU" w:eastAsia="zh-CN" w:bidi="hi-IN"/>
    </w:rPr>
  </w:style>
  <w:style w:type="table" w:customStyle="1" w:styleId="6">
    <w:name w:val="Сетка таблицы6"/>
    <w:basedOn w:val="a1"/>
    <w:next w:val="a5"/>
    <w:uiPriority w:val="59"/>
    <w:rsid w:val="00F11AAD"/>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A4AA4"/>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CA4AA4"/>
  </w:style>
  <w:style w:type="paragraph" w:styleId="aa">
    <w:name w:val="footer"/>
    <w:basedOn w:val="a"/>
    <w:link w:val="ab"/>
    <w:uiPriority w:val="99"/>
    <w:unhideWhenUsed/>
    <w:rsid w:val="00CA4AA4"/>
    <w:pPr>
      <w:tabs>
        <w:tab w:val="center" w:pos="4819"/>
        <w:tab w:val="right" w:pos="9639"/>
      </w:tabs>
      <w:spacing w:after="0" w:line="240" w:lineRule="auto"/>
    </w:pPr>
  </w:style>
  <w:style w:type="character" w:customStyle="1" w:styleId="ab">
    <w:name w:val="Нижній колонтитул Знак"/>
    <w:basedOn w:val="a0"/>
    <w:link w:val="aa"/>
    <w:uiPriority w:val="99"/>
    <w:rsid w:val="00CA4AA4"/>
  </w:style>
  <w:style w:type="paragraph" w:styleId="ac">
    <w:name w:val="Balloon Text"/>
    <w:basedOn w:val="a"/>
    <w:link w:val="ad"/>
    <w:uiPriority w:val="99"/>
    <w:semiHidden/>
    <w:unhideWhenUsed/>
    <w:rsid w:val="00ED63BE"/>
    <w:pPr>
      <w:spacing w:after="0"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ED63BE"/>
    <w:rPr>
      <w:rFonts w:ascii="Tahoma" w:hAnsi="Tahoma" w:cs="Tahoma"/>
      <w:sz w:val="16"/>
      <w:szCs w:val="16"/>
    </w:rPr>
  </w:style>
  <w:style w:type="character" w:customStyle="1" w:styleId="FontStyle12">
    <w:name w:val="Font Style12"/>
    <w:uiPriority w:val="99"/>
    <w:rsid w:val="00F72DF7"/>
    <w:rPr>
      <w:rFonts w:ascii="Times New Roman" w:hAnsi="Times New Roman" w:cs="Times New Roman"/>
      <w:b/>
      <w:bCs/>
      <w:color w:val="000000"/>
      <w:sz w:val="18"/>
      <w:szCs w:val="18"/>
    </w:rPr>
  </w:style>
  <w:style w:type="paragraph" w:customStyle="1" w:styleId="10">
    <w:name w:val="Обычный1"/>
    <w:rsid w:val="007E1BC8"/>
    <w:pPr>
      <w:spacing w:after="0" w:line="240" w:lineRule="auto"/>
    </w:pPr>
    <w:rPr>
      <w:rFonts w:ascii="Times New Roman" w:eastAsia="Times New Roman" w:hAnsi="Times New Roman" w:cs="Times New Roman"/>
      <w:sz w:val="24"/>
      <w:szCs w:val="20"/>
      <w:lang w:val="ru-RU" w:eastAsia="ru-RU"/>
    </w:rPr>
  </w:style>
  <w:style w:type="character" w:customStyle="1" w:styleId="20">
    <w:name w:val="Заголовок 2 Знак"/>
    <w:basedOn w:val="a0"/>
    <w:link w:val="2"/>
    <w:uiPriority w:val="9"/>
    <w:rsid w:val="0056180B"/>
    <w:rPr>
      <w:rFonts w:asciiTheme="majorHAnsi" w:eastAsiaTheme="majorEastAsia" w:hAnsiTheme="majorHAnsi" w:cstheme="majorBidi"/>
      <w:b/>
      <w:bCs/>
      <w:color w:val="4F81BD" w:themeColor="accent1"/>
      <w:sz w:val="26"/>
      <w:szCs w:val="26"/>
    </w:rPr>
  </w:style>
  <w:style w:type="character" w:customStyle="1" w:styleId="spelle">
    <w:name w:val="spelle"/>
    <w:basedOn w:val="a0"/>
    <w:rsid w:val="003F72DE"/>
  </w:style>
  <w:style w:type="paragraph" w:styleId="22">
    <w:name w:val="Body Text Indent 2"/>
    <w:basedOn w:val="a"/>
    <w:link w:val="23"/>
    <w:rsid w:val="00575C23"/>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3">
    <w:name w:val="Основний текст з відступом 2 Знак"/>
    <w:basedOn w:val="a0"/>
    <w:link w:val="22"/>
    <w:rsid w:val="00575C23"/>
    <w:rPr>
      <w:rFonts w:ascii="Times New Roman" w:eastAsia="Times New Roman" w:hAnsi="Times New Roman" w:cs="Times New Roman"/>
      <w:sz w:val="20"/>
      <w:szCs w:val="20"/>
      <w:lang w:eastAsia="ru-RU"/>
    </w:rPr>
  </w:style>
  <w:style w:type="paragraph" w:customStyle="1" w:styleId="a30">
    <w:name w:val="a3"/>
    <w:basedOn w:val="a"/>
    <w:uiPriority w:val="99"/>
    <w:rsid w:val="009723DC"/>
    <w:pPr>
      <w:autoSpaceDE w:val="0"/>
      <w:autoSpaceDN w:val="0"/>
      <w:spacing w:after="0" w:line="240" w:lineRule="auto"/>
    </w:pPr>
    <w:rPr>
      <w:rFonts w:ascii="Verdana" w:eastAsia="Calibri" w:hAnsi="Verdana" w:cs="Times New Roman"/>
      <w:sz w:val="20"/>
      <w:szCs w:val="20"/>
      <w:lang w:val="en-US"/>
    </w:rPr>
  </w:style>
  <w:style w:type="character" w:customStyle="1" w:styleId="ae">
    <w:name w:val="Другое_"/>
    <w:basedOn w:val="a0"/>
    <w:link w:val="af"/>
    <w:rsid w:val="00191355"/>
    <w:rPr>
      <w:rFonts w:ascii="Times New Roman" w:eastAsia="Times New Roman" w:hAnsi="Times New Roman"/>
      <w:sz w:val="26"/>
      <w:szCs w:val="26"/>
      <w:shd w:val="clear" w:color="auto" w:fill="FFFFFF"/>
    </w:rPr>
  </w:style>
  <w:style w:type="paragraph" w:customStyle="1" w:styleId="af">
    <w:name w:val="Другое"/>
    <w:basedOn w:val="a"/>
    <w:link w:val="ae"/>
    <w:rsid w:val="00191355"/>
    <w:pPr>
      <w:widowControl w:val="0"/>
      <w:shd w:val="clear" w:color="auto" w:fill="FFFFFF"/>
      <w:spacing w:after="0" w:line="240" w:lineRule="auto"/>
      <w:ind w:firstLine="400"/>
      <w:jc w:val="both"/>
    </w:pPr>
    <w:rPr>
      <w:rFonts w:ascii="Times New Roman" w:eastAsia="Times New Roman" w:hAnsi="Times New Roman"/>
      <w:sz w:val="26"/>
      <w:szCs w:val="26"/>
    </w:rPr>
  </w:style>
  <w:style w:type="character" w:customStyle="1" w:styleId="a4">
    <w:name w:val="Абзац списку Знак"/>
    <w:link w:val="a3"/>
    <w:uiPriority w:val="34"/>
    <w:rsid w:val="000D4F69"/>
  </w:style>
  <w:style w:type="paragraph" w:styleId="af0">
    <w:name w:val="No Spacing"/>
    <w:uiPriority w:val="1"/>
    <w:qFormat/>
    <w:rsid w:val="00444F80"/>
    <w:pPr>
      <w:spacing w:after="0" w:line="240" w:lineRule="auto"/>
    </w:pPr>
  </w:style>
  <w:style w:type="paragraph" w:styleId="af1">
    <w:name w:val="Body Text Indent"/>
    <w:basedOn w:val="a"/>
    <w:link w:val="af2"/>
    <w:unhideWhenUsed/>
    <w:rsid w:val="00D6254B"/>
    <w:pPr>
      <w:spacing w:after="120" w:line="240" w:lineRule="auto"/>
      <w:ind w:left="283"/>
    </w:pPr>
    <w:rPr>
      <w:rFonts w:ascii="Times New Roman" w:eastAsia="Times New Roman" w:hAnsi="Times New Roman" w:cs="Times New Roman"/>
      <w:sz w:val="24"/>
      <w:szCs w:val="24"/>
      <w:lang w:val="x-none" w:eastAsia="ru-RU"/>
    </w:rPr>
  </w:style>
  <w:style w:type="character" w:customStyle="1" w:styleId="af2">
    <w:name w:val="Основний текст з відступом Знак"/>
    <w:basedOn w:val="a0"/>
    <w:link w:val="af1"/>
    <w:rsid w:val="00D6254B"/>
    <w:rPr>
      <w:rFonts w:ascii="Times New Roman" w:eastAsia="Times New Roman" w:hAnsi="Times New Roman" w:cs="Times New Roman"/>
      <w:sz w:val="24"/>
      <w:szCs w:val="24"/>
      <w:lang w:val="x-none" w:eastAsia="ru-RU"/>
    </w:rPr>
  </w:style>
  <w:style w:type="character" w:customStyle="1" w:styleId="rvts15">
    <w:name w:val="rvts15"/>
    <w:basedOn w:val="a0"/>
    <w:uiPriority w:val="99"/>
    <w:rsid w:val="00BB1923"/>
  </w:style>
  <w:style w:type="character" w:styleId="af3">
    <w:name w:val="Hyperlink"/>
    <w:basedOn w:val="a0"/>
    <w:uiPriority w:val="99"/>
    <w:semiHidden/>
    <w:unhideWhenUsed/>
    <w:rsid w:val="003F466B"/>
    <w:rPr>
      <w:color w:val="0000FF"/>
      <w:u w:val="single"/>
    </w:rPr>
  </w:style>
  <w:style w:type="table" w:customStyle="1" w:styleId="11">
    <w:name w:val="Сітка таблиці1"/>
    <w:basedOn w:val="a1"/>
    <w:next w:val="a5"/>
    <w:uiPriority w:val="39"/>
    <w:rsid w:val="00AF6E5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31220">
      <w:bodyDiv w:val="1"/>
      <w:marLeft w:val="0"/>
      <w:marRight w:val="0"/>
      <w:marTop w:val="0"/>
      <w:marBottom w:val="0"/>
      <w:divBdr>
        <w:top w:val="none" w:sz="0" w:space="0" w:color="auto"/>
        <w:left w:val="none" w:sz="0" w:space="0" w:color="auto"/>
        <w:bottom w:val="none" w:sz="0" w:space="0" w:color="auto"/>
        <w:right w:val="none" w:sz="0" w:space="0" w:color="auto"/>
      </w:divBdr>
    </w:div>
    <w:div w:id="167032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1160-15" TargetMode="External"/><Relationship Id="rId4" Type="http://schemas.openxmlformats.org/officeDocument/2006/relationships/settings" Target="settings.xml"/><Relationship Id="rId9" Type="http://schemas.openxmlformats.org/officeDocument/2006/relationships/hyperlink" Target="https://zakon.rada.gov.ua/laws/show/2464-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3917D-D4B1-474C-B211-9836288E0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14560</Words>
  <Characters>8300</Characters>
  <Application>Microsoft Office Word</Application>
  <DocSecurity>0</DocSecurity>
  <Lines>69</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БАКУМЕНКО АЛЬОНА ЯРОСЛАВІВНА</dc:creator>
  <cp:lastModifiedBy>Панчук Сергій Васильович</cp:lastModifiedBy>
  <cp:revision>2</cp:revision>
  <cp:lastPrinted>2020-11-04T11:34:00Z</cp:lastPrinted>
  <dcterms:created xsi:type="dcterms:W3CDTF">2020-12-11T09:08:00Z</dcterms:created>
  <dcterms:modified xsi:type="dcterms:W3CDTF">2020-12-11T09:08:00Z</dcterms:modified>
</cp:coreProperties>
</file>