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6E5E5" w14:textId="77777777" w:rsidR="00EE1ECA" w:rsidRPr="003B4A9A" w:rsidRDefault="00244EEA" w:rsidP="00E65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bookmarkStart w:id="0" w:name="n1759"/>
      <w:bookmarkEnd w:id="0"/>
      <w:r w:rsidRPr="003B4A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ПРОГНОЗ ВПЛИВУ</w:t>
      </w:r>
      <w:r w:rsidRPr="003B4A9A">
        <w:rPr>
          <w:rFonts w:ascii="Times New Roman" w:eastAsia="Times New Roman" w:hAnsi="Times New Roman" w:cs="Times New Roman"/>
          <w:sz w:val="13"/>
          <w:szCs w:val="13"/>
          <w:lang w:eastAsia="ru-RU"/>
        </w:rPr>
        <w:br/>
      </w:r>
      <w:r w:rsidRPr="003B4A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реалізації акта на ключові інтереси заінтересованих сторін</w:t>
      </w:r>
      <w:r w:rsidR="00E65F85" w:rsidRPr="003B4A9A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</w:t>
      </w:r>
    </w:p>
    <w:p w14:paraId="0D34FF03" w14:textId="6F4D99D0" w:rsidR="00244EEA" w:rsidRPr="003B4A9A" w:rsidRDefault="00244EEA" w:rsidP="00E65F85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1" w:name="n1976"/>
      <w:bookmarkEnd w:id="1"/>
    </w:p>
    <w:p w14:paraId="4527DA6D" w14:textId="77777777" w:rsidR="003F45F9" w:rsidRPr="003B4A9A" w:rsidRDefault="003F45F9" w:rsidP="00244EEA">
      <w:pPr>
        <w:shd w:val="clear" w:color="auto" w:fill="FFFFFF"/>
        <w:spacing w:before="80" w:after="8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14:paraId="24F35440" w14:textId="16ABD90F" w:rsidR="00244EEA" w:rsidRPr="003B4A9A" w:rsidRDefault="00872FC8" w:rsidP="00AF1DFE">
      <w:pPr>
        <w:pStyle w:val="a4"/>
        <w:numPr>
          <w:ilvl w:val="0"/>
          <w:numId w:val="2"/>
        </w:num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1760"/>
      <w:bookmarkEnd w:id="2"/>
      <w:r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8F2E79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про</w:t>
      </w:r>
      <w:r w:rsidR="00E65F85" w:rsidRPr="003B4A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 w:rsidR="00244EEA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244EEA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4EEA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</w:p>
    <w:p w14:paraId="25F3EE1F" w14:textId="59B2D4F6" w:rsidR="00927E83" w:rsidRPr="003B4A9A" w:rsidRDefault="00244EEA" w:rsidP="00AF1DFE">
      <w:pPr>
        <w:shd w:val="clear" w:color="auto" w:fill="FFFFFF"/>
        <w:spacing w:after="8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65F85" w:rsidRPr="003B4A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передбачається </w:t>
      </w:r>
      <w:r w:rsidR="003F45F9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</w:t>
      </w:r>
      <w:r w:rsidR="001031CE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="003F45F9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E83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r w:rsidR="001031CE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7E83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визначення форм та обсягів митного контролю із застосуванням автоматизованої системи управління митними ризиками</w:t>
      </w:r>
      <w:r w:rsidR="00872FC8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r w:rsidR="001031CE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</w:t>
      </w:r>
      <w:r w:rsidR="00872FC8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ації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</w:t>
      </w:r>
      <w:r w:rsidR="00872FC8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посадових осіб митних органів під час виконання митних формальностей</w:t>
      </w:r>
      <w:r w:rsidR="00EE1ECA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визначених за результатами автоматизованої системи управління ризиками, визнач</w:t>
      </w:r>
      <w:r w:rsidR="00872FC8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особливост</w:t>
      </w:r>
      <w:r w:rsidR="00872FC8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проведення </w:t>
      </w:r>
      <w:r w:rsidR="003C26F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окремих митних формальностей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встанов</w:t>
      </w:r>
      <w:r w:rsidR="00872FC8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лення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</w:t>
      </w:r>
      <w:r w:rsidR="00872FC8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27E83"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закріплення результатів виконаних митних формальностей.</w:t>
      </w:r>
    </w:p>
    <w:p w14:paraId="1A02F10F" w14:textId="77777777" w:rsidR="00244EEA" w:rsidRPr="003B4A9A" w:rsidRDefault="00AB6EE0" w:rsidP="00AB6EE0">
      <w:pPr>
        <w:shd w:val="clear" w:color="auto" w:fill="FFFFFF"/>
        <w:spacing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bookmarkStart w:id="3" w:name="n1761"/>
      <w:bookmarkEnd w:id="3"/>
      <w:r w:rsidR="00E14535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4EEA" w:rsidRPr="003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 на ключові інтереси усіх заінтересованих сторін: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3119"/>
        <w:gridCol w:w="3685"/>
        <w:gridCol w:w="3119"/>
      </w:tblGrid>
      <w:tr w:rsidR="003B4A9A" w:rsidRPr="003B4A9A" w14:paraId="78784304" w14:textId="77777777" w:rsidTr="00C71875">
        <w:tc>
          <w:tcPr>
            <w:tcW w:w="2802" w:type="dxa"/>
            <w:vMerge w:val="restart"/>
          </w:tcPr>
          <w:p w14:paraId="7DE67F19" w14:textId="77777777" w:rsidR="00AF1DFE" w:rsidRPr="003B4A9A" w:rsidRDefault="00AF1DFE" w:rsidP="00244EEA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Заінтересована сторона</w:t>
            </w:r>
          </w:p>
        </w:tc>
        <w:tc>
          <w:tcPr>
            <w:tcW w:w="1842" w:type="dxa"/>
            <w:vMerge w:val="restart"/>
          </w:tcPr>
          <w:p w14:paraId="0EA6DA32" w14:textId="77777777" w:rsidR="00AF1DFE" w:rsidRPr="003B4A9A" w:rsidRDefault="00AF1DFE" w:rsidP="00AF1DFE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Ключовий інтерес</w:t>
            </w:r>
          </w:p>
        </w:tc>
        <w:tc>
          <w:tcPr>
            <w:tcW w:w="6804" w:type="dxa"/>
            <w:gridSpan w:val="2"/>
          </w:tcPr>
          <w:p w14:paraId="320D6A3C" w14:textId="77777777" w:rsidR="00AF1DFE" w:rsidRPr="003B4A9A" w:rsidRDefault="00AF1DFE" w:rsidP="00AF1DFE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 числовому або якісному вимірі)</w:t>
            </w:r>
          </w:p>
        </w:tc>
        <w:tc>
          <w:tcPr>
            <w:tcW w:w="3119" w:type="dxa"/>
            <w:vMerge w:val="restart"/>
          </w:tcPr>
          <w:p w14:paraId="47B150DF" w14:textId="77777777" w:rsidR="00AF1DFE" w:rsidRPr="003B4A9A" w:rsidRDefault="00AF1DFE" w:rsidP="00AF1DFE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                                   (чому саме реалізація акта призведе до очікуваного впл</w:t>
            </w:r>
            <w:bookmarkStart w:id="4" w:name="_GoBack"/>
            <w:bookmarkEnd w:id="4"/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иву)</w:t>
            </w:r>
          </w:p>
        </w:tc>
      </w:tr>
      <w:tr w:rsidR="003B4A9A" w:rsidRPr="003B4A9A" w14:paraId="6C6BA5AA" w14:textId="77777777" w:rsidTr="00AF1DFE">
        <w:tc>
          <w:tcPr>
            <w:tcW w:w="2802" w:type="dxa"/>
            <w:vMerge/>
          </w:tcPr>
          <w:p w14:paraId="38AFDFA6" w14:textId="77777777" w:rsidR="00AF1DFE" w:rsidRPr="003B4A9A" w:rsidRDefault="00AF1DFE" w:rsidP="00244EEA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14:paraId="4E23AC0F" w14:textId="77777777" w:rsidR="00AF1DFE" w:rsidRPr="003B4A9A" w:rsidRDefault="00AF1DFE" w:rsidP="00244EEA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98CA399" w14:textId="77777777" w:rsidR="00AF1DFE" w:rsidRPr="003B4A9A" w:rsidRDefault="00AF1DFE" w:rsidP="00C45D8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короткостроковий вплив (до року)</w:t>
            </w:r>
          </w:p>
        </w:tc>
        <w:tc>
          <w:tcPr>
            <w:tcW w:w="3685" w:type="dxa"/>
          </w:tcPr>
          <w:p w14:paraId="336D10DB" w14:textId="77777777" w:rsidR="00AF1DFE" w:rsidRPr="003B4A9A" w:rsidRDefault="00AF1DFE" w:rsidP="00C45D8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середньостроковий вплив</w:t>
            </w:r>
          </w:p>
          <w:p w14:paraId="7A2C6717" w14:textId="77777777" w:rsidR="00AF1DFE" w:rsidRPr="003B4A9A" w:rsidRDefault="00AF1DFE" w:rsidP="00C45D8C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(більше року)</w:t>
            </w:r>
          </w:p>
        </w:tc>
        <w:tc>
          <w:tcPr>
            <w:tcW w:w="3119" w:type="dxa"/>
            <w:vMerge/>
          </w:tcPr>
          <w:p w14:paraId="147BCCC7" w14:textId="77777777" w:rsidR="00AF1DFE" w:rsidRPr="003B4A9A" w:rsidRDefault="00AF1DFE" w:rsidP="00244EEA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4A9A" w:rsidRPr="003B4A9A" w14:paraId="769093B4" w14:textId="77777777" w:rsidTr="00AF1DFE">
        <w:tc>
          <w:tcPr>
            <w:tcW w:w="2802" w:type="dxa"/>
          </w:tcPr>
          <w:p w14:paraId="78BF4D83" w14:textId="77777777" w:rsidR="00AF1DFE" w:rsidRPr="003B4A9A" w:rsidRDefault="00AF1DFE" w:rsidP="00230BC1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54485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Суб’єкти </w:t>
            </w:r>
            <w:r w:rsidR="00230BC1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r w:rsidR="003B2245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г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ромадяни, що переміщують через митний кордон України товари, транспортні засоби</w:t>
            </w:r>
          </w:p>
          <w:p w14:paraId="5E0D8403" w14:textId="77777777" w:rsidR="00AF1DFE" w:rsidRPr="003B4A9A" w:rsidRDefault="00AF1DFE" w:rsidP="00AF1DFE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78E56CF" w14:textId="77777777" w:rsidR="003B2245" w:rsidRPr="003B4A9A" w:rsidRDefault="003B2245" w:rsidP="00230BC1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</w:t>
            </w:r>
            <w:r w:rsidR="00310D68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обізнаності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A5165F" w14:textId="77777777" w:rsidR="00244EEA" w:rsidRPr="003B4A9A" w:rsidRDefault="003B2245" w:rsidP="00230BC1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особливості здійснення процедур митного контролю товарів, транспортних засобів</w:t>
            </w:r>
          </w:p>
        </w:tc>
        <w:tc>
          <w:tcPr>
            <w:tcW w:w="3119" w:type="dxa"/>
          </w:tcPr>
          <w:p w14:paraId="6A5805D0" w14:textId="77777777" w:rsidR="00244EEA" w:rsidRPr="003B4A9A" w:rsidRDefault="003B2245" w:rsidP="00244EEA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Позитивний вплив</w:t>
            </w:r>
          </w:p>
          <w:p w14:paraId="4DE3EB75" w14:textId="77777777" w:rsidR="00230BC1" w:rsidRPr="003B4A9A" w:rsidRDefault="003B2245" w:rsidP="00230BC1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30BC1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Поінформованість про особливості здійснення процедур митного контролю товарів, транспортних засобів.</w:t>
            </w:r>
          </w:p>
          <w:p w14:paraId="3BCCBAC0" w14:textId="77777777" w:rsidR="003B2245" w:rsidRPr="003B4A9A" w:rsidRDefault="00230BC1" w:rsidP="009C160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Зменшення звернень, скарг щодо неоднозначного розуміння </w:t>
            </w:r>
            <w:r w:rsidR="000258B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посадовими особами митних органів 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митного контролю</w:t>
            </w:r>
          </w:p>
          <w:p w14:paraId="38252A06" w14:textId="77777777" w:rsidR="009C1603" w:rsidRPr="003B4A9A" w:rsidRDefault="009C1603" w:rsidP="009C160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4C9EC98" w14:textId="77777777" w:rsidR="00244EEA" w:rsidRPr="003B4A9A" w:rsidRDefault="003B2245" w:rsidP="00244EEA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Позитивний вплив</w:t>
            </w:r>
          </w:p>
          <w:p w14:paraId="5186307A" w14:textId="77777777" w:rsidR="003B2245" w:rsidRPr="003B4A9A" w:rsidRDefault="00054529" w:rsidP="00505659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правил переміщення через митний кордон України товарів, транспортних засобів</w:t>
            </w:r>
          </w:p>
        </w:tc>
        <w:tc>
          <w:tcPr>
            <w:tcW w:w="3119" w:type="dxa"/>
          </w:tcPr>
          <w:p w14:paraId="23FE8712" w14:textId="77777777" w:rsidR="00244EEA" w:rsidRPr="003B4A9A" w:rsidRDefault="00310D68" w:rsidP="007B6918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акта сприятиме з</w:t>
            </w:r>
            <w:r w:rsidR="000258B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абезпеченн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258B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здійснення господарської діяльності на правових основах, </w:t>
            </w:r>
            <w:r w:rsidR="009C160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  соціальних і економічних інтересів громадян</w:t>
            </w:r>
            <w:r w:rsidR="000258B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DFE" w:rsidRPr="003B4A9A" w14:paraId="3445C124" w14:textId="77777777" w:rsidTr="00AF1DFE">
        <w:tc>
          <w:tcPr>
            <w:tcW w:w="2802" w:type="dxa"/>
          </w:tcPr>
          <w:p w14:paraId="237F5C40" w14:textId="77777777" w:rsidR="00AF1DFE" w:rsidRPr="003B4A9A" w:rsidRDefault="003B2245" w:rsidP="003B2245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14535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особи митних органів України</w:t>
            </w:r>
          </w:p>
        </w:tc>
        <w:tc>
          <w:tcPr>
            <w:tcW w:w="1842" w:type="dxa"/>
          </w:tcPr>
          <w:p w14:paraId="6802C077" w14:textId="77777777" w:rsidR="00AF1DFE" w:rsidRPr="003B4A9A" w:rsidRDefault="00054529" w:rsidP="003C26F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повноважень посадових осіб митних органів під час здійснення митного контролю товарів, транспортних засобів відповідно до положень Митного кодексу України та інших актів законодавства з питань митної справи</w:t>
            </w:r>
          </w:p>
        </w:tc>
        <w:tc>
          <w:tcPr>
            <w:tcW w:w="3119" w:type="dxa"/>
          </w:tcPr>
          <w:p w14:paraId="4C9E7E6E" w14:textId="77777777" w:rsidR="00E14535" w:rsidRPr="003B4A9A" w:rsidRDefault="00E14535" w:rsidP="0057297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Позитивний вплив</w:t>
            </w:r>
          </w:p>
          <w:p w14:paraId="77651CB2" w14:textId="77777777" w:rsidR="00A458C3" w:rsidRPr="003B4A9A" w:rsidRDefault="00230BC1" w:rsidP="0057297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7297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Уникнення неоднозначного розуміння</w:t>
            </w:r>
            <w:r w:rsidR="00A458C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 митного контролю.</w:t>
            </w:r>
          </w:p>
          <w:p w14:paraId="7D0AD797" w14:textId="77777777" w:rsidR="00572973" w:rsidRPr="003B4A9A" w:rsidRDefault="00A458C3" w:rsidP="00572973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Запобігання </w:t>
            </w:r>
            <w:r w:rsidR="00A16FD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здійсненню </w:t>
            </w:r>
            <w:r w:rsidR="0057297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непослідовно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</w:t>
            </w:r>
            <w:r w:rsidR="0057297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7297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неповно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57297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D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обсязі </w:t>
            </w:r>
            <w:r w:rsidR="00572973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митних формальностей  </w:t>
            </w:r>
            <w:r w:rsidRPr="003B4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визначених за результатами автоматизованої системи управління ризиками</w:t>
            </w:r>
          </w:p>
          <w:p w14:paraId="23FDB0AC" w14:textId="77777777" w:rsidR="00230BC1" w:rsidRPr="003B4A9A" w:rsidRDefault="00230BC1" w:rsidP="00572973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566F70DA" w14:textId="77777777" w:rsidR="00E14535" w:rsidRPr="003B4A9A" w:rsidRDefault="00E14535" w:rsidP="00A16FDD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Позитивний вплив</w:t>
            </w:r>
          </w:p>
          <w:p w14:paraId="0C494825" w14:textId="62A1962C" w:rsidR="00A16FDD" w:rsidRPr="003B4A9A" w:rsidRDefault="00A16FDD" w:rsidP="00A16FDD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 здійснення</w:t>
            </w:r>
            <w:r w:rsidR="008557D9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7D9" w:rsidRPr="003B4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посадовими особами митних органів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послідовно та в повному обсязі необхідних у конкретному випадку митних формальностей</w:t>
            </w:r>
            <w:r w:rsidR="00786978"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4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визначених за результатами автоматизованої системи управління ризиками</w:t>
            </w:r>
            <w:r w:rsidR="00AB6EE0" w:rsidRPr="003B4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616AF6" w14:textId="77777777" w:rsidR="00AF1DFE" w:rsidRPr="003B4A9A" w:rsidRDefault="00AF1DFE" w:rsidP="00A16FDD">
            <w:pPr>
              <w:spacing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1E515010" w14:textId="77777777" w:rsidR="00AB6EE0" w:rsidRPr="003B4A9A" w:rsidRDefault="00AB6EE0" w:rsidP="00A16FDD">
            <w:pPr>
              <w:pStyle w:val="rvps2"/>
              <w:shd w:val="clear" w:color="auto" w:fill="FFFFFF"/>
              <w:spacing w:before="0" w:beforeAutospacing="0" w:after="120" w:afterAutospacing="0"/>
            </w:pPr>
            <w:r w:rsidRPr="003B4A9A">
              <w:t xml:space="preserve">1. </w:t>
            </w:r>
            <w:r w:rsidR="00310D68" w:rsidRPr="003B4A9A">
              <w:t xml:space="preserve">Реалізація акта забезпечить  нормативно врегульоване виконання </w:t>
            </w:r>
            <w:r w:rsidRPr="003B4A9A">
              <w:t xml:space="preserve"> повноважень посадових осіб митних органів під час здійснення митного контролю товарів, транспортних засобів.</w:t>
            </w:r>
          </w:p>
          <w:p w14:paraId="3079307C" w14:textId="77777777" w:rsidR="00AF1DFE" w:rsidRPr="003B4A9A" w:rsidRDefault="00AB6EE0" w:rsidP="007B6918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3B4A9A">
              <w:t xml:space="preserve">2. </w:t>
            </w:r>
            <w:r w:rsidR="00310D68" w:rsidRPr="003B4A9A">
              <w:t>Реалізація акта сприятиме з</w:t>
            </w:r>
            <w:r w:rsidR="009C1603" w:rsidRPr="003B4A9A">
              <w:t>ахист</w:t>
            </w:r>
            <w:r w:rsidR="00310D68" w:rsidRPr="003B4A9A">
              <w:t>у</w:t>
            </w:r>
            <w:r w:rsidR="009C1603" w:rsidRPr="003B4A9A">
              <w:t xml:space="preserve"> економічних інтересів </w:t>
            </w:r>
            <w:r w:rsidR="00A458C3" w:rsidRPr="003B4A9A">
              <w:t xml:space="preserve">та економічної безпеки </w:t>
            </w:r>
            <w:r w:rsidR="009C1603" w:rsidRPr="003B4A9A">
              <w:t>України</w:t>
            </w:r>
            <w:r w:rsidR="00A458C3" w:rsidRPr="003B4A9A">
              <w:t xml:space="preserve">, </w:t>
            </w:r>
            <w:r w:rsidR="009C1603" w:rsidRPr="003B4A9A">
              <w:t xml:space="preserve">законних інтересів </w:t>
            </w:r>
            <w:r w:rsidR="00A458C3" w:rsidRPr="003B4A9A">
              <w:t>суб’єктів</w:t>
            </w:r>
            <w:r w:rsidR="009C1603" w:rsidRPr="003B4A9A">
              <w:t xml:space="preserve"> </w:t>
            </w:r>
            <w:r w:rsidR="00572973" w:rsidRPr="003B4A9A">
              <w:t>господарювання</w:t>
            </w:r>
            <w:r w:rsidR="000A3D4B" w:rsidRPr="003B4A9A">
              <w:t xml:space="preserve"> та громадян</w:t>
            </w:r>
            <w:r w:rsidR="00A458C3" w:rsidRPr="003B4A9A">
              <w:t xml:space="preserve"> </w:t>
            </w:r>
            <w:bookmarkStart w:id="5" w:name="n225"/>
            <w:bookmarkEnd w:id="5"/>
          </w:p>
        </w:tc>
      </w:tr>
    </w:tbl>
    <w:p w14:paraId="730F4F7A" w14:textId="77777777" w:rsidR="00244EEA" w:rsidRPr="003B4A9A" w:rsidRDefault="00244EEA" w:rsidP="00244EEA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8ED83" w14:textId="77777777" w:rsidR="00244EEA" w:rsidRPr="003B4A9A" w:rsidRDefault="00244EEA" w:rsidP="00244EEA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C8D89" w14:textId="77777777" w:rsidR="00804805" w:rsidRPr="003B4A9A" w:rsidRDefault="00812C55" w:rsidP="00244EEA">
      <w:pPr>
        <w:shd w:val="clear" w:color="auto" w:fill="FFFFFF"/>
        <w:spacing w:after="80" w:line="240" w:lineRule="auto"/>
        <w:ind w:firstLine="240"/>
        <w:jc w:val="both"/>
      </w:pPr>
      <w:bookmarkStart w:id="6" w:name="n1762"/>
      <w:bookmarkStart w:id="7" w:name="n1757"/>
      <w:bookmarkEnd w:id="6"/>
      <w:bookmarkEnd w:id="7"/>
    </w:p>
    <w:p w14:paraId="387E9D88" w14:textId="77777777" w:rsidR="00244EEA" w:rsidRPr="003B4A9A" w:rsidRDefault="00244EEA" w:rsidP="00244EEA">
      <w:pPr>
        <w:shd w:val="clear" w:color="auto" w:fill="FFFFFF"/>
        <w:spacing w:after="80" w:line="240" w:lineRule="auto"/>
        <w:ind w:firstLine="240"/>
        <w:jc w:val="both"/>
      </w:pPr>
    </w:p>
    <w:sectPr w:rsidR="00244EEA" w:rsidRPr="003B4A9A" w:rsidSect="00EF1BA9">
      <w:headerReference w:type="default" r:id="rId8"/>
      <w:headerReference w:type="first" r:id="rId9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395C" w14:textId="77777777" w:rsidR="00812C55" w:rsidRDefault="00812C55" w:rsidP="00465088">
      <w:pPr>
        <w:spacing w:after="0" w:line="240" w:lineRule="auto"/>
      </w:pPr>
      <w:r>
        <w:separator/>
      </w:r>
    </w:p>
  </w:endnote>
  <w:endnote w:type="continuationSeparator" w:id="0">
    <w:p w14:paraId="547823BB" w14:textId="77777777" w:rsidR="00812C55" w:rsidRDefault="00812C55" w:rsidP="0046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322C" w14:textId="77777777" w:rsidR="00812C55" w:rsidRDefault="00812C55" w:rsidP="00465088">
      <w:pPr>
        <w:spacing w:after="0" w:line="240" w:lineRule="auto"/>
      </w:pPr>
      <w:r>
        <w:separator/>
      </w:r>
    </w:p>
  </w:footnote>
  <w:footnote w:type="continuationSeparator" w:id="0">
    <w:p w14:paraId="4E5B95C5" w14:textId="77777777" w:rsidR="00812C55" w:rsidRDefault="00812C55" w:rsidP="0046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9562"/>
      <w:docPartObj>
        <w:docPartGallery w:val="Page Numbers (Top of Page)"/>
        <w:docPartUnique/>
      </w:docPartObj>
    </w:sdtPr>
    <w:sdtEndPr/>
    <w:sdtContent>
      <w:p w14:paraId="3F38E998" w14:textId="17D677CE" w:rsidR="00EF1BA9" w:rsidRDefault="00EF1BA9">
        <w:pPr>
          <w:pStyle w:val="a6"/>
          <w:jc w:val="center"/>
        </w:pPr>
        <w:r w:rsidRPr="00EF1B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B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1B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5591" w:rsidRPr="0008559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F1B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662F6F" w14:textId="77777777" w:rsidR="00465088" w:rsidRDefault="004650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B6AD" w14:textId="46F168E7" w:rsidR="00EF1BA9" w:rsidRPr="00085591" w:rsidRDefault="00EE1ECA" w:rsidP="00EE1ECA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085591">
      <w:rPr>
        <w:rFonts w:ascii="Times New Roman" w:hAnsi="Times New Roman" w:cs="Times New Roman"/>
        <w:sz w:val="24"/>
        <w:szCs w:val="24"/>
      </w:rPr>
      <w:t>Додаток до пояснювальної записки</w:t>
    </w:r>
  </w:p>
  <w:p w14:paraId="663EB4A8" w14:textId="77777777" w:rsidR="00EF1BA9" w:rsidRPr="00085591" w:rsidRDefault="00EF1B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C7D"/>
    <w:multiLevelType w:val="hybridMultilevel"/>
    <w:tmpl w:val="1D7C701C"/>
    <w:lvl w:ilvl="0" w:tplc="0C2A1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C62CD"/>
    <w:multiLevelType w:val="hybridMultilevel"/>
    <w:tmpl w:val="9D1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327A"/>
    <w:multiLevelType w:val="hybridMultilevel"/>
    <w:tmpl w:val="1832B0AC"/>
    <w:lvl w:ilvl="0" w:tplc="DFF66D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EA"/>
    <w:rsid w:val="000258BD"/>
    <w:rsid w:val="00031302"/>
    <w:rsid w:val="00054529"/>
    <w:rsid w:val="00085591"/>
    <w:rsid w:val="000A3D4B"/>
    <w:rsid w:val="001031CE"/>
    <w:rsid w:val="00154485"/>
    <w:rsid w:val="00230BC1"/>
    <w:rsid w:val="00244EEA"/>
    <w:rsid w:val="00310D68"/>
    <w:rsid w:val="0033508C"/>
    <w:rsid w:val="003B2245"/>
    <w:rsid w:val="003B4A9A"/>
    <w:rsid w:val="003C26F3"/>
    <w:rsid w:val="003E7094"/>
    <w:rsid w:val="003F45F9"/>
    <w:rsid w:val="003F57E2"/>
    <w:rsid w:val="00465088"/>
    <w:rsid w:val="00505659"/>
    <w:rsid w:val="00572973"/>
    <w:rsid w:val="005912E7"/>
    <w:rsid w:val="005E53A7"/>
    <w:rsid w:val="00602FFB"/>
    <w:rsid w:val="0069335C"/>
    <w:rsid w:val="006E79CB"/>
    <w:rsid w:val="00777E7B"/>
    <w:rsid w:val="00786978"/>
    <w:rsid w:val="007B6918"/>
    <w:rsid w:val="007C0FD2"/>
    <w:rsid w:val="00812C55"/>
    <w:rsid w:val="008557D9"/>
    <w:rsid w:val="00872FC8"/>
    <w:rsid w:val="008B60CC"/>
    <w:rsid w:val="008F2E79"/>
    <w:rsid w:val="00927E83"/>
    <w:rsid w:val="00971CBF"/>
    <w:rsid w:val="009C1603"/>
    <w:rsid w:val="00A16FDD"/>
    <w:rsid w:val="00A43E11"/>
    <w:rsid w:val="00A458C3"/>
    <w:rsid w:val="00AB6EE0"/>
    <w:rsid w:val="00AC6FD8"/>
    <w:rsid w:val="00AF1DFE"/>
    <w:rsid w:val="00B94C59"/>
    <w:rsid w:val="00BF22CB"/>
    <w:rsid w:val="00C45D8C"/>
    <w:rsid w:val="00E076EB"/>
    <w:rsid w:val="00E14535"/>
    <w:rsid w:val="00E30308"/>
    <w:rsid w:val="00E34D5B"/>
    <w:rsid w:val="00E65F85"/>
    <w:rsid w:val="00E66EA0"/>
    <w:rsid w:val="00EE1ECA"/>
    <w:rsid w:val="00E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48EEF"/>
  <w15:docId w15:val="{3D2CD6B1-5302-4CC1-8897-20E0190F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4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244EEA"/>
  </w:style>
  <w:style w:type="character" w:customStyle="1" w:styleId="rvts15">
    <w:name w:val="rvts15"/>
    <w:basedOn w:val="a0"/>
    <w:rsid w:val="00244EEA"/>
  </w:style>
  <w:style w:type="paragraph" w:customStyle="1" w:styleId="rvps2">
    <w:name w:val="rvps2"/>
    <w:basedOn w:val="a"/>
    <w:rsid w:val="0024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244EEA"/>
  </w:style>
  <w:style w:type="character" w:styleId="a3">
    <w:name w:val="Hyperlink"/>
    <w:basedOn w:val="a0"/>
    <w:uiPriority w:val="99"/>
    <w:semiHidden/>
    <w:unhideWhenUsed/>
    <w:rsid w:val="00244E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EEA"/>
    <w:pPr>
      <w:ind w:left="720"/>
      <w:contextualSpacing/>
    </w:pPr>
  </w:style>
  <w:style w:type="table" w:styleId="a5">
    <w:name w:val="Table Grid"/>
    <w:basedOn w:val="a1"/>
    <w:uiPriority w:val="59"/>
    <w:rsid w:val="00244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65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65088"/>
  </w:style>
  <w:style w:type="paragraph" w:styleId="a8">
    <w:name w:val="footer"/>
    <w:basedOn w:val="a"/>
    <w:link w:val="a9"/>
    <w:uiPriority w:val="99"/>
    <w:unhideWhenUsed/>
    <w:rsid w:val="00465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6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79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D95F-B774-41B6-99EF-C6A8B5CE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Кислицька Юлія Василівна</cp:lastModifiedBy>
  <cp:revision>7</cp:revision>
  <cp:lastPrinted>2020-06-11T08:48:00Z</cp:lastPrinted>
  <dcterms:created xsi:type="dcterms:W3CDTF">2020-11-02T17:47:00Z</dcterms:created>
  <dcterms:modified xsi:type="dcterms:W3CDTF">2020-11-23T09:48:00Z</dcterms:modified>
</cp:coreProperties>
</file>