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A4" w:rsidRDefault="00FE78A4" w:rsidP="00990148">
      <w:pPr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</w:p>
    <w:p w:rsidR="00990148" w:rsidRPr="00990148" w:rsidRDefault="00990148" w:rsidP="00990148">
      <w:pPr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 w:rsidRPr="00990148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Звіт про </w:t>
      </w:r>
      <w:r w:rsidRPr="00990148">
        <w:rPr>
          <w:rFonts w:eastAsia="Times New Roman"/>
          <w:b/>
          <w:color w:val="000000"/>
          <w:sz w:val="28"/>
          <w:szCs w:val="28"/>
          <w:lang w:val="uk-UA" w:eastAsia="ru-RU" w:bidi="he-IL"/>
        </w:rPr>
        <w:t xml:space="preserve">базове </w:t>
      </w:r>
      <w:r w:rsidRPr="00990148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відстеження результативності </w:t>
      </w:r>
    </w:p>
    <w:p w:rsidR="00990148" w:rsidRPr="00990148" w:rsidRDefault="00990148" w:rsidP="00990148">
      <w:pPr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990148">
        <w:rPr>
          <w:rFonts w:eastAsia="Times New Roman"/>
          <w:b/>
          <w:color w:val="000000"/>
          <w:sz w:val="28"/>
          <w:szCs w:val="28"/>
          <w:lang w:val="uk-UA" w:eastAsia="ru-RU"/>
        </w:rPr>
        <w:t>наказу Міністерства фінансів України від  13.06.2017 № 567</w:t>
      </w:r>
    </w:p>
    <w:p w:rsidR="00990148" w:rsidRPr="00990148" w:rsidRDefault="00990148" w:rsidP="00990148">
      <w:pPr>
        <w:jc w:val="center"/>
        <w:rPr>
          <w:b/>
          <w:bCs/>
          <w:sz w:val="28"/>
          <w:szCs w:val="28"/>
          <w:lang w:val="uk-UA"/>
        </w:rPr>
      </w:pPr>
      <w:r w:rsidRPr="00990148">
        <w:rPr>
          <w:b/>
          <w:bCs/>
          <w:sz w:val="28"/>
          <w:szCs w:val="28"/>
          <w:lang w:val="uk-UA"/>
        </w:rPr>
        <w:t xml:space="preserve"> «Про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накладних, та Вичерпного переліку документів, достатніх для прийняття рішення про реєстрацію податкової накладної/розрахунку коригування»</w:t>
      </w:r>
    </w:p>
    <w:p w:rsidR="00990148" w:rsidRDefault="00990148" w:rsidP="00990148">
      <w:pPr>
        <w:jc w:val="both"/>
        <w:rPr>
          <w:rFonts w:eastAsia="Times New Roman"/>
          <w:lang w:val="uk-UA" w:eastAsia="ru-RU"/>
        </w:rPr>
      </w:pPr>
    </w:p>
    <w:p w:rsidR="00FE78A4" w:rsidRPr="00990148" w:rsidRDefault="00FE78A4" w:rsidP="00990148">
      <w:pPr>
        <w:jc w:val="both"/>
        <w:rPr>
          <w:rFonts w:eastAsia="Times New Roman"/>
          <w:lang w:val="uk-UA" w:eastAsia="ru-RU"/>
        </w:rPr>
      </w:pPr>
    </w:p>
    <w:p w:rsidR="00990148" w:rsidRPr="00FE78A4" w:rsidRDefault="00990148" w:rsidP="00990148">
      <w:pPr>
        <w:jc w:val="both"/>
        <w:rPr>
          <w:rFonts w:eastAsia="Times New Roman"/>
          <w:b/>
          <w:strike/>
          <w:sz w:val="28"/>
          <w:szCs w:val="28"/>
          <w:lang w:val="uk-UA" w:eastAsia="ru-RU"/>
        </w:rPr>
      </w:pPr>
      <w:r w:rsidRPr="00990148">
        <w:rPr>
          <w:rFonts w:eastAsia="Times New Roman"/>
          <w:b/>
          <w:sz w:val="28"/>
          <w:szCs w:val="28"/>
          <w:lang w:val="uk-UA" w:eastAsia="ru-RU"/>
        </w:rPr>
        <w:t xml:space="preserve">1. Вид та назва регуляторного </w:t>
      </w:r>
      <w:proofErr w:type="spellStart"/>
      <w:r w:rsidRPr="00990148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990148">
        <w:rPr>
          <w:rFonts w:eastAsia="Times New Roman"/>
          <w:b/>
          <w:sz w:val="28"/>
          <w:szCs w:val="28"/>
          <w:lang w:val="uk-UA" w:eastAsia="ru-RU"/>
        </w:rPr>
        <w:t>, результативність якого відстежується, дата його прийняття та номер</w:t>
      </w:r>
    </w:p>
    <w:p w:rsidR="00990148" w:rsidRPr="00F2793A" w:rsidRDefault="00990148" w:rsidP="00990148">
      <w:pPr>
        <w:ind w:firstLine="720"/>
        <w:jc w:val="both"/>
        <w:rPr>
          <w:rFonts w:eastAsia="Times New Roman"/>
          <w:sz w:val="16"/>
          <w:szCs w:val="16"/>
          <w:lang w:val="uk-UA" w:eastAsia="ru-RU"/>
        </w:rPr>
      </w:pPr>
    </w:p>
    <w:p w:rsidR="00990148" w:rsidRPr="00990148" w:rsidRDefault="00990148" w:rsidP="00432533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990148">
        <w:rPr>
          <w:rFonts w:eastAsia="Times New Roman"/>
          <w:sz w:val="28"/>
          <w:szCs w:val="28"/>
          <w:lang w:val="uk-UA" w:eastAsia="uk-UA"/>
        </w:rPr>
        <w:t>Наказ Міністерства фінансів України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990148">
        <w:rPr>
          <w:rFonts w:eastAsia="Times New Roman"/>
          <w:sz w:val="28"/>
          <w:szCs w:val="28"/>
          <w:lang w:val="uk-UA" w:eastAsia="uk-UA"/>
        </w:rPr>
        <w:t>від  13.06.2017 №</w:t>
      </w:r>
      <w:r w:rsidR="00432533">
        <w:rPr>
          <w:rFonts w:eastAsia="Times New Roman"/>
          <w:sz w:val="28"/>
          <w:szCs w:val="28"/>
          <w:lang w:val="uk-UA" w:eastAsia="uk-UA"/>
        </w:rPr>
        <w:t> </w:t>
      </w:r>
      <w:r w:rsidRPr="00990148">
        <w:rPr>
          <w:rFonts w:eastAsia="Times New Roman"/>
          <w:sz w:val="28"/>
          <w:szCs w:val="28"/>
          <w:lang w:val="uk-UA" w:eastAsia="uk-UA"/>
        </w:rPr>
        <w:t>567 «Про затвердження Критеріїв оцінки ступеня ризиків, достатніх для зупинення реєстрації податкової накладної / розрахунку коригування в Єдиному реєстрі податкових накладних та Вичерпного переліку документів, достатніх для прийняття рішення про реєстрацію податкової накладної / розрахунку коригування в Єдиному реєстрі податкових накладних»</w:t>
      </w:r>
      <w:r w:rsidR="00B6731A">
        <w:rPr>
          <w:rFonts w:eastAsia="Times New Roman"/>
          <w:sz w:val="28"/>
          <w:szCs w:val="28"/>
          <w:lang w:val="uk-UA" w:eastAsia="uk-UA"/>
        </w:rPr>
        <w:t>,</w:t>
      </w:r>
      <w:r w:rsidRPr="00990148">
        <w:rPr>
          <w:rFonts w:eastAsia="Times New Roman"/>
          <w:sz w:val="28"/>
          <w:szCs w:val="28"/>
          <w:lang w:val="uk-UA" w:eastAsia="uk-UA"/>
        </w:rPr>
        <w:t xml:space="preserve"> </w:t>
      </w:r>
      <w:r w:rsidRPr="00990148">
        <w:rPr>
          <w:rFonts w:eastAsia="Times New Roman"/>
          <w:sz w:val="28"/>
          <w:szCs w:val="28"/>
          <w:lang w:val="uk-UA" w:eastAsia="ru-RU"/>
        </w:rPr>
        <w:t xml:space="preserve">зареєстрований у Міністерстві юстиції України </w:t>
      </w:r>
      <w:r w:rsidRPr="00990148">
        <w:rPr>
          <w:rFonts w:eastAsia="Times New Roman"/>
          <w:sz w:val="28"/>
          <w:szCs w:val="28"/>
          <w:lang w:val="uk-UA" w:eastAsia="uk-UA"/>
        </w:rPr>
        <w:t>16.06.2017 за № 753/30621</w:t>
      </w:r>
      <w:r>
        <w:rPr>
          <w:rFonts w:eastAsia="Times New Roman"/>
          <w:sz w:val="28"/>
          <w:szCs w:val="28"/>
          <w:lang w:val="uk-UA" w:eastAsia="uk-UA"/>
        </w:rPr>
        <w:t xml:space="preserve"> (далі – Наказ)</w:t>
      </w:r>
      <w:r w:rsidRPr="00990148">
        <w:rPr>
          <w:rFonts w:eastAsia="Times New Roman"/>
          <w:sz w:val="28"/>
          <w:szCs w:val="28"/>
          <w:lang w:val="uk-UA" w:eastAsia="uk-UA"/>
        </w:rPr>
        <w:t>.</w:t>
      </w:r>
    </w:p>
    <w:p w:rsidR="00990148" w:rsidRPr="00990148" w:rsidRDefault="00990148" w:rsidP="00990148">
      <w:pPr>
        <w:ind w:firstLine="720"/>
        <w:jc w:val="both"/>
        <w:rPr>
          <w:rFonts w:eastAsia="Times New Roman"/>
          <w:lang w:val="uk-UA" w:eastAsia="ru-RU"/>
        </w:rPr>
      </w:pPr>
    </w:p>
    <w:p w:rsidR="00990148" w:rsidRPr="00990148" w:rsidRDefault="00990148" w:rsidP="00990148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90148">
        <w:rPr>
          <w:rFonts w:eastAsia="Times New Roman"/>
          <w:b/>
          <w:sz w:val="28"/>
          <w:szCs w:val="28"/>
          <w:lang w:val="uk-UA" w:eastAsia="ru-RU"/>
        </w:rPr>
        <w:t xml:space="preserve">2. Назва виконавця заходів з базового відстеження результативності регуляторного </w:t>
      </w:r>
      <w:proofErr w:type="spellStart"/>
      <w:r w:rsidRPr="00990148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990148" w:rsidRPr="00F2793A" w:rsidRDefault="00990148" w:rsidP="00990148">
      <w:pPr>
        <w:ind w:firstLine="708"/>
        <w:jc w:val="both"/>
        <w:rPr>
          <w:rFonts w:eastAsia="Times New Roman"/>
          <w:sz w:val="16"/>
          <w:szCs w:val="16"/>
          <w:lang w:val="uk-UA" w:eastAsia="ru-RU"/>
        </w:rPr>
      </w:pPr>
    </w:p>
    <w:p w:rsidR="00990148" w:rsidRPr="00990148" w:rsidRDefault="00990148" w:rsidP="0099014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990148">
        <w:rPr>
          <w:rFonts w:eastAsia="Times New Roman"/>
          <w:sz w:val="28"/>
          <w:szCs w:val="28"/>
          <w:lang w:val="uk-UA" w:eastAsia="ru-RU"/>
        </w:rPr>
        <w:t>Державна фіскальна служба України, Департамент податкової політики Міністерства фінансів України.</w:t>
      </w:r>
    </w:p>
    <w:p w:rsidR="00990148" w:rsidRPr="00990148" w:rsidRDefault="00990148" w:rsidP="00990148">
      <w:pPr>
        <w:ind w:firstLine="720"/>
        <w:jc w:val="both"/>
        <w:rPr>
          <w:rFonts w:eastAsia="Times New Roman"/>
          <w:lang w:val="uk-UA" w:eastAsia="ru-RU"/>
        </w:rPr>
      </w:pPr>
    </w:p>
    <w:p w:rsidR="003C02F0" w:rsidRPr="00990148" w:rsidRDefault="00990148" w:rsidP="00860176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90148">
        <w:rPr>
          <w:rFonts w:eastAsia="Times New Roman"/>
          <w:b/>
          <w:sz w:val="28"/>
          <w:szCs w:val="28"/>
          <w:lang w:val="uk-UA" w:eastAsia="ru-RU"/>
        </w:rPr>
        <w:t xml:space="preserve">3. </w:t>
      </w:r>
      <w:r w:rsidR="001C66EC">
        <w:rPr>
          <w:rFonts w:eastAsia="Times New Roman"/>
          <w:b/>
          <w:sz w:val="28"/>
          <w:szCs w:val="28"/>
          <w:lang w:val="uk-UA" w:eastAsia="ru-RU"/>
        </w:rPr>
        <w:t xml:space="preserve">Цілі </w:t>
      </w:r>
      <w:r w:rsidR="00860176" w:rsidRPr="00860176">
        <w:rPr>
          <w:rFonts w:eastAsia="Times New Roman"/>
          <w:b/>
          <w:bCs/>
          <w:sz w:val="28"/>
          <w:szCs w:val="28"/>
          <w:lang w:val="uk-UA" w:eastAsia="ru-RU"/>
        </w:rPr>
        <w:t xml:space="preserve">прийняття регуляторного </w:t>
      </w:r>
      <w:proofErr w:type="spellStart"/>
      <w:r w:rsidR="00860176" w:rsidRPr="00860176">
        <w:rPr>
          <w:rFonts w:eastAsia="Times New Roman"/>
          <w:b/>
          <w:bCs/>
          <w:sz w:val="28"/>
          <w:szCs w:val="28"/>
          <w:lang w:val="uk-UA" w:eastAsia="ru-RU"/>
        </w:rPr>
        <w:t>акта</w:t>
      </w:r>
      <w:proofErr w:type="spellEnd"/>
    </w:p>
    <w:p w:rsidR="003C02F0" w:rsidRPr="00F2793A" w:rsidRDefault="003C02F0" w:rsidP="00990148">
      <w:pPr>
        <w:ind w:firstLine="708"/>
        <w:jc w:val="both"/>
        <w:rPr>
          <w:rFonts w:eastAsia="Times New Roman"/>
          <w:sz w:val="16"/>
          <w:szCs w:val="16"/>
          <w:lang w:val="uk-UA" w:eastAsia="ru-RU"/>
        </w:rPr>
      </w:pPr>
    </w:p>
    <w:p w:rsidR="00B6731A" w:rsidRPr="00B6731A" w:rsidRDefault="00B6731A" w:rsidP="00432533">
      <w:pPr>
        <w:ind w:firstLine="708"/>
        <w:jc w:val="both"/>
        <w:rPr>
          <w:sz w:val="28"/>
          <w:szCs w:val="28"/>
          <w:lang w:val="uk-UA"/>
        </w:rPr>
      </w:pPr>
      <w:r w:rsidRPr="00B6731A">
        <w:rPr>
          <w:sz w:val="28"/>
          <w:szCs w:val="28"/>
          <w:lang w:val="uk-UA"/>
        </w:rPr>
        <w:t xml:space="preserve">Відповідно до </w:t>
      </w:r>
      <w:r w:rsidRPr="00B6731A">
        <w:rPr>
          <w:rFonts w:eastAsia="Times New Roman"/>
          <w:bCs/>
          <w:sz w:val="28"/>
          <w:szCs w:val="28"/>
          <w:lang w:val="uk-UA" w:eastAsia="ru-RU"/>
        </w:rPr>
        <w:t>Закон</w:t>
      </w:r>
      <w:r w:rsidRPr="00B6731A">
        <w:rPr>
          <w:rFonts w:eastAsia="Times New Roman"/>
          <w:bCs/>
          <w:sz w:val="28"/>
          <w:szCs w:val="28"/>
          <w:lang w:val="uk-UA" w:eastAsia="ru-RU" w:bidi="he-IL"/>
        </w:rPr>
        <w:t>у</w:t>
      </w:r>
      <w:r w:rsidRPr="00B6731A">
        <w:rPr>
          <w:rFonts w:eastAsia="Times New Roman"/>
          <w:bCs/>
          <w:sz w:val="28"/>
          <w:szCs w:val="28"/>
          <w:lang w:val="uk-UA" w:eastAsia="ru-RU"/>
        </w:rPr>
        <w:t xml:space="preserve"> України від 21 грудня 2016 року №</w:t>
      </w:r>
      <w:r w:rsidR="00432533">
        <w:rPr>
          <w:rFonts w:eastAsia="Times New Roman"/>
          <w:bCs/>
          <w:sz w:val="28"/>
          <w:szCs w:val="28"/>
          <w:lang w:val="uk-UA" w:eastAsia="ru-RU"/>
        </w:rPr>
        <w:t> </w:t>
      </w:r>
      <w:r w:rsidRPr="00B6731A">
        <w:rPr>
          <w:rFonts w:eastAsia="Times New Roman"/>
          <w:bCs/>
          <w:sz w:val="28"/>
          <w:szCs w:val="28"/>
          <w:lang w:val="uk-UA" w:eastAsia="ru-RU"/>
        </w:rPr>
        <w:t>1797-</w:t>
      </w:r>
      <w:r w:rsidRPr="00B6731A">
        <w:rPr>
          <w:rFonts w:eastAsia="Times New Roman"/>
          <w:bCs/>
          <w:sz w:val="28"/>
          <w:szCs w:val="28"/>
          <w:lang w:val="ru-RU" w:eastAsia="ru-RU"/>
        </w:rPr>
        <w:t>VII</w:t>
      </w:r>
      <w:r w:rsidRPr="00B6731A">
        <w:rPr>
          <w:rFonts w:eastAsia="Times New Roman"/>
          <w:bCs/>
          <w:sz w:val="28"/>
          <w:szCs w:val="28"/>
          <w:lang w:val="uk-UA" w:eastAsia="ru-RU"/>
        </w:rPr>
        <w:t>І «Про внесення змін до Податкового кодексу України щодо покращення інвестиційного клімату в Україні»</w:t>
      </w:r>
      <w:r w:rsidRPr="00B6731A">
        <w:rPr>
          <w:sz w:val="28"/>
          <w:szCs w:val="28"/>
          <w:lang w:val="uk-UA"/>
        </w:rPr>
        <w:t xml:space="preserve"> запроваджено систему зупинення реєстрації податкових накладних в Єдиному реєстрі податкових накладних</w:t>
      </w:r>
      <w:r w:rsidRPr="00B6731A">
        <w:rPr>
          <w:rFonts w:eastAsia="Times New Roman"/>
          <w:sz w:val="28"/>
          <w:szCs w:val="28"/>
          <w:lang w:val="uk-UA" w:eastAsia="uk-UA"/>
        </w:rPr>
        <w:t xml:space="preserve"> (далі – ЄРПН) (пункт 201.16 статті 201 Податкового кодексу України (далі –</w:t>
      </w:r>
      <w:r w:rsidR="006C346B">
        <w:rPr>
          <w:rFonts w:eastAsia="Times New Roman"/>
          <w:sz w:val="28"/>
          <w:szCs w:val="28"/>
          <w:lang w:val="uk-UA" w:eastAsia="uk-UA"/>
        </w:rPr>
        <w:t xml:space="preserve"> </w:t>
      </w:r>
      <w:r w:rsidRPr="00B6731A">
        <w:rPr>
          <w:rFonts w:eastAsia="Times New Roman"/>
          <w:sz w:val="28"/>
          <w:szCs w:val="28"/>
          <w:lang w:val="uk-UA" w:eastAsia="uk-UA"/>
        </w:rPr>
        <w:t xml:space="preserve">Кодекс), робота якої базується на підставі </w:t>
      </w:r>
      <w:r w:rsidRPr="00B6731A">
        <w:rPr>
          <w:sz w:val="28"/>
          <w:szCs w:val="28"/>
          <w:lang w:val="uk-UA"/>
        </w:rPr>
        <w:t xml:space="preserve">критеріїв оцінки ступеня ризиків, достатніх для зупинення реєстрації таких податкових накладних / розрахунків коригування в ЄРПН, </w:t>
      </w:r>
      <w:r w:rsidRPr="00B6731A">
        <w:rPr>
          <w:sz w:val="28"/>
          <w:szCs w:val="28"/>
          <w:lang w:val="uk-UA" w:bidi="he-IL"/>
        </w:rPr>
        <w:t xml:space="preserve">які визначаються </w:t>
      </w:r>
      <w:r w:rsidRPr="00B6731A">
        <w:rPr>
          <w:sz w:val="28"/>
          <w:szCs w:val="28"/>
          <w:lang w:val="uk-UA"/>
        </w:rPr>
        <w:t>Міністерством фінансів України (пункт 74.2 статті 74 Кодексу)</w:t>
      </w:r>
      <w:r>
        <w:rPr>
          <w:rFonts w:eastAsia="Times New Roman"/>
          <w:sz w:val="28"/>
          <w:szCs w:val="28"/>
          <w:lang w:val="uk-UA" w:eastAsia="uk-UA"/>
        </w:rPr>
        <w:t>, зокрема,</w:t>
      </w:r>
      <w:r w:rsidRPr="00B6731A">
        <w:rPr>
          <w:rFonts w:eastAsia="Times New Roman"/>
          <w:sz w:val="28"/>
          <w:szCs w:val="28"/>
          <w:lang w:val="uk-UA" w:eastAsia="uk-UA"/>
        </w:rPr>
        <w:t xml:space="preserve"> прийнят</w:t>
      </w:r>
      <w:r w:rsidR="006C346B">
        <w:rPr>
          <w:rFonts w:eastAsia="Times New Roman"/>
          <w:sz w:val="28"/>
          <w:szCs w:val="28"/>
          <w:lang w:val="uk-UA" w:eastAsia="uk-UA"/>
        </w:rPr>
        <w:t>им</w:t>
      </w:r>
      <w:r w:rsidRPr="00B6731A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>Наказ</w:t>
      </w:r>
      <w:r w:rsidR="006C346B">
        <w:rPr>
          <w:rFonts w:eastAsia="Times New Roman"/>
          <w:sz w:val="28"/>
          <w:szCs w:val="28"/>
          <w:lang w:val="uk-UA" w:eastAsia="uk-UA"/>
        </w:rPr>
        <w:t>ом</w:t>
      </w:r>
      <w:r>
        <w:rPr>
          <w:rFonts w:eastAsia="Times New Roman"/>
          <w:sz w:val="28"/>
          <w:szCs w:val="28"/>
          <w:lang w:val="uk-UA" w:eastAsia="uk-UA"/>
        </w:rPr>
        <w:t>.</w:t>
      </w:r>
    </w:p>
    <w:p w:rsidR="00B6731A" w:rsidRPr="00B6731A" w:rsidRDefault="00B6731A" w:rsidP="00B6731A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 w:rsidRPr="00B6731A">
        <w:rPr>
          <w:rFonts w:eastAsia="Times New Roman"/>
          <w:sz w:val="28"/>
          <w:szCs w:val="28"/>
          <w:lang w:val="uk-UA" w:eastAsia="uk-UA"/>
        </w:rPr>
        <w:t>Слід зазначити, що головна мета запровадження системи зупинення реєстрації податкових накладних в ЄРПН – це ліквідація так званих «скруток», які використовуються платниками податку – шахраями в схемах ухилення від оподаткування податком на додану вартість.</w:t>
      </w:r>
    </w:p>
    <w:p w:rsidR="00B6731A" w:rsidRPr="00B6731A" w:rsidRDefault="00B6731A" w:rsidP="00B6731A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 w:rsidRPr="00B6731A">
        <w:rPr>
          <w:rFonts w:eastAsia="Times New Roman"/>
          <w:sz w:val="28"/>
          <w:szCs w:val="28"/>
          <w:lang w:val="uk-UA" w:eastAsia="uk-UA"/>
        </w:rPr>
        <w:t xml:space="preserve">Тому і головним критерієм, відповідно до якого здійснюється зупинка реєстрації податкової накладної в ЄРПН, є перевірка на наявність «скрутки», а саме перевірка на невідповідність коду товару згідно з УКТ ЗЕД (для послуг </w:t>
      </w:r>
      <w:r w:rsidRPr="00B6731A">
        <w:rPr>
          <w:rFonts w:eastAsia="Times New Roman"/>
          <w:sz w:val="28"/>
          <w:szCs w:val="28"/>
          <w:lang w:val="uk-UA" w:eastAsia="uk-UA"/>
        </w:rPr>
        <w:lastRenderedPageBreak/>
        <w:t>згідно з ДКПП), який було придбано платником, коду товару згідно з УКТ ЗЕД (для послуг згідно з ДКПП), який реалізовано покупцю.</w:t>
      </w:r>
    </w:p>
    <w:p w:rsidR="00B6731A" w:rsidRDefault="00B6731A" w:rsidP="00121EEE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 w:rsidRPr="00B6731A">
        <w:rPr>
          <w:rFonts w:eastAsia="Times New Roman"/>
          <w:sz w:val="28"/>
          <w:szCs w:val="28"/>
          <w:lang w:val="uk-UA" w:eastAsia="uk-UA"/>
        </w:rPr>
        <w:t>Водночас критерії відбору побудовані таким чином, щоб не зупиняти реєстраці</w:t>
      </w:r>
      <w:r w:rsidR="00121EEE">
        <w:rPr>
          <w:rFonts w:eastAsia="Times New Roman"/>
          <w:sz w:val="28"/>
          <w:szCs w:val="28"/>
          <w:lang w:val="uk-UA" w:eastAsia="uk-UA"/>
        </w:rPr>
        <w:t>ю</w:t>
      </w:r>
      <w:r w:rsidRPr="00B6731A">
        <w:rPr>
          <w:rFonts w:eastAsia="Times New Roman"/>
          <w:sz w:val="28"/>
          <w:szCs w:val="28"/>
          <w:lang w:val="uk-UA" w:eastAsia="uk-UA"/>
        </w:rPr>
        <w:t xml:space="preserve"> податкових накладних платників податку, які відносяться до реального сектору економіки та мають «позитивну» податкову історію. </w:t>
      </w:r>
    </w:p>
    <w:p w:rsidR="00B6731A" w:rsidRDefault="00B6731A" w:rsidP="006C346B">
      <w:pPr>
        <w:ind w:firstLine="708"/>
        <w:jc w:val="both"/>
        <w:rPr>
          <w:sz w:val="28"/>
          <w:szCs w:val="28"/>
          <w:lang w:val="uk-UA"/>
        </w:rPr>
      </w:pPr>
      <w:r w:rsidRPr="00EB6BC2">
        <w:rPr>
          <w:sz w:val="28"/>
          <w:szCs w:val="28"/>
          <w:lang w:val="uk-UA"/>
        </w:rPr>
        <w:t xml:space="preserve">Відповідно до пункту 57 розділу ХХ Перехідні положення </w:t>
      </w:r>
      <w:r>
        <w:rPr>
          <w:sz w:val="28"/>
          <w:szCs w:val="28"/>
          <w:lang w:val="uk-UA"/>
        </w:rPr>
        <w:t>Кодексу</w:t>
      </w:r>
      <w:r w:rsidRPr="00EB6BC2">
        <w:rPr>
          <w:sz w:val="28"/>
          <w:szCs w:val="28"/>
          <w:lang w:val="uk-UA"/>
        </w:rPr>
        <w:t xml:space="preserve"> період з </w:t>
      </w:r>
      <w:r>
        <w:rPr>
          <w:sz w:val="28"/>
          <w:szCs w:val="28"/>
          <w:lang w:val="uk-UA"/>
        </w:rPr>
        <w:br/>
      </w:r>
      <w:r w:rsidRPr="00EB6BC2">
        <w:rPr>
          <w:sz w:val="28"/>
          <w:szCs w:val="28"/>
          <w:lang w:val="uk-UA"/>
        </w:rPr>
        <w:t xml:space="preserve">1 квітня 2017 року до 1 липня 2017 року </w:t>
      </w:r>
      <w:r>
        <w:rPr>
          <w:sz w:val="28"/>
          <w:szCs w:val="28"/>
          <w:lang w:val="uk-UA"/>
        </w:rPr>
        <w:t>був</w:t>
      </w:r>
      <w:r w:rsidRPr="00EB6BC2">
        <w:rPr>
          <w:sz w:val="28"/>
          <w:szCs w:val="28"/>
          <w:lang w:val="uk-UA"/>
        </w:rPr>
        <w:t xml:space="preserve"> перехідним періодом, протягом якого процедура, визначена пунктом 201.16 статті 201 Кодексу</w:t>
      </w:r>
      <w:r>
        <w:rPr>
          <w:sz w:val="28"/>
          <w:szCs w:val="28"/>
          <w:lang w:val="uk-UA"/>
        </w:rPr>
        <w:t>,</w:t>
      </w:r>
      <w:r w:rsidRPr="00EB6BC2">
        <w:rPr>
          <w:sz w:val="28"/>
          <w:szCs w:val="28"/>
          <w:lang w:val="uk-UA"/>
        </w:rPr>
        <w:t xml:space="preserve"> здійсню</w:t>
      </w:r>
      <w:r w:rsidR="006C346B">
        <w:rPr>
          <w:sz w:val="28"/>
          <w:szCs w:val="28"/>
          <w:lang w:val="uk-UA"/>
        </w:rPr>
        <w:t>валася</w:t>
      </w:r>
      <w:r w:rsidRPr="00EB6BC2">
        <w:rPr>
          <w:sz w:val="28"/>
          <w:szCs w:val="28"/>
          <w:lang w:val="uk-UA"/>
        </w:rPr>
        <w:t xml:space="preserve"> без фактичного зупинення реєстрації податкової накладної/розрахунку коригування у Є</w:t>
      </w:r>
      <w:r>
        <w:rPr>
          <w:sz w:val="28"/>
          <w:szCs w:val="28"/>
          <w:lang w:val="uk-UA"/>
        </w:rPr>
        <w:t>РПН.</w:t>
      </w:r>
    </w:p>
    <w:p w:rsidR="00B6731A" w:rsidRPr="00B6731A" w:rsidRDefault="006C346B" w:rsidP="00B6731A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П</w:t>
      </w:r>
      <w:r w:rsidR="00B6731A" w:rsidRPr="00B6731A">
        <w:rPr>
          <w:rFonts w:eastAsia="Times New Roman"/>
          <w:sz w:val="28"/>
          <w:szCs w:val="28"/>
          <w:lang w:val="uk-UA" w:eastAsia="uk-UA"/>
        </w:rPr>
        <w:t>ід час тестового режиму роботи системи зупинення реєстрації податкових накладних в ЄРПН, ДФС інформувала Міністерство фінансів про те, що несумлінні платники податку на додану вартість почали створювати нові схеми ухилення від оподаткування з використанням так званих «скруток», які дозволяють в обхід критеріїв оцінки ступеня ризиків, за якими на той час ще проводилися консультації з бізнесом, здійснювати реєстрацію в ЄРПН ризикових податкових накладних та збільшувати схемний податковий кредит.</w:t>
      </w:r>
    </w:p>
    <w:p w:rsidR="00B6731A" w:rsidRPr="00B6731A" w:rsidRDefault="00B6731A" w:rsidP="00432533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 w:rsidRPr="00B6731A">
        <w:rPr>
          <w:rFonts w:eastAsia="Times New Roman"/>
          <w:sz w:val="28"/>
          <w:szCs w:val="28"/>
          <w:lang w:val="uk-UA" w:eastAsia="uk-UA"/>
        </w:rPr>
        <w:t>У зв’язку з</w:t>
      </w:r>
      <w:r w:rsidR="00432533">
        <w:rPr>
          <w:rFonts w:eastAsia="Times New Roman"/>
          <w:sz w:val="28"/>
          <w:szCs w:val="28"/>
          <w:lang w:val="uk-UA" w:eastAsia="uk-UA"/>
        </w:rPr>
        <w:t xml:space="preserve"> цим</w:t>
      </w:r>
      <w:r w:rsidRPr="00B6731A">
        <w:rPr>
          <w:rFonts w:eastAsia="Times New Roman"/>
          <w:sz w:val="28"/>
          <w:szCs w:val="28"/>
          <w:lang w:val="uk-UA" w:eastAsia="uk-UA"/>
        </w:rPr>
        <w:t>, Наказом визначено, що ДФС у встановлені терміни повинна здійснювати аналіз ефективності застосування Критеріїв оцінки ступеня ризиків, достатніх для зупинення реєстрації податкової накладної / розрахунку коригування в ЄРПН та надавати пропозиції Міністерству фінансів для внесення змін до таких Критеріїв.</w:t>
      </w:r>
    </w:p>
    <w:p w:rsidR="00B6731A" w:rsidRPr="00B6731A" w:rsidRDefault="00B6731A" w:rsidP="00B6731A">
      <w:pPr>
        <w:ind w:firstLine="708"/>
        <w:jc w:val="both"/>
        <w:rPr>
          <w:rFonts w:eastAsia="Times New Roman"/>
          <w:sz w:val="28"/>
          <w:szCs w:val="28"/>
          <w:lang w:val="uk-UA" w:eastAsia="uk-UA"/>
        </w:rPr>
      </w:pPr>
      <w:r w:rsidRPr="00B6731A">
        <w:rPr>
          <w:rFonts w:eastAsia="Times New Roman"/>
          <w:sz w:val="28"/>
          <w:szCs w:val="28"/>
          <w:lang w:val="uk-UA" w:eastAsia="uk-UA"/>
        </w:rPr>
        <w:t xml:space="preserve">Зокрема, 21.07.2017 наказом Міністерства фінансів України № 654, який зареєстровано в Міністерстві юстиції України 07.08.2017 за № 966/30834, </w:t>
      </w:r>
      <w:proofErr w:type="spellStart"/>
      <w:r w:rsidRPr="00B6731A">
        <w:rPr>
          <w:rFonts w:eastAsia="Times New Roman"/>
          <w:sz w:val="28"/>
          <w:szCs w:val="28"/>
          <w:lang w:val="uk-UA" w:eastAsia="uk-UA"/>
        </w:rPr>
        <w:t>внесено</w:t>
      </w:r>
      <w:proofErr w:type="spellEnd"/>
      <w:r w:rsidRPr="00B6731A">
        <w:rPr>
          <w:rFonts w:eastAsia="Times New Roman"/>
          <w:sz w:val="28"/>
          <w:szCs w:val="28"/>
          <w:lang w:val="uk-UA" w:eastAsia="uk-UA"/>
        </w:rPr>
        <w:t xml:space="preserve"> зміни до Наказу № 567 щодо удосконалення Критеріїв оцінки ступеня ризиків, достатніх для зупинення реєстрації податкової накладної / розрахунку коригування в ЄРПН.</w:t>
      </w:r>
    </w:p>
    <w:p w:rsidR="00641E5B" w:rsidRDefault="00641E5B" w:rsidP="001C66E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групи (підгрупи), на які </w:t>
      </w:r>
      <w:r w:rsidR="00202E2C"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>має вплив:</w:t>
      </w:r>
    </w:p>
    <w:tbl>
      <w:tblPr>
        <w:tblW w:w="4298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1304"/>
        <w:gridCol w:w="1248"/>
      </w:tblGrid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Ні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CD7FB5" w:rsidP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C16579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BB6D0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BB6D0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51913" w:rsidRDefault="00202E2C" w:rsidP="00202E2C">
      <w:pPr>
        <w:pStyle w:val="a3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Видання </w:t>
      </w:r>
      <w:r w:rsidR="00AC6EDB">
        <w:rPr>
          <w:rFonts w:ascii="Times New Roman" w:hAnsi="Times New Roman"/>
          <w:sz w:val="28"/>
          <w:szCs w:val="28"/>
          <w:lang w:val="uk-UA"/>
        </w:rPr>
        <w:t>Н</w:t>
      </w:r>
      <w:r w:rsidR="00304405" w:rsidRPr="00751913">
        <w:rPr>
          <w:rFonts w:ascii="Times New Roman" w:hAnsi="Times New Roman"/>
          <w:sz w:val="28"/>
          <w:szCs w:val="28"/>
          <w:lang w:val="uk-UA"/>
        </w:rPr>
        <w:t>аказу</w:t>
      </w:r>
      <w:r w:rsidR="00C659B9" w:rsidRPr="007519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дало можливість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t xml:space="preserve"> в автоматизованому режимі зупиняти випадки безпідставної реєстрації податкової накладної/розрахунку коригування, у разі коли постачальник фактично не здійснює господарську операцію, а реєструє виключно з метою надання покупцю необґрунтованої податкової вигоди у вигляді неправомір</w:t>
      </w:r>
      <w:r w:rsidR="00AC6EDB">
        <w:rPr>
          <w:rFonts w:ascii="Times New Roman" w:hAnsi="Times New Roman"/>
          <w:sz w:val="28"/>
          <w:szCs w:val="28"/>
          <w:lang w:val="uk-UA"/>
        </w:rPr>
        <w:t>ного сформованого кредиту з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податку на додану вартість</w:t>
      </w:r>
      <w:r w:rsidR="00AC6EDB">
        <w:rPr>
          <w:rFonts w:ascii="Times New Roman" w:hAnsi="Times New Roman"/>
          <w:sz w:val="28"/>
          <w:szCs w:val="28"/>
          <w:lang w:val="uk-UA"/>
        </w:rPr>
        <w:t>, що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мало наслідком 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t xml:space="preserve">поліпшення ефективності боротьби з ухиленням від оподаткування </w:t>
      </w:r>
      <w:r w:rsidR="0075191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зменшення </w:t>
      </w:r>
      <w:r w:rsidR="00751913">
        <w:rPr>
          <w:rFonts w:ascii="Times New Roman" w:hAnsi="Times New Roman"/>
          <w:sz w:val="28"/>
          <w:szCs w:val="28"/>
          <w:lang w:val="uk-UA"/>
        </w:rPr>
        <w:t>втрат бюджету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t>.</w:t>
      </w:r>
      <w:r w:rsidR="007519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66EC" w:rsidRDefault="001C66EC" w:rsidP="001C66EC">
      <w:pPr>
        <w:pStyle w:val="a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EC" w:rsidRDefault="001C66EC" w:rsidP="001E6F71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lastRenderedPageBreak/>
        <w:t>4</w:t>
      </w:r>
      <w:r w:rsidRPr="008945CC">
        <w:rPr>
          <w:rFonts w:eastAsia="Times New Roman"/>
          <w:b/>
          <w:sz w:val="28"/>
          <w:szCs w:val="28"/>
          <w:lang w:val="uk-UA" w:eastAsia="ru-RU"/>
        </w:rPr>
        <w:t xml:space="preserve">.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Строки виконання </w:t>
      </w:r>
      <w:r w:rsidR="001E6F71" w:rsidRPr="001E6F71">
        <w:rPr>
          <w:rFonts w:eastAsia="Times New Roman"/>
          <w:b/>
          <w:bCs/>
          <w:sz w:val="28"/>
          <w:szCs w:val="28"/>
          <w:lang w:val="uk-UA" w:eastAsia="ru-RU"/>
        </w:rPr>
        <w:t>заходів із відстеження</w:t>
      </w:r>
    </w:p>
    <w:p w:rsidR="00F2793A" w:rsidRPr="00F2793A" w:rsidRDefault="001C66EC" w:rsidP="001C66EC">
      <w:pPr>
        <w:jc w:val="both"/>
        <w:rPr>
          <w:rFonts w:eastAsia="Times New Roman"/>
          <w:b/>
          <w:sz w:val="16"/>
          <w:szCs w:val="16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ab/>
      </w:r>
    </w:p>
    <w:p w:rsidR="001C66EC" w:rsidRDefault="001C66EC" w:rsidP="00950C56">
      <w:pPr>
        <w:ind w:firstLine="720"/>
        <w:jc w:val="both"/>
        <w:rPr>
          <w:rFonts w:eastAsia="Times New Roman"/>
          <w:bCs/>
          <w:sz w:val="28"/>
          <w:szCs w:val="28"/>
          <w:lang w:val="uk-UA" w:eastAsia="ru-RU"/>
        </w:rPr>
      </w:pPr>
      <w:r w:rsidRPr="001C66EC">
        <w:rPr>
          <w:rFonts w:eastAsia="Times New Roman"/>
          <w:bCs/>
          <w:sz w:val="28"/>
          <w:szCs w:val="28"/>
          <w:lang w:val="uk-UA" w:eastAsia="ru-RU"/>
        </w:rPr>
        <w:t>Червень-</w:t>
      </w:r>
      <w:r w:rsidR="00950C56">
        <w:rPr>
          <w:rFonts w:eastAsia="Times New Roman"/>
          <w:bCs/>
          <w:sz w:val="28"/>
          <w:szCs w:val="28"/>
          <w:lang w:val="uk-UA" w:eastAsia="ru-RU"/>
        </w:rPr>
        <w:t>липень</w:t>
      </w:r>
      <w:r w:rsidRPr="001C66EC">
        <w:rPr>
          <w:rFonts w:eastAsia="Times New Roman"/>
          <w:bCs/>
          <w:sz w:val="28"/>
          <w:szCs w:val="28"/>
          <w:lang w:val="uk-UA" w:eastAsia="ru-RU"/>
        </w:rPr>
        <w:t xml:space="preserve"> 2017 року</w:t>
      </w:r>
      <w:r>
        <w:rPr>
          <w:rFonts w:eastAsia="Times New Roman"/>
          <w:bCs/>
          <w:sz w:val="28"/>
          <w:szCs w:val="28"/>
          <w:lang w:val="uk-UA" w:eastAsia="ru-RU"/>
        </w:rPr>
        <w:t>.</w:t>
      </w:r>
    </w:p>
    <w:p w:rsidR="001C66EC" w:rsidRDefault="001C66EC" w:rsidP="001C66EC">
      <w:pPr>
        <w:jc w:val="both"/>
        <w:rPr>
          <w:rFonts w:eastAsia="Times New Roman"/>
          <w:bCs/>
          <w:sz w:val="28"/>
          <w:szCs w:val="28"/>
          <w:lang w:val="uk-UA" w:eastAsia="ru-RU"/>
        </w:rPr>
      </w:pPr>
    </w:p>
    <w:p w:rsidR="001C66EC" w:rsidRDefault="001C66EC" w:rsidP="001C66EC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8945CC">
        <w:rPr>
          <w:rFonts w:eastAsia="Times New Roman"/>
          <w:b/>
          <w:sz w:val="28"/>
          <w:szCs w:val="28"/>
          <w:lang w:val="uk-UA" w:eastAsia="ru-RU"/>
        </w:rPr>
        <w:t xml:space="preserve">5. </w:t>
      </w:r>
      <w:r>
        <w:rPr>
          <w:rFonts w:eastAsia="Times New Roman"/>
          <w:b/>
          <w:sz w:val="28"/>
          <w:szCs w:val="28"/>
          <w:lang w:val="uk-UA" w:eastAsia="ru-RU"/>
        </w:rPr>
        <w:t>Тип відстеження (базове, повторне або періодичне)</w:t>
      </w:r>
    </w:p>
    <w:p w:rsidR="00F2793A" w:rsidRPr="00F2793A" w:rsidRDefault="001C66EC" w:rsidP="001C66EC">
      <w:pPr>
        <w:jc w:val="both"/>
        <w:rPr>
          <w:rFonts w:eastAsia="Times New Roman"/>
          <w:b/>
          <w:sz w:val="16"/>
          <w:szCs w:val="16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ab/>
      </w:r>
    </w:p>
    <w:p w:rsidR="001C66EC" w:rsidRPr="001C66EC" w:rsidRDefault="001C66EC" w:rsidP="00F2793A">
      <w:pPr>
        <w:ind w:firstLine="720"/>
        <w:jc w:val="both"/>
        <w:rPr>
          <w:rFonts w:eastAsia="Times New Roman"/>
          <w:bCs/>
          <w:sz w:val="28"/>
          <w:szCs w:val="28"/>
          <w:lang w:val="uk-UA" w:eastAsia="ru-RU"/>
        </w:rPr>
      </w:pPr>
      <w:r w:rsidRPr="001C66EC">
        <w:rPr>
          <w:rFonts w:eastAsia="Times New Roman"/>
          <w:bCs/>
          <w:sz w:val="28"/>
          <w:szCs w:val="28"/>
          <w:lang w:val="uk-UA" w:eastAsia="ru-RU"/>
        </w:rPr>
        <w:t>Базове відстеження</w:t>
      </w:r>
      <w:r>
        <w:rPr>
          <w:rFonts w:eastAsia="Times New Roman"/>
          <w:bCs/>
          <w:sz w:val="28"/>
          <w:szCs w:val="28"/>
          <w:lang w:val="uk-UA" w:eastAsia="ru-RU"/>
        </w:rPr>
        <w:t>.</w:t>
      </w:r>
    </w:p>
    <w:p w:rsidR="008945CC" w:rsidRDefault="008945CC" w:rsidP="008945CC">
      <w:pPr>
        <w:jc w:val="both"/>
        <w:rPr>
          <w:rFonts w:eastAsia="Times New Roman"/>
          <w:sz w:val="28"/>
          <w:szCs w:val="28"/>
          <w:lang w:val="uk-UA"/>
        </w:rPr>
      </w:pPr>
    </w:p>
    <w:p w:rsidR="001E6F71" w:rsidRPr="001E6F71" w:rsidRDefault="001E6F71" w:rsidP="001E6F71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1E6F71">
        <w:rPr>
          <w:rFonts w:eastAsia="Times New Roman"/>
          <w:b/>
          <w:bCs/>
          <w:sz w:val="28"/>
          <w:szCs w:val="28"/>
          <w:lang w:val="uk-UA" w:eastAsia="ru-RU"/>
        </w:rPr>
        <w:t>6. Методи одержання результатів відстеження</w:t>
      </w:r>
      <w:r w:rsidRPr="001E6F71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F2793A" w:rsidRPr="00F2793A" w:rsidRDefault="00F2793A" w:rsidP="00016FAC">
      <w:pPr>
        <w:ind w:firstLine="720"/>
        <w:jc w:val="both"/>
        <w:rPr>
          <w:rFonts w:eastAsia="Times New Roman"/>
          <w:sz w:val="16"/>
          <w:szCs w:val="16"/>
          <w:lang w:val="uk-UA" w:eastAsia="ru-RU"/>
        </w:rPr>
      </w:pPr>
    </w:p>
    <w:p w:rsidR="001E6F71" w:rsidRPr="001E6F71" w:rsidRDefault="001E6F71" w:rsidP="00016FAC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1E6F71">
        <w:rPr>
          <w:rFonts w:eastAsia="Times New Roman"/>
          <w:sz w:val="28"/>
          <w:szCs w:val="28"/>
          <w:lang w:val="uk-UA" w:eastAsia="ru-RU"/>
        </w:rPr>
        <w:t xml:space="preserve">Результати відстеження одержані методом аналізу відповідності розробленого </w:t>
      </w:r>
      <w:r w:rsidR="00016FAC">
        <w:rPr>
          <w:rFonts w:eastAsia="Times New Roman"/>
          <w:sz w:val="28"/>
          <w:szCs w:val="28"/>
          <w:lang w:val="uk-UA" w:eastAsia="ru-RU"/>
        </w:rPr>
        <w:t xml:space="preserve">Наказу </w:t>
      </w:r>
      <w:r w:rsidRPr="001E6F71">
        <w:rPr>
          <w:rFonts w:eastAsia="Times New Roman"/>
          <w:sz w:val="28"/>
          <w:szCs w:val="28"/>
          <w:lang w:val="uk-UA" w:eastAsia="ru-RU"/>
        </w:rPr>
        <w:t xml:space="preserve">вимогам чинного законодавства та </w:t>
      </w:r>
      <w:r w:rsidRPr="001E6F71">
        <w:rPr>
          <w:rFonts w:eastAsia="Times New Roman"/>
          <w:color w:val="000000"/>
          <w:sz w:val="28"/>
          <w:szCs w:val="28"/>
          <w:lang w:val="uk-UA" w:eastAsia="ru-RU"/>
        </w:rPr>
        <w:t xml:space="preserve">шляхом </w:t>
      </w:r>
      <w:r w:rsidR="00016FAC">
        <w:rPr>
          <w:sz w:val="28"/>
          <w:szCs w:val="28"/>
          <w:lang w:val="uk-UA"/>
        </w:rPr>
        <w:t>аналізу даних з інформаційних програм ДФС.</w:t>
      </w:r>
    </w:p>
    <w:p w:rsidR="001E6F71" w:rsidRDefault="001E6F71" w:rsidP="008945CC">
      <w:pPr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16FAC" w:rsidRPr="00016FAC" w:rsidRDefault="00016FAC" w:rsidP="00016FAC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016FAC">
        <w:rPr>
          <w:rFonts w:eastAsia="Times New Roman"/>
          <w:b/>
          <w:bCs/>
          <w:sz w:val="28"/>
          <w:szCs w:val="28"/>
          <w:lang w:val="uk-UA" w:eastAsia="ru-RU"/>
        </w:rPr>
        <w:t>7. Дані та припущення, на основі яких відстежувалася результативність, а також способи одержання даних</w:t>
      </w:r>
      <w:r w:rsidRPr="00016FAC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F2793A" w:rsidRPr="00F2793A" w:rsidRDefault="00F2793A" w:rsidP="00016FA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16"/>
          <w:szCs w:val="16"/>
          <w:lang w:val="uk-UA"/>
        </w:rPr>
      </w:pPr>
    </w:p>
    <w:p w:rsidR="00016FAC" w:rsidRDefault="00E211B2" w:rsidP="00E211B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Критерії оцінки ступеня ризиків, затверджені Наказом, побудовані таким чином, щоб на підставі звітності платників податків, а також додаткової інформації, яку платники надають ДФС, можна було в автоматизованому режимі здійснювати моніторинг </w:t>
      </w:r>
      <w:r w:rsidRPr="00C053FC">
        <w:rPr>
          <w:sz w:val="28"/>
          <w:szCs w:val="28"/>
          <w:lang w:val="uk-UA"/>
        </w:rPr>
        <w:t>податкових накладних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розрахунків коригування</w:t>
      </w:r>
      <w:r>
        <w:rPr>
          <w:sz w:val="28"/>
          <w:szCs w:val="28"/>
          <w:lang w:val="uk-UA"/>
        </w:rPr>
        <w:t>.</w:t>
      </w:r>
    </w:p>
    <w:p w:rsidR="00E211B2" w:rsidRDefault="00E211B2" w:rsidP="00E211B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результативність акту можна оцінити без будь-яких припущень</w:t>
      </w:r>
      <w:r w:rsidR="008C007B">
        <w:rPr>
          <w:sz w:val="28"/>
          <w:szCs w:val="28"/>
          <w:lang w:val="uk-UA"/>
        </w:rPr>
        <w:t>.</w:t>
      </w:r>
    </w:p>
    <w:p w:rsidR="008C007B" w:rsidRPr="003F1079" w:rsidRDefault="008C007B" w:rsidP="008C007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Зокрема, в липні 2017 року кількість платників, яким </w:t>
      </w:r>
      <w:proofErr w:type="spellStart"/>
      <w:r>
        <w:rPr>
          <w:sz w:val="28"/>
          <w:szCs w:val="28"/>
          <w:lang w:val="uk-UA"/>
        </w:rPr>
        <w:t>зупинено</w:t>
      </w:r>
      <w:proofErr w:type="spellEnd"/>
      <w:r>
        <w:rPr>
          <w:sz w:val="28"/>
          <w:szCs w:val="28"/>
          <w:lang w:val="uk-UA"/>
        </w:rPr>
        <w:t xml:space="preserve"> реєстрацію </w:t>
      </w:r>
      <w:r w:rsidRPr="00C053FC">
        <w:rPr>
          <w:sz w:val="28"/>
          <w:szCs w:val="28"/>
          <w:lang w:val="uk-UA"/>
        </w:rPr>
        <w:t>податкових накладних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розрахунків коригування</w:t>
      </w:r>
      <w:r>
        <w:rPr>
          <w:sz w:val="28"/>
          <w:szCs w:val="28"/>
          <w:lang w:val="uk-UA"/>
        </w:rPr>
        <w:t xml:space="preserve"> в ЄРПН склала 3,3 % від загальної кількості платників, які подали на реєстрацію </w:t>
      </w:r>
      <w:r w:rsidRPr="00C053FC">
        <w:rPr>
          <w:sz w:val="28"/>
          <w:szCs w:val="28"/>
          <w:lang w:val="uk-UA"/>
        </w:rPr>
        <w:t>податков</w:t>
      </w:r>
      <w:r>
        <w:rPr>
          <w:sz w:val="28"/>
          <w:szCs w:val="28"/>
          <w:lang w:val="uk-UA"/>
        </w:rPr>
        <w:t>і</w:t>
      </w:r>
      <w:r w:rsidRPr="00C053FC">
        <w:rPr>
          <w:sz w:val="28"/>
          <w:szCs w:val="28"/>
          <w:lang w:val="uk-UA"/>
        </w:rPr>
        <w:t xml:space="preserve"> накладн</w:t>
      </w:r>
      <w:r>
        <w:rPr>
          <w:sz w:val="28"/>
          <w:szCs w:val="28"/>
          <w:lang w:val="uk-UA"/>
        </w:rPr>
        <w:t>і </w:t>
      </w:r>
      <w:r w:rsidRPr="00C053F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розрахунк</w:t>
      </w:r>
      <w:r>
        <w:rPr>
          <w:sz w:val="28"/>
          <w:szCs w:val="28"/>
          <w:lang w:val="uk-UA"/>
        </w:rPr>
        <w:t>и</w:t>
      </w:r>
      <w:r w:rsidRPr="00C053FC">
        <w:rPr>
          <w:sz w:val="28"/>
          <w:szCs w:val="28"/>
          <w:lang w:val="uk-UA"/>
        </w:rPr>
        <w:t xml:space="preserve"> коригування</w:t>
      </w:r>
      <w:r>
        <w:rPr>
          <w:sz w:val="28"/>
          <w:szCs w:val="28"/>
          <w:lang w:val="uk-UA"/>
        </w:rPr>
        <w:t xml:space="preserve"> в ЄРПН; кількість зупинених  </w:t>
      </w:r>
      <w:r w:rsidRPr="00C053FC">
        <w:rPr>
          <w:sz w:val="28"/>
          <w:szCs w:val="28"/>
          <w:lang w:val="uk-UA"/>
        </w:rPr>
        <w:t>податкових накладних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розрахунків коригування</w:t>
      </w:r>
      <w:r>
        <w:rPr>
          <w:sz w:val="28"/>
          <w:szCs w:val="28"/>
          <w:lang w:val="uk-UA"/>
        </w:rPr>
        <w:t xml:space="preserve"> – складає 0,2 % від загальної кількості </w:t>
      </w:r>
      <w:r w:rsidRPr="00C053FC">
        <w:rPr>
          <w:sz w:val="28"/>
          <w:szCs w:val="28"/>
          <w:lang w:val="uk-UA"/>
        </w:rPr>
        <w:t>податкових накладних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 </w:t>
      </w:r>
      <w:r w:rsidRPr="00C053FC">
        <w:rPr>
          <w:sz w:val="28"/>
          <w:szCs w:val="28"/>
          <w:lang w:val="uk-UA"/>
        </w:rPr>
        <w:t>розрахунків коригування</w:t>
      </w:r>
      <w:r>
        <w:rPr>
          <w:sz w:val="28"/>
          <w:szCs w:val="28"/>
          <w:lang w:val="uk-UA"/>
        </w:rPr>
        <w:t xml:space="preserve">, поданих на реєстрацію в ЄРПН, сума податку на додану вартість по таких накладних склала 0,7 % від загальної суми </w:t>
      </w:r>
      <w:r w:rsidR="004771C6">
        <w:rPr>
          <w:sz w:val="28"/>
          <w:szCs w:val="28"/>
          <w:lang w:val="uk-UA"/>
        </w:rPr>
        <w:t xml:space="preserve">податку на додану вартість, відображених у </w:t>
      </w:r>
      <w:r w:rsidR="004771C6" w:rsidRPr="00C053FC">
        <w:rPr>
          <w:sz w:val="28"/>
          <w:szCs w:val="28"/>
          <w:lang w:val="uk-UA"/>
        </w:rPr>
        <w:t>податкових накладних</w:t>
      </w:r>
      <w:r w:rsidR="004771C6">
        <w:rPr>
          <w:sz w:val="28"/>
          <w:szCs w:val="28"/>
          <w:lang w:val="uk-UA"/>
        </w:rPr>
        <w:t> </w:t>
      </w:r>
      <w:r w:rsidR="004771C6" w:rsidRPr="00C053FC">
        <w:rPr>
          <w:sz w:val="28"/>
          <w:szCs w:val="28"/>
          <w:lang w:val="uk-UA"/>
        </w:rPr>
        <w:t>/</w:t>
      </w:r>
      <w:r w:rsidR="004771C6">
        <w:rPr>
          <w:sz w:val="28"/>
          <w:szCs w:val="28"/>
          <w:lang w:val="uk-UA"/>
        </w:rPr>
        <w:t> </w:t>
      </w:r>
      <w:r w:rsidR="004771C6" w:rsidRPr="00C053FC">
        <w:rPr>
          <w:sz w:val="28"/>
          <w:szCs w:val="28"/>
          <w:lang w:val="uk-UA"/>
        </w:rPr>
        <w:t>розрахунків коригування</w:t>
      </w:r>
      <w:r w:rsidR="004771C6">
        <w:rPr>
          <w:sz w:val="28"/>
          <w:szCs w:val="28"/>
          <w:lang w:val="uk-UA"/>
        </w:rPr>
        <w:t>, поданих на реєстрацію в ЄРПН.</w:t>
      </w:r>
    </w:p>
    <w:p w:rsidR="003F1079" w:rsidRPr="00016FAC" w:rsidRDefault="003F1079" w:rsidP="00016FAC">
      <w:pPr>
        <w:ind w:firstLine="540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016FAC" w:rsidRDefault="00016FAC" w:rsidP="00252935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016FAC">
        <w:rPr>
          <w:rFonts w:eastAsia="Times New Roman"/>
          <w:b/>
          <w:bCs/>
          <w:sz w:val="28"/>
          <w:szCs w:val="28"/>
          <w:lang w:val="uk-UA" w:eastAsia="ru-RU"/>
        </w:rPr>
        <w:t xml:space="preserve">8. Кількісні та якісні значення показників результативності </w:t>
      </w:r>
      <w:proofErr w:type="spellStart"/>
      <w:r w:rsidRPr="00016FAC">
        <w:rPr>
          <w:rFonts w:eastAsia="Times New Roman"/>
          <w:b/>
          <w:bCs/>
          <w:sz w:val="28"/>
          <w:szCs w:val="28"/>
          <w:lang w:val="uk-UA" w:eastAsia="ru-RU"/>
        </w:rPr>
        <w:t>акта</w:t>
      </w:r>
      <w:proofErr w:type="spellEnd"/>
      <w:r w:rsidRPr="00016FAC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6C346B" w:rsidRPr="006C346B" w:rsidRDefault="006C346B" w:rsidP="00F2793A">
      <w:pPr>
        <w:ind w:firstLine="540"/>
        <w:jc w:val="both"/>
        <w:rPr>
          <w:sz w:val="16"/>
          <w:szCs w:val="16"/>
          <w:lang w:val="uk-UA"/>
        </w:rPr>
      </w:pPr>
    </w:p>
    <w:p w:rsidR="00F2793A" w:rsidRDefault="00F2793A" w:rsidP="00F2793A">
      <w:pPr>
        <w:ind w:firstLine="540"/>
        <w:jc w:val="both"/>
        <w:rPr>
          <w:sz w:val="28"/>
          <w:szCs w:val="28"/>
          <w:lang w:val="uk-UA"/>
        </w:rPr>
      </w:pPr>
      <w:r w:rsidRPr="00C053FC">
        <w:rPr>
          <w:sz w:val="28"/>
          <w:szCs w:val="28"/>
          <w:lang w:val="uk-UA"/>
        </w:rPr>
        <w:t xml:space="preserve">Відповідно до пункту 74.2 статті 74 </w:t>
      </w:r>
      <w:r w:rsidRPr="00F2793A">
        <w:rPr>
          <w:sz w:val="28"/>
          <w:szCs w:val="28"/>
          <w:lang w:val="uk-UA"/>
        </w:rPr>
        <w:t xml:space="preserve">Кодексу </w:t>
      </w:r>
      <w:r>
        <w:rPr>
          <w:sz w:val="28"/>
          <w:szCs w:val="28"/>
          <w:lang w:val="uk-UA"/>
        </w:rPr>
        <w:t xml:space="preserve">ДФС </w:t>
      </w:r>
      <w:r w:rsidRPr="00C053FC">
        <w:rPr>
          <w:sz w:val="28"/>
          <w:szCs w:val="28"/>
          <w:lang w:val="uk-UA"/>
        </w:rPr>
        <w:t>забезпечується проведення постійного автоматизованого моніторингу відповідності податкових накладних/розрахунків коригування критеріям оцінки</w:t>
      </w:r>
      <w:r>
        <w:rPr>
          <w:sz w:val="28"/>
          <w:szCs w:val="28"/>
          <w:lang w:val="uk-UA"/>
        </w:rPr>
        <w:t xml:space="preserve"> ступеня ризиків, достатніх для зупинення реєстрації таких податкових накладних/розрахунків коригування </w:t>
      </w:r>
      <w:r w:rsidRPr="00F2793A">
        <w:rPr>
          <w:sz w:val="28"/>
          <w:szCs w:val="28"/>
          <w:lang w:val="uk-UA"/>
        </w:rPr>
        <w:t>в</w:t>
      </w:r>
      <w:r w:rsidRPr="00C053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ЄРПН.</w:t>
      </w:r>
    </w:p>
    <w:p w:rsidR="00F2793A" w:rsidRDefault="00F2793A" w:rsidP="004325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сьогодні, </w:t>
      </w:r>
      <w:r w:rsidR="006C346B" w:rsidRPr="006C346B">
        <w:rPr>
          <w:sz w:val="28"/>
          <w:szCs w:val="28"/>
          <w:lang w:val="uk-UA"/>
        </w:rPr>
        <w:t>систем</w:t>
      </w:r>
      <w:r w:rsidR="006C346B">
        <w:rPr>
          <w:sz w:val="28"/>
          <w:szCs w:val="28"/>
          <w:lang w:val="uk-UA"/>
        </w:rPr>
        <w:t>а</w:t>
      </w:r>
      <w:r w:rsidR="006C346B" w:rsidRPr="006C346B">
        <w:rPr>
          <w:sz w:val="28"/>
          <w:szCs w:val="28"/>
          <w:lang w:val="uk-UA"/>
        </w:rPr>
        <w:t xml:space="preserve"> автоматизованого моніторингу відповідності податкових накладних</w:t>
      </w:r>
      <w:r w:rsidR="006C346B">
        <w:rPr>
          <w:sz w:val="28"/>
          <w:szCs w:val="28"/>
          <w:lang w:val="uk-UA"/>
        </w:rPr>
        <w:t xml:space="preserve"> </w:t>
      </w:r>
      <w:r w:rsidR="006C346B" w:rsidRPr="006C346B">
        <w:rPr>
          <w:sz w:val="28"/>
          <w:szCs w:val="28"/>
          <w:lang w:val="uk-UA"/>
        </w:rPr>
        <w:t>/</w:t>
      </w:r>
      <w:r w:rsidR="006C346B">
        <w:rPr>
          <w:sz w:val="28"/>
          <w:szCs w:val="28"/>
          <w:lang w:val="uk-UA"/>
        </w:rPr>
        <w:t> </w:t>
      </w:r>
      <w:r w:rsidR="006C346B" w:rsidRPr="006C346B">
        <w:rPr>
          <w:sz w:val="28"/>
          <w:szCs w:val="28"/>
          <w:lang w:val="uk-UA"/>
        </w:rPr>
        <w:t>розрахунків коригування критеріям оцінки ступеня ризиків, достатніх для зупинення реєстрації таких податкових накладних/розрахунків коригування в ЄРПН (далі – СМКОР)</w:t>
      </w:r>
      <w:r>
        <w:rPr>
          <w:sz w:val="28"/>
          <w:szCs w:val="28"/>
          <w:lang w:val="uk-UA"/>
        </w:rPr>
        <w:t xml:space="preserve"> функціонує відповідно до положень Наказу та</w:t>
      </w:r>
      <w:r w:rsidRPr="00F64EA4">
        <w:rPr>
          <w:sz w:val="28"/>
          <w:szCs w:val="28"/>
          <w:lang w:val="uk-UA"/>
        </w:rPr>
        <w:t xml:space="preserve"> дає можливість зупиняти </w:t>
      </w:r>
      <w:r>
        <w:rPr>
          <w:sz w:val="28"/>
          <w:szCs w:val="28"/>
          <w:lang w:val="uk-UA"/>
        </w:rPr>
        <w:t xml:space="preserve">випадки безпідставної реєстрації податкової накладної/розрахунку коригування, у разі коли </w:t>
      </w:r>
      <w:r>
        <w:rPr>
          <w:sz w:val="28"/>
          <w:szCs w:val="28"/>
          <w:lang w:val="uk-UA"/>
        </w:rPr>
        <w:lastRenderedPageBreak/>
        <w:t>постачальник фактично не здійснює господарську операцію, а реєструє виключно з метою надання покупцю необґрунтованої податкової вигоди у вигляді неправомірного сформованого кредиту з</w:t>
      </w:r>
      <w:r w:rsidR="00432533">
        <w:rPr>
          <w:sz w:val="28"/>
          <w:szCs w:val="28"/>
          <w:lang w:val="uk-UA"/>
        </w:rPr>
        <w:t xml:space="preserve"> податку на додану вартість</w:t>
      </w:r>
      <w:r>
        <w:rPr>
          <w:sz w:val="28"/>
          <w:szCs w:val="28"/>
          <w:lang w:val="uk-UA"/>
        </w:rPr>
        <w:t>.</w:t>
      </w:r>
    </w:p>
    <w:p w:rsidR="00F2793A" w:rsidRDefault="00F2793A" w:rsidP="00F2793A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Разом з тим СМКОР побудована таким чином, щоб превентивно реагувати на зловживання недобросовісних платників податків – не лише бачити потенційні порушення, а й унеможливити безпідставне формування податкового кредиту навіть до моменту подання податкової декларації з податку на додану вартість, вже на стадії реєстрації податкової накладної/розрахунку коригування.</w:t>
      </w:r>
    </w:p>
    <w:p w:rsidR="00F2793A" w:rsidRPr="00BB00E3" w:rsidRDefault="00F2793A" w:rsidP="00F2793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інформацією ДФС, на сьогодні о</w:t>
      </w:r>
      <w:r w:rsidRPr="00BB00E3">
        <w:rPr>
          <w:sz w:val="28"/>
          <w:szCs w:val="28"/>
          <w:lang w:val="uk-UA"/>
        </w:rPr>
        <w:t>дна з найбільш поширених схем, яка дозволяє в подальшому реальному сектору мінімізувати податкові зобов’язання – це так званий «</w:t>
      </w:r>
      <w:proofErr w:type="spellStart"/>
      <w:r w:rsidRPr="00BB00E3">
        <w:rPr>
          <w:sz w:val="28"/>
          <w:szCs w:val="28"/>
          <w:lang w:val="uk-UA"/>
        </w:rPr>
        <w:t>пересорт</w:t>
      </w:r>
      <w:proofErr w:type="spellEnd"/>
      <w:r w:rsidRPr="00BB00E3">
        <w:rPr>
          <w:sz w:val="28"/>
          <w:szCs w:val="28"/>
          <w:lang w:val="uk-UA"/>
        </w:rPr>
        <w:t>» товарів. Тобто використовується підміна товарних позицій при здійсненні купівлі та реалізації товарів та послуг.</w:t>
      </w:r>
    </w:p>
    <w:p w:rsidR="005160ED" w:rsidRPr="005160ED" w:rsidRDefault="005160ED" w:rsidP="005C506B">
      <w:pPr>
        <w:ind w:firstLine="540"/>
        <w:jc w:val="both"/>
        <w:rPr>
          <w:sz w:val="28"/>
          <w:szCs w:val="28"/>
          <w:lang w:val="uk-UA"/>
        </w:rPr>
      </w:pPr>
      <w:r w:rsidRPr="005160ED">
        <w:rPr>
          <w:sz w:val="28"/>
          <w:szCs w:val="28"/>
          <w:lang w:val="uk-UA"/>
        </w:rPr>
        <w:t xml:space="preserve">За попередніми обрахунками </w:t>
      </w:r>
      <w:r>
        <w:rPr>
          <w:sz w:val="28"/>
          <w:szCs w:val="28"/>
          <w:lang w:val="uk-UA"/>
        </w:rPr>
        <w:t>ДФС</w:t>
      </w:r>
      <w:r w:rsidRPr="005160ED">
        <w:rPr>
          <w:sz w:val="28"/>
          <w:szCs w:val="28"/>
          <w:lang w:val="uk-UA"/>
        </w:rPr>
        <w:t>, щомісячно платниками оптимізу</w:t>
      </w:r>
      <w:r w:rsidR="005C506B">
        <w:rPr>
          <w:sz w:val="28"/>
          <w:szCs w:val="28"/>
          <w:lang w:val="uk-UA"/>
        </w:rPr>
        <w:t>валося</w:t>
      </w:r>
      <w:r w:rsidRPr="005160ED">
        <w:rPr>
          <w:sz w:val="28"/>
          <w:szCs w:val="28"/>
          <w:lang w:val="uk-UA"/>
        </w:rPr>
        <w:t xml:space="preserve"> близько 1,1 </w:t>
      </w:r>
      <w:proofErr w:type="spellStart"/>
      <w:r w:rsidRPr="005160ED">
        <w:rPr>
          <w:sz w:val="28"/>
          <w:szCs w:val="28"/>
          <w:lang w:val="uk-UA"/>
        </w:rPr>
        <w:t>млрд.грн</w:t>
      </w:r>
      <w:proofErr w:type="spellEnd"/>
      <w:r w:rsidRPr="005160ED">
        <w:rPr>
          <w:sz w:val="28"/>
          <w:szCs w:val="28"/>
          <w:lang w:val="uk-UA"/>
        </w:rPr>
        <w:t>. податків.</w:t>
      </w:r>
    </w:p>
    <w:p w:rsidR="005160ED" w:rsidRPr="005160ED" w:rsidRDefault="005160ED" w:rsidP="005C506B">
      <w:pPr>
        <w:ind w:firstLine="540"/>
        <w:jc w:val="both"/>
        <w:rPr>
          <w:sz w:val="28"/>
          <w:szCs w:val="28"/>
          <w:lang w:val="uk-UA"/>
        </w:rPr>
      </w:pPr>
      <w:r w:rsidRPr="005160ED">
        <w:rPr>
          <w:sz w:val="28"/>
          <w:szCs w:val="28"/>
          <w:lang w:val="uk-UA"/>
        </w:rPr>
        <w:t>Для боротьби з такими схемами органи ДФС провод</w:t>
      </w:r>
      <w:r>
        <w:rPr>
          <w:sz w:val="28"/>
          <w:szCs w:val="28"/>
          <w:lang w:val="uk-UA"/>
        </w:rPr>
        <w:t>ил</w:t>
      </w:r>
      <w:r w:rsidR="005C506B">
        <w:rPr>
          <w:sz w:val="28"/>
          <w:szCs w:val="28"/>
          <w:lang w:val="uk-UA"/>
        </w:rPr>
        <w:t>и</w:t>
      </w:r>
      <w:r w:rsidRPr="005160ED">
        <w:rPr>
          <w:sz w:val="28"/>
          <w:szCs w:val="28"/>
          <w:lang w:val="uk-UA"/>
        </w:rPr>
        <w:t xml:space="preserve"> контрольно – перевірочн</w:t>
      </w:r>
      <w:r w:rsidR="005C506B">
        <w:rPr>
          <w:sz w:val="28"/>
          <w:szCs w:val="28"/>
          <w:lang w:val="uk-UA"/>
        </w:rPr>
        <w:t>у</w:t>
      </w:r>
      <w:r w:rsidRPr="005160ED">
        <w:rPr>
          <w:sz w:val="28"/>
          <w:szCs w:val="28"/>
          <w:lang w:val="uk-UA"/>
        </w:rPr>
        <w:t xml:space="preserve"> робот</w:t>
      </w:r>
      <w:r w:rsidR="005C506B">
        <w:rPr>
          <w:sz w:val="28"/>
          <w:szCs w:val="28"/>
          <w:lang w:val="uk-UA"/>
        </w:rPr>
        <w:t>у</w:t>
      </w:r>
      <w:r w:rsidRPr="005160ED">
        <w:rPr>
          <w:sz w:val="28"/>
          <w:szCs w:val="28"/>
          <w:lang w:val="uk-UA"/>
        </w:rPr>
        <w:t>.</w:t>
      </w:r>
    </w:p>
    <w:p w:rsidR="005160ED" w:rsidRDefault="005160ED" w:rsidP="005160E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 xml:space="preserve">З метою </w:t>
      </w:r>
      <w:r w:rsidRPr="005160ED">
        <w:rPr>
          <w:sz w:val="28"/>
          <w:szCs w:val="28"/>
          <w:lang w:val="uk-UA"/>
        </w:rPr>
        <w:t>поліпшення ефективності боротьби з ухиленням від оподаткування Кодекс</w:t>
      </w:r>
      <w:r>
        <w:rPr>
          <w:sz w:val="28"/>
          <w:szCs w:val="28"/>
          <w:lang w:val="uk-UA"/>
        </w:rPr>
        <w:t>ом</w:t>
      </w:r>
      <w:r w:rsidRPr="005160ED">
        <w:rPr>
          <w:sz w:val="28"/>
          <w:szCs w:val="28"/>
          <w:lang w:val="uk-UA"/>
        </w:rPr>
        <w:t xml:space="preserve"> запроваджено новий механізм, який дозволяє автоматично аналізувати податков</w:t>
      </w:r>
      <w:r>
        <w:rPr>
          <w:sz w:val="28"/>
          <w:szCs w:val="28"/>
          <w:lang w:val="uk-UA"/>
        </w:rPr>
        <w:t xml:space="preserve">у накладну на наявність ризиків, без проведення перевірки платника податку співробітниками ДФС. </w:t>
      </w:r>
    </w:p>
    <w:p w:rsidR="005160ED" w:rsidRPr="005160ED" w:rsidRDefault="005160ED" w:rsidP="00121EE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свою чергу, зазначене нада</w:t>
      </w:r>
      <w:r w:rsidR="00121EE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можливість не відволікати робочий час платників податку для проведення перевірок контролюючим органом. </w:t>
      </w:r>
    </w:p>
    <w:p w:rsidR="00016FAC" w:rsidRDefault="00016FAC" w:rsidP="00016FAC">
      <w:pPr>
        <w:ind w:firstLine="54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400"/>
      </w:tblGrid>
      <w:tr w:rsidR="00F2793A" w:rsidRPr="00A437A0" w:rsidTr="001B261D">
        <w:tc>
          <w:tcPr>
            <w:tcW w:w="4608" w:type="dxa"/>
            <w:shd w:val="clear" w:color="auto" w:fill="auto"/>
          </w:tcPr>
          <w:p w:rsidR="00F2793A" w:rsidRPr="00F2793A" w:rsidRDefault="00F2793A" w:rsidP="00F2793A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Розмір </w:t>
            </w:r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додаткових витрат державного та місцевих бюджетів для впровадження і виконання норм регуляторного </w:t>
            </w:r>
            <w:proofErr w:type="spellStart"/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F2793A" w:rsidRPr="00F2793A" w:rsidRDefault="00F2793A" w:rsidP="00F2793A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Додаткові витрати державного та місцевих бюджетів для впровадження і виконання норм цього регуляторного </w:t>
            </w:r>
            <w:proofErr w:type="spellStart"/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відсутні</w:t>
            </w:r>
          </w:p>
        </w:tc>
      </w:tr>
      <w:tr w:rsidR="00F2793A" w:rsidRPr="00A437A0" w:rsidTr="001B261D">
        <w:tc>
          <w:tcPr>
            <w:tcW w:w="4608" w:type="dxa"/>
            <w:shd w:val="clear" w:color="auto" w:fill="auto"/>
          </w:tcPr>
          <w:p w:rsidR="00F2793A" w:rsidRPr="00F2793A" w:rsidRDefault="00F2793A" w:rsidP="00F2793A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Час та кошти, витрачені суб'єктами господарювання на реалізацію регуляторного </w:t>
            </w:r>
            <w:proofErr w:type="spellStart"/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F2793A" w:rsidRPr="00F2793A" w:rsidRDefault="00F2793A" w:rsidP="005C506B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Виконання вимог </w:t>
            </w:r>
            <w:proofErr w:type="spellStart"/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F2793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не потребує додаткових витрат коштів суб’єктів господарювання та фізичних осіб.</w:t>
            </w:r>
          </w:p>
        </w:tc>
      </w:tr>
      <w:tr w:rsidR="00F2793A" w:rsidRPr="00A437A0" w:rsidTr="001B261D">
        <w:tc>
          <w:tcPr>
            <w:tcW w:w="4608" w:type="dxa"/>
            <w:shd w:val="clear" w:color="auto" w:fill="auto"/>
          </w:tcPr>
          <w:p w:rsidR="00F2793A" w:rsidRPr="00F2793A" w:rsidRDefault="00F2793A" w:rsidP="00F2793A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Рівень поінформованості суб'єктів господарювання</w:t>
            </w:r>
          </w:p>
        </w:tc>
        <w:tc>
          <w:tcPr>
            <w:tcW w:w="5400" w:type="dxa"/>
            <w:shd w:val="clear" w:color="auto" w:fill="auto"/>
          </w:tcPr>
          <w:p w:rsidR="00F2793A" w:rsidRPr="00F2793A" w:rsidRDefault="00F2793A" w:rsidP="00F2793A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Рівень поінформованості суб’єктів господарювання та фізичних осіб з основних положень </w:t>
            </w:r>
            <w:proofErr w:type="spellStart"/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 високий. Цей рівень забезпечується опублікуванням в Офіційному віснику України №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 48</w:t>
            </w: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20</w:t>
            </w: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.201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, розміщенням на офіційному сайті Державної фіскальної служби України (</w:t>
            </w:r>
            <w:r w:rsidRPr="00F2793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www.</w:t>
            </w:r>
            <w:proofErr w:type="spellStart"/>
            <w:r w:rsidRPr="00F2793A">
              <w:rPr>
                <w:rFonts w:eastAsia="Times New Roman"/>
                <w:bCs/>
                <w:sz w:val="28"/>
                <w:szCs w:val="28"/>
                <w:lang w:eastAsia="ru-RU"/>
              </w:rPr>
              <w:t>sfs</w:t>
            </w:r>
            <w:proofErr w:type="spellEnd"/>
            <w:r w:rsidRPr="00F2793A">
              <w:rPr>
                <w:rFonts w:eastAsia="Times New Roman"/>
                <w:sz w:val="28"/>
                <w:szCs w:val="28"/>
                <w:lang w:val="uk-UA" w:eastAsia="ru-RU"/>
              </w:rPr>
              <w:t>.gov.ua.) у підрозділі «Нормативно-правові акти», включенням до системи «Ліга: закон» Інформаційно-аналітичного центру «ЛІГА» (www.lagazakon.ua).</w:t>
            </w:r>
          </w:p>
        </w:tc>
      </w:tr>
    </w:tbl>
    <w:p w:rsidR="00F2793A" w:rsidRDefault="00F2793A" w:rsidP="00016FAC">
      <w:pPr>
        <w:ind w:firstLine="540"/>
        <w:jc w:val="both"/>
        <w:rPr>
          <w:sz w:val="28"/>
          <w:szCs w:val="28"/>
          <w:lang w:val="uk-UA"/>
        </w:rPr>
      </w:pPr>
    </w:p>
    <w:p w:rsidR="00B4010A" w:rsidRDefault="0072457F" w:rsidP="006C346B">
      <w:pPr>
        <w:ind w:firstLine="540"/>
        <w:jc w:val="both"/>
        <w:rPr>
          <w:sz w:val="28"/>
          <w:szCs w:val="28"/>
          <w:lang w:val="uk-UA"/>
        </w:rPr>
      </w:pPr>
      <w:r w:rsidRPr="00783418">
        <w:rPr>
          <w:sz w:val="28"/>
          <w:szCs w:val="28"/>
          <w:lang w:val="uk-UA"/>
        </w:rPr>
        <w:t>Оцінка впливу на сферу інтересів суб’єктів господарювання</w:t>
      </w:r>
      <w:r w:rsidR="00B4010A">
        <w:rPr>
          <w:sz w:val="28"/>
          <w:szCs w:val="28"/>
          <w:lang w:val="uk-UA"/>
        </w:rPr>
        <w:t xml:space="preserve"> </w:t>
      </w:r>
      <w:r w:rsidR="006C346B">
        <w:rPr>
          <w:sz w:val="28"/>
          <w:szCs w:val="28"/>
          <w:lang w:val="uk-UA"/>
        </w:rPr>
        <w:t>(с</w:t>
      </w:r>
      <w:r w:rsidR="00B4010A" w:rsidRPr="006C346B">
        <w:rPr>
          <w:sz w:val="28"/>
          <w:szCs w:val="28"/>
          <w:lang w:val="uk-UA"/>
        </w:rPr>
        <w:t xml:space="preserve">таном на </w:t>
      </w:r>
      <w:r w:rsidR="00AF122B" w:rsidRPr="006C346B">
        <w:rPr>
          <w:sz w:val="28"/>
          <w:szCs w:val="28"/>
          <w:lang w:val="uk-UA"/>
        </w:rPr>
        <w:t>01</w:t>
      </w:r>
      <w:r w:rsidR="00B4010A" w:rsidRPr="006C346B">
        <w:rPr>
          <w:sz w:val="28"/>
          <w:szCs w:val="28"/>
          <w:lang w:val="uk-UA"/>
        </w:rPr>
        <w:t>.0</w:t>
      </w:r>
      <w:r w:rsidR="00356F93" w:rsidRPr="006C346B">
        <w:rPr>
          <w:sz w:val="28"/>
          <w:szCs w:val="28"/>
          <w:lang w:val="uk-UA"/>
        </w:rPr>
        <w:t>8</w:t>
      </w:r>
      <w:r w:rsidR="00B4010A" w:rsidRPr="006C346B">
        <w:rPr>
          <w:sz w:val="28"/>
          <w:szCs w:val="28"/>
          <w:lang w:val="uk-UA"/>
        </w:rPr>
        <w:t>.2017</w:t>
      </w:r>
      <w:r w:rsidR="006C346B" w:rsidRPr="006C346B">
        <w:rPr>
          <w:sz w:val="28"/>
          <w:szCs w:val="28"/>
          <w:lang w:val="uk-UA"/>
        </w:rPr>
        <w:t>)</w:t>
      </w:r>
    </w:p>
    <w:p w:rsidR="00FE78A4" w:rsidRPr="00B4010A" w:rsidRDefault="00FE78A4" w:rsidP="006C346B">
      <w:pPr>
        <w:ind w:firstLine="540"/>
        <w:jc w:val="both"/>
        <w:rPr>
          <w:b/>
          <w:sz w:val="20"/>
          <w:szCs w:val="20"/>
          <w:lang w:val="uk-UA"/>
        </w:rPr>
      </w:pPr>
    </w:p>
    <w:tbl>
      <w:tblPr>
        <w:tblW w:w="1005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3"/>
        <w:gridCol w:w="2293"/>
        <w:gridCol w:w="1843"/>
        <w:gridCol w:w="2818"/>
      </w:tblGrid>
      <w:tr w:rsidR="00E836B2" w:rsidTr="00D11B81">
        <w:trPr>
          <w:trHeight w:val="550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Показник</w:t>
            </w:r>
          </w:p>
        </w:tc>
        <w:tc>
          <w:tcPr>
            <w:tcW w:w="2253" w:type="dxa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Юридичні особи</w:t>
            </w:r>
          </w:p>
        </w:tc>
        <w:tc>
          <w:tcPr>
            <w:tcW w:w="1803" w:type="dxa"/>
            <w:shd w:val="clear" w:color="auto" w:fill="auto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Фізичні особи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E836B2" w:rsidRPr="00C82EB0" w:rsidRDefault="00E836B2" w:rsidP="001078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E836B2" w:rsidTr="0040686D">
        <w:trPr>
          <w:trHeight w:val="1143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8F6F61" w:rsidRDefault="00E836B2" w:rsidP="000343CC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 xml:space="preserve">Кількість </w:t>
            </w:r>
            <w:proofErr w:type="spellStart"/>
            <w:r w:rsidRPr="008F6F61">
              <w:rPr>
                <w:lang w:val="uk-UA"/>
              </w:rPr>
              <w:t>суб</w:t>
            </w:r>
            <w:r w:rsidR="000343CC">
              <w:rPr>
                <w:lang w:val="uk-UA"/>
              </w:rPr>
              <w:t>ʼ</w:t>
            </w:r>
            <w:r w:rsidRPr="008F6F61">
              <w:rPr>
                <w:lang w:val="uk-UA"/>
              </w:rPr>
              <w:t>єктів</w:t>
            </w:r>
            <w:proofErr w:type="spellEnd"/>
            <w:r w:rsidRPr="008F6F61">
              <w:rPr>
                <w:lang w:val="uk-UA"/>
              </w:rPr>
              <w:t xml:space="preserve"> господарювання, що підпадають під дію регулювання, одиниць</w:t>
            </w:r>
          </w:p>
        </w:tc>
        <w:tc>
          <w:tcPr>
            <w:tcW w:w="2253" w:type="dxa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AF122B" w:rsidP="0040686D">
            <w:pPr>
              <w:pStyle w:val="a3"/>
              <w:jc w:val="center"/>
              <w:rPr>
                <w:lang w:val="uk-UA"/>
              </w:rPr>
            </w:pPr>
            <w:r w:rsidRPr="00AF122B">
              <w:rPr>
                <w:lang w:val="uk-UA"/>
              </w:rPr>
              <w:t>220</w:t>
            </w:r>
            <w:r>
              <w:rPr>
                <w:lang w:val="uk-UA"/>
              </w:rPr>
              <w:t xml:space="preserve"> </w:t>
            </w:r>
            <w:r w:rsidRPr="00AF122B">
              <w:rPr>
                <w:lang w:val="uk-UA"/>
              </w:rPr>
              <w:t>752</w:t>
            </w:r>
          </w:p>
        </w:tc>
        <w:tc>
          <w:tcPr>
            <w:tcW w:w="1803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AF122B" w:rsidP="0040686D">
            <w:pPr>
              <w:pStyle w:val="a3"/>
              <w:jc w:val="center"/>
              <w:rPr>
                <w:lang w:val="uk-UA"/>
              </w:rPr>
            </w:pPr>
            <w:r w:rsidRPr="00AF122B">
              <w:rPr>
                <w:lang w:val="uk-UA"/>
              </w:rPr>
              <w:t>18</w:t>
            </w:r>
            <w:r>
              <w:rPr>
                <w:lang w:val="uk-UA"/>
              </w:rPr>
              <w:t xml:space="preserve"> </w:t>
            </w:r>
            <w:r w:rsidRPr="00AF122B">
              <w:rPr>
                <w:lang w:val="uk-UA"/>
              </w:rPr>
              <w:t>717</w:t>
            </w:r>
          </w:p>
        </w:tc>
        <w:tc>
          <w:tcPr>
            <w:tcW w:w="2758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AF122B" w:rsidP="0040686D">
            <w:pPr>
              <w:pStyle w:val="a3"/>
              <w:jc w:val="center"/>
              <w:rPr>
                <w:lang w:val="uk-UA"/>
              </w:rPr>
            </w:pPr>
            <w:r w:rsidRPr="00AF122B">
              <w:rPr>
                <w:lang w:val="uk-UA"/>
              </w:rPr>
              <w:t>239</w:t>
            </w:r>
            <w:r>
              <w:rPr>
                <w:lang w:val="uk-UA"/>
              </w:rPr>
              <w:t xml:space="preserve"> </w:t>
            </w:r>
            <w:r w:rsidRPr="00AF122B">
              <w:rPr>
                <w:lang w:val="uk-UA"/>
              </w:rPr>
              <w:t>469</w:t>
            </w:r>
          </w:p>
        </w:tc>
      </w:tr>
      <w:tr w:rsidR="00E836B2" w:rsidRPr="00C82EB0" w:rsidTr="0040686D">
        <w:trPr>
          <w:trHeight w:val="870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2253" w:type="dxa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03" w:type="dxa"/>
            <w:shd w:val="clear" w:color="auto" w:fill="auto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67164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58" w:type="dxa"/>
            <w:shd w:val="clear" w:color="auto" w:fill="auto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 w:rsidRPr="00F675A8">
              <w:rPr>
                <w:lang w:val="uk-UA"/>
              </w:rPr>
              <w:t>Х</w:t>
            </w:r>
          </w:p>
        </w:tc>
      </w:tr>
    </w:tbl>
    <w:p w:rsidR="00C82EB0" w:rsidRPr="00F54C88" w:rsidRDefault="00C82EB0" w:rsidP="002A452A">
      <w:pPr>
        <w:pStyle w:val="a3"/>
        <w:spacing w:before="0" w:beforeAutospacing="0" w:after="0" w:afterAutospacing="0"/>
        <w:ind w:firstLine="720"/>
        <w:jc w:val="both"/>
        <w:rPr>
          <w:highlight w:val="yellow"/>
          <w:lang w:val="uk-UA"/>
        </w:rPr>
      </w:pPr>
    </w:p>
    <w:p w:rsidR="00B05699" w:rsidRPr="00B05699" w:rsidRDefault="008A4624" w:rsidP="00016FAC">
      <w:pPr>
        <w:ind w:firstLine="709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 Дія </w:t>
      </w:r>
      <w:r w:rsidR="00016FAC">
        <w:rPr>
          <w:sz w:val="28"/>
          <w:szCs w:val="28"/>
          <w:lang w:val="uk-UA"/>
        </w:rPr>
        <w:t xml:space="preserve">Наказу </w:t>
      </w:r>
      <w:r w:rsidRPr="007E5988">
        <w:rPr>
          <w:sz w:val="28"/>
          <w:szCs w:val="28"/>
          <w:lang w:val="uk-UA"/>
        </w:rPr>
        <w:t xml:space="preserve">поширюється на платників </w:t>
      </w:r>
      <w:r w:rsidR="00F54C88">
        <w:rPr>
          <w:sz w:val="28"/>
          <w:szCs w:val="28"/>
          <w:lang w:val="uk-UA"/>
        </w:rPr>
        <w:t>подат</w:t>
      </w:r>
      <w:r w:rsidR="00B05699">
        <w:rPr>
          <w:sz w:val="28"/>
          <w:szCs w:val="28"/>
          <w:lang w:val="uk-UA"/>
        </w:rPr>
        <w:t>ку на додану вартість</w:t>
      </w:r>
      <w:r w:rsidR="00450266">
        <w:rPr>
          <w:sz w:val="28"/>
          <w:szCs w:val="28"/>
          <w:lang w:val="uk-UA"/>
        </w:rPr>
        <w:t>,</w:t>
      </w:r>
      <w:r w:rsidR="002A452A">
        <w:rPr>
          <w:sz w:val="28"/>
          <w:szCs w:val="28"/>
          <w:lang w:val="uk-UA"/>
        </w:rPr>
        <w:t xml:space="preserve"> </w:t>
      </w:r>
      <w:r w:rsidR="00483200">
        <w:rPr>
          <w:sz w:val="28"/>
          <w:szCs w:val="28"/>
          <w:lang w:val="uk-UA"/>
        </w:rPr>
        <w:t>як</w:t>
      </w:r>
      <w:r w:rsidR="00F54C88">
        <w:rPr>
          <w:sz w:val="28"/>
          <w:szCs w:val="28"/>
          <w:lang w:val="uk-UA"/>
        </w:rPr>
        <w:t>і</w:t>
      </w:r>
      <w:r w:rsidR="00483200">
        <w:rPr>
          <w:sz w:val="28"/>
          <w:szCs w:val="28"/>
          <w:lang w:val="uk-UA"/>
        </w:rPr>
        <w:t xml:space="preserve"> </w:t>
      </w:r>
      <w:r w:rsidR="00F54C88">
        <w:rPr>
          <w:sz w:val="28"/>
          <w:szCs w:val="28"/>
          <w:lang w:val="uk-UA"/>
        </w:rPr>
        <w:t>реєструють</w:t>
      </w:r>
      <w:r w:rsidR="00483200">
        <w:rPr>
          <w:sz w:val="28"/>
          <w:szCs w:val="28"/>
          <w:lang w:val="uk-UA"/>
        </w:rPr>
        <w:t xml:space="preserve"> </w:t>
      </w:r>
      <w:r w:rsidR="00E74AA7" w:rsidRPr="00E74AA7">
        <w:rPr>
          <w:sz w:val="28"/>
          <w:szCs w:val="28"/>
          <w:lang w:val="uk-UA"/>
        </w:rPr>
        <w:t>податков</w:t>
      </w:r>
      <w:r w:rsidR="00E74AA7">
        <w:rPr>
          <w:sz w:val="28"/>
          <w:szCs w:val="28"/>
          <w:lang w:val="uk-UA"/>
        </w:rPr>
        <w:t>у</w:t>
      </w:r>
      <w:r w:rsidR="00E74AA7" w:rsidRPr="00E74AA7">
        <w:rPr>
          <w:sz w:val="28"/>
          <w:szCs w:val="28"/>
          <w:lang w:val="uk-UA"/>
        </w:rPr>
        <w:t xml:space="preserve"> накладн</w:t>
      </w:r>
      <w:r w:rsidR="00E74AA7">
        <w:rPr>
          <w:sz w:val="28"/>
          <w:szCs w:val="28"/>
          <w:lang w:val="uk-UA"/>
        </w:rPr>
        <w:t>у</w:t>
      </w:r>
      <w:r w:rsidR="00E74AA7" w:rsidRPr="00E74AA7">
        <w:rPr>
          <w:sz w:val="28"/>
          <w:szCs w:val="28"/>
          <w:lang w:val="uk-UA"/>
        </w:rPr>
        <w:t>/розрахун</w:t>
      </w:r>
      <w:r w:rsidR="00E74AA7">
        <w:rPr>
          <w:sz w:val="28"/>
          <w:szCs w:val="28"/>
          <w:lang w:val="uk-UA"/>
        </w:rPr>
        <w:t>ок</w:t>
      </w:r>
      <w:r w:rsidR="00E74AA7" w:rsidRPr="00E74AA7">
        <w:rPr>
          <w:sz w:val="28"/>
          <w:szCs w:val="28"/>
          <w:lang w:val="uk-UA"/>
        </w:rPr>
        <w:t xml:space="preserve"> коригування в Єдиному реєстрі податкових накладних</w:t>
      </w:r>
      <w:r w:rsidR="00483200">
        <w:rPr>
          <w:sz w:val="28"/>
          <w:szCs w:val="28"/>
          <w:lang w:val="uk-UA"/>
        </w:rPr>
        <w:t xml:space="preserve">, відповідно до статті </w:t>
      </w:r>
      <w:r w:rsidR="00E74AA7">
        <w:rPr>
          <w:sz w:val="28"/>
          <w:szCs w:val="28"/>
          <w:lang w:val="uk-UA"/>
        </w:rPr>
        <w:t>201</w:t>
      </w:r>
      <w:r w:rsidR="00483200">
        <w:rPr>
          <w:sz w:val="28"/>
          <w:szCs w:val="28"/>
          <w:lang w:val="uk-UA"/>
        </w:rPr>
        <w:t xml:space="preserve"> Кодексу</w:t>
      </w:r>
      <w:r w:rsidR="00016FAC">
        <w:rPr>
          <w:sz w:val="28"/>
          <w:szCs w:val="28"/>
          <w:lang w:val="uk-UA"/>
        </w:rPr>
        <w:t>,</w:t>
      </w:r>
      <w:r w:rsidR="00B05699">
        <w:rPr>
          <w:sz w:val="28"/>
          <w:szCs w:val="28"/>
          <w:lang w:val="uk-UA"/>
        </w:rPr>
        <w:t xml:space="preserve"> </w:t>
      </w:r>
      <w:r w:rsidR="00B05699" w:rsidRPr="00B05699">
        <w:rPr>
          <w:sz w:val="28"/>
          <w:szCs w:val="28"/>
          <w:lang w:val="uk-UA"/>
        </w:rPr>
        <w:t xml:space="preserve">кількість суб'єктів господарювання та/або фізичних осіб, на яких поширюватиметься дія </w:t>
      </w:r>
      <w:proofErr w:type="spellStart"/>
      <w:r w:rsidR="00B05699" w:rsidRPr="00B05699">
        <w:rPr>
          <w:sz w:val="28"/>
          <w:szCs w:val="28"/>
          <w:lang w:val="uk-UA"/>
        </w:rPr>
        <w:t>акта</w:t>
      </w:r>
      <w:proofErr w:type="spellEnd"/>
      <w:r w:rsidR="00B05699">
        <w:rPr>
          <w:sz w:val="28"/>
          <w:szCs w:val="28"/>
          <w:lang w:val="uk-UA"/>
        </w:rPr>
        <w:t xml:space="preserve"> – </w:t>
      </w:r>
      <w:r w:rsidR="00016FAC">
        <w:rPr>
          <w:sz w:val="28"/>
          <w:szCs w:val="28"/>
          <w:lang w:val="uk-UA"/>
        </w:rPr>
        <w:br/>
      </w:r>
      <w:r w:rsidR="00AF122B" w:rsidRPr="00AF122B">
        <w:rPr>
          <w:lang w:val="uk-UA"/>
        </w:rPr>
        <w:t>239</w:t>
      </w:r>
      <w:r w:rsidR="00AF122B">
        <w:rPr>
          <w:lang w:val="uk-UA"/>
        </w:rPr>
        <w:t xml:space="preserve"> </w:t>
      </w:r>
      <w:r w:rsidR="00AF122B" w:rsidRPr="00AF122B">
        <w:rPr>
          <w:lang w:val="uk-UA"/>
        </w:rPr>
        <w:t>469</w:t>
      </w:r>
      <w:r w:rsidR="00B05699">
        <w:rPr>
          <w:lang w:val="uk-UA"/>
        </w:rPr>
        <w:t>.</w:t>
      </w:r>
    </w:p>
    <w:p w:rsidR="0028308C" w:rsidRDefault="00A437A0" w:rsidP="00A437A0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 w:bidi="he-IL"/>
        </w:rPr>
        <w:t>За інформацією ДФС, результатом роботи СМКОР – є збільшення нарахувань з податку на додану вартість майже</w:t>
      </w:r>
      <w:bookmarkStart w:id="0" w:name="_GoBack"/>
      <w:bookmarkEnd w:id="0"/>
      <w:r>
        <w:rPr>
          <w:iCs/>
          <w:sz w:val="28"/>
          <w:szCs w:val="28"/>
          <w:lang w:val="uk-UA" w:bidi="he-IL"/>
        </w:rPr>
        <w:t xml:space="preserve"> на 3 млрд. гривень</w:t>
      </w:r>
      <w:r w:rsidR="00AF122B" w:rsidRPr="00AF122B">
        <w:rPr>
          <w:iCs/>
          <w:sz w:val="28"/>
          <w:szCs w:val="28"/>
          <w:lang w:val="uk-UA"/>
        </w:rPr>
        <w:t>.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Додаткові </w:t>
      </w:r>
      <w:r w:rsidRPr="00B05699">
        <w:rPr>
          <w:sz w:val="28"/>
          <w:szCs w:val="28"/>
          <w:lang w:val="uk-UA"/>
        </w:rPr>
        <w:t>показник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результативності регуляторного акт</w:t>
      </w:r>
      <w:r w:rsidR="00AC6EDB">
        <w:rPr>
          <w:sz w:val="28"/>
          <w:szCs w:val="28"/>
          <w:lang w:val="uk-UA"/>
        </w:rPr>
        <w:t>у</w:t>
      </w:r>
      <w:r w:rsidR="0036335E">
        <w:rPr>
          <w:sz w:val="28"/>
          <w:szCs w:val="28"/>
          <w:lang w:val="uk-UA"/>
        </w:rPr>
        <w:t xml:space="preserve"> (</w:t>
      </w:r>
      <w:r w:rsidR="00AF122B">
        <w:rPr>
          <w:sz w:val="28"/>
          <w:szCs w:val="28"/>
          <w:lang w:val="uk-UA"/>
        </w:rPr>
        <w:t>станом на</w:t>
      </w:r>
      <w:r w:rsidR="0036335E">
        <w:rPr>
          <w:sz w:val="28"/>
          <w:szCs w:val="28"/>
          <w:lang w:val="uk-UA"/>
        </w:rPr>
        <w:t xml:space="preserve"> </w:t>
      </w:r>
      <w:r w:rsidR="00AF122B">
        <w:rPr>
          <w:sz w:val="28"/>
          <w:szCs w:val="28"/>
          <w:lang w:val="uk-UA"/>
        </w:rPr>
        <w:t>01</w:t>
      </w:r>
      <w:r w:rsidR="0036335E">
        <w:rPr>
          <w:sz w:val="28"/>
          <w:szCs w:val="28"/>
          <w:lang w:val="uk-UA"/>
        </w:rPr>
        <w:t>.08.2017 року)</w:t>
      </w:r>
      <w:r>
        <w:rPr>
          <w:sz w:val="28"/>
          <w:szCs w:val="28"/>
          <w:lang w:val="uk-UA"/>
        </w:rPr>
        <w:t>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податкових накладних розрахунків коригування в ЄРПН</w:t>
      </w:r>
      <w:r w:rsidR="00AF122B">
        <w:rPr>
          <w:sz w:val="28"/>
          <w:szCs w:val="28"/>
          <w:lang w:val="uk-UA"/>
        </w:rPr>
        <w:t xml:space="preserve"> – </w:t>
      </w:r>
      <w:r w:rsidR="00AF122B" w:rsidRPr="00AF122B">
        <w:rPr>
          <w:sz w:val="28"/>
          <w:szCs w:val="28"/>
          <w:lang w:val="uk-UA"/>
        </w:rPr>
        <w:t>19</w:t>
      </w:r>
      <w:r w:rsidR="00AF122B">
        <w:rPr>
          <w:sz w:val="28"/>
          <w:szCs w:val="28"/>
          <w:lang w:val="uk-UA"/>
        </w:rPr>
        <w:t xml:space="preserve"> </w:t>
      </w:r>
      <w:r w:rsidR="00AF122B" w:rsidRPr="00AF122B">
        <w:rPr>
          <w:sz w:val="28"/>
          <w:szCs w:val="28"/>
          <w:lang w:val="uk-UA"/>
        </w:rPr>
        <w:t>601</w:t>
      </w:r>
      <w:r w:rsidR="00AF122B">
        <w:rPr>
          <w:sz w:val="28"/>
          <w:szCs w:val="28"/>
          <w:lang w:val="uk-UA"/>
        </w:rPr>
        <w:t xml:space="preserve"> </w:t>
      </w:r>
      <w:r w:rsidR="00AF122B" w:rsidRPr="00AF122B">
        <w:rPr>
          <w:sz w:val="28"/>
          <w:szCs w:val="28"/>
          <w:lang w:val="uk-UA"/>
        </w:rPr>
        <w:t>602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зупинених податкових накладних розрахунків коригування в ЄРПН</w:t>
      </w:r>
      <w:r w:rsidR="00AF122B">
        <w:rPr>
          <w:sz w:val="28"/>
          <w:szCs w:val="28"/>
          <w:lang w:val="uk-UA"/>
        </w:rPr>
        <w:t xml:space="preserve"> – </w:t>
      </w:r>
      <w:r w:rsidR="00AF122B" w:rsidRPr="00AF122B">
        <w:rPr>
          <w:sz w:val="28"/>
          <w:szCs w:val="28"/>
          <w:lang w:val="uk-UA"/>
        </w:rPr>
        <w:t>162</w:t>
      </w:r>
      <w:r w:rsidR="00AF122B">
        <w:rPr>
          <w:sz w:val="28"/>
          <w:szCs w:val="28"/>
          <w:lang w:val="uk-UA"/>
        </w:rPr>
        <w:t xml:space="preserve"> </w:t>
      </w:r>
      <w:r w:rsidR="00AF122B" w:rsidRPr="00AF122B">
        <w:rPr>
          <w:sz w:val="28"/>
          <w:szCs w:val="28"/>
          <w:lang w:val="uk-UA"/>
        </w:rPr>
        <w:t>238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зупинення реєстрації: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прийнято рішення про реєстрацію податкових накладних розрахунків коригування в ЄРПН</w:t>
      </w:r>
      <w:r w:rsidR="00AF122B">
        <w:rPr>
          <w:sz w:val="28"/>
          <w:szCs w:val="28"/>
          <w:lang w:val="uk-UA"/>
        </w:rPr>
        <w:t xml:space="preserve"> – </w:t>
      </w:r>
      <w:r w:rsidR="00AF122B" w:rsidRPr="00AF122B">
        <w:rPr>
          <w:sz w:val="28"/>
          <w:szCs w:val="28"/>
          <w:lang w:val="uk-UA"/>
        </w:rPr>
        <w:t>9</w:t>
      </w:r>
      <w:r w:rsidR="00AF122B">
        <w:rPr>
          <w:sz w:val="28"/>
          <w:szCs w:val="28"/>
          <w:lang w:val="uk-UA"/>
        </w:rPr>
        <w:t xml:space="preserve"> </w:t>
      </w:r>
      <w:r w:rsidR="00AF122B" w:rsidRPr="00AF122B">
        <w:rPr>
          <w:sz w:val="28"/>
          <w:szCs w:val="28"/>
          <w:lang w:val="uk-UA"/>
        </w:rPr>
        <w:t>364</w:t>
      </w:r>
      <w:r>
        <w:rPr>
          <w:sz w:val="28"/>
          <w:szCs w:val="28"/>
          <w:lang w:val="uk-UA"/>
        </w:rPr>
        <w:t>;</w:t>
      </w:r>
    </w:p>
    <w:p w:rsidR="00B05699" w:rsidRDefault="00B05699" w:rsidP="00AF122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прийнято рішення про відмову в реєстрації  податкових накладних розрахунків коригування в ЄРПН</w:t>
      </w:r>
      <w:r w:rsidR="00AF122B">
        <w:rPr>
          <w:sz w:val="28"/>
          <w:szCs w:val="28"/>
          <w:lang w:val="uk-UA"/>
        </w:rPr>
        <w:t xml:space="preserve"> – </w:t>
      </w:r>
      <w:r w:rsidR="00AF122B" w:rsidRPr="00AF122B">
        <w:rPr>
          <w:sz w:val="28"/>
          <w:szCs w:val="28"/>
          <w:lang w:val="uk-UA"/>
        </w:rPr>
        <w:t>5</w:t>
      </w:r>
      <w:r w:rsidR="00AF122B">
        <w:rPr>
          <w:sz w:val="28"/>
          <w:szCs w:val="28"/>
          <w:lang w:val="uk-UA"/>
        </w:rPr>
        <w:t xml:space="preserve"> </w:t>
      </w:r>
      <w:r w:rsidR="00AF122B" w:rsidRPr="00AF122B">
        <w:rPr>
          <w:sz w:val="28"/>
          <w:szCs w:val="28"/>
          <w:lang w:val="uk-UA"/>
        </w:rPr>
        <w:t>879</w:t>
      </w:r>
      <w:r>
        <w:rPr>
          <w:sz w:val="28"/>
          <w:szCs w:val="28"/>
          <w:lang w:val="uk-UA"/>
        </w:rPr>
        <w:t>.</w:t>
      </w:r>
      <w:r w:rsidRPr="007E5988">
        <w:rPr>
          <w:sz w:val="28"/>
          <w:szCs w:val="28"/>
          <w:lang w:val="uk-UA"/>
        </w:rPr>
        <w:t xml:space="preserve">  </w:t>
      </w:r>
    </w:p>
    <w:p w:rsidR="00E56C5A" w:rsidRPr="00E56C5A" w:rsidRDefault="00E56C5A" w:rsidP="008E0FA8">
      <w:pPr>
        <w:ind w:firstLine="720"/>
        <w:jc w:val="both"/>
        <w:outlineLvl w:val="2"/>
        <w:rPr>
          <w:rFonts w:eastAsia="Times New Roman"/>
          <w:sz w:val="28"/>
          <w:szCs w:val="28"/>
          <w:lang w:val="uk-UA"/>
        </w:rPr>
      </w:pPr>
      <w:r w:rsidRPr="00E56C5A">
        <w:rPr>
          <w:rFonts w:eastAsia="Times New Roman"/>
          <w:sz w:val="28"/>
          <w:szCs w:val="28"/>
          <w:lang w:val="uk-UA"/>
        </w:rPr>
        <w:t xml:space="preserve">Суб’єкти господарювання мають можливість через електронний кабінет </w:t>
      </w:r>
      <w:r>
        <w:rPr>
          <w:rFonts w:eastAsia="Times New Roman"/>
          <w:sz w:val="28"/>
          <w:szCs w:val="28"/>
          <w:lang w:val="uk-UA"/>
        </w:rPr>
        <w:t>надати</w:t>
      </w:r>
      <w:r w:rsidRPr="00E56C5A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письмові</w:t>
      </w:r>
      <w:r w:rsidRPr="00E56C5A">
        <w:rPr>
          <w:rFonts w:eastAsia="Times New Roman"/>
          <w:sz w:val="28"/>
          <w:szCs w:val="28"/>
          <w:lang w:val="uk-UA"/>
        </w:rPr>
        <w:t xml:space="preserve"> пояснен</w:t>
      </w:r>
      <w:r>
        <w:rPr>
          <w:rFonts w:eastAsia="Times New Roman"/>
          <w:sz w:val="28"/>
          <w:szCs w:val="28"/>
          <w:lang w:val="uk-UA"/>
        </w:rPr>
        <w:t>ня</w:t>
      </w:r>
      <w:r w:rsidRPr="00E56C5A">
        <w:rPr>
          <w:rFonts w:eastAsia="Times New Roman"/>
          <w:sz w:val="28"/>
          <w:szCs w:val="28"/>
          <w:lang w:val="uk-UA"/>
        </w:rPr>
        <w:t xml:space="preserve"> та/або копії документів, визначені у підпункті «в» підпункту 201.16.1 пункту 201.16 статті 201 Кодексу</w:t>
      </w:r>
      <w:r w:rsidR="008E0FA8">
        <w:rPr>
          <w:rFonts w:eastAsia="Times New Roman"/>
          <w:sz w:val="28"/>
          <w:szCs w:val="28"/>
          <w:lang w:val="uk-UA"/>
        </w:rPr>
        <w:t>,</w:t>
      </w:r>
      <w:r w:rsidRPr="00E56C5A">
        <w:rPr>
          <w:rFonts w:eastAsia="Times New Roman"/>
          <w:sz w:val="28"/>
          <w:szCs w:val="28"/>
          <w:lang w:val="uk-UA"/>
        </w:rPr>
        <w:t xml:space="preserve"> та таблиці даних  платника податків</w:t>
      </w:r>
      <w:r w:rsidR="008E0FA8">
        <w:rPr>
          <w:rFonts w:eastAsia="Times New Roman"/>
          <w:sz w:val="28"/>
          <w:szCs w:val="28"/>
          <w:lang w:val="uk-UA"/>
        </w:rPr>
        <w:t>,</w:t>
      </w:r>
      <w:r w:rsidRPr="00E56C5A">
        <w:rPr>
          <w:rFonts w:eastAsia="Times New Roman"/>
          <w:sz w:val="28"/>
          <w:szCs w:val="28"/>
          <w:lang w:val="uk-UA"/>
        </w:rPr>
        <w:t xml:space="preserve"> передбачен</w:t>
      </w:r>
      <w:r w:rsidR="008E0FA8">
        <w:rPr>
          <w:rFonts w:eastAsia="Times New Roman"/>
          <w:sz w:val="28"/>
          <w:szCs w:val="28"/>
          <w:lang w:val="uk-UA"/>
        </w:rPr>
        <w:t>і</w:t>
      </w:r>
      <w:r>
        <w:rPr>
          <w:rFonts w:eastAsia="Times New Roman"/>
          <w:sz w:val="28"/>
          <w:szCs w:val="28"/>
          <w:lang w:val="uk-UA"/>
        </w:rPr>
        <w:t xml:space="preserve"> Н</w:t>
      </w:r>
      <w:r w:rsidRPr="00E56C5A">
        <w:rPr>
          <w:rFonts w:eastAsia="Times New Roman"/>
          <w:sz w:val="28"/>
          <w:szCs w:val="28"/>
          <w:lang w:val="uk-UA"/>
        </w:rPr>
        <w:t>аказ</w:t>
      </w:r>
      <w:r>
        <w:rPr>
          <w:rFonts w:eastAsia="Times New Roman"/>
          <w:sz w:val="28"/>
          <w:szCs w:val="28"/>
          <w:lang w:val="uk-UA"/>
        </w:rPr>
        <w:t>ом</w:t>
      </w:r>
      <w:r w:rsidRPr="00E56C5A">
        <w:rPr>
          <w:rFonts w:eastAsia="Times New Roman"/>
          <w:sz w:val="28"/>
          <w:szCs w:val="28"/>
          <w:lang w:val="uk-UA"/>
        </w:rPr>
        <w:t>.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</w:p>
    <w:p w:rsidR="00EA75CF" w:rsidRPr="00EA75CF" w:rsidRDefault="00EA75CF" w:rsidP="00252935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EA75CF">
        <w:rPr>
          <w:rFonts w:eastAsia="Times New Roman"/>
          <w:b/>
          <w:bCs/>
          <w:sz w:val="28"/>
          <w:szCs w:val="28"/>
          <w:lang w:val="uk-UA" w:eastAsia="ru-RU"/>
        </w:rPr>
        <w:t xml:space="preserve">9. Оцінка результатів реалізації регуляторного </w:t>
      </w:r>
      <w:proofErr w:type="spellStart"/>
      <w:r w:rsidRPr="00EA75CF">
        <w:rPr>
          <w:rFonts w:eastAsia="Times New Roman"/>
          <w:b/>
          <w:bCs/>
          <w:sz w:val="28"/>
          <w:szCs w:val="28"/>
          <w:lang w:val="uk-UA" w:eastAsia="ru-RU"/>
        </w:rPr>
        <w:t>акта</w:t>
      </w:r>
      <w:proofErr w:type="spellEnd"/>
      <w:r w:rsidRPr="00EA75CF">
        <w:rPr>
          <w:rFonts w:eastAsia="Times New Roman"/>
          <w:b/>
          <w:bCs/>
          <w:sz w:val="28"/>
          <w:szCs w:val="28"/>
          <w:lang w:val="uk-UA" w:eastAsia="ru-RU"/>
        </w:rPr>
        <w:t xml:space="preserve"> та ступеня досягнення визначених цілей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EA75CF" w:rsidRPr="00EA75CF" w:rsidRDefault="00EA75CF" w:rsidP="00EA75CF">
      <w:pPr>
        <w:ind w:firstLine="539"/>
        <w:jc w:val="both"/>
        <w:rPr>
          <w:rFonts w:eastAsia="Times New Roman"/>
          <w:bCs/>
          <w:sz w:val="16"/>
          <w:szCs w:val="16"/>
          <w:lang w:val="uk-UA" w:eastAsia="ru-RU"/>
        </w:rPr>
      </w:pPr>
    </w:p>
    <w:p w:rsidR="00EA75CF" w:rsidRPr="00EA75CF" w:rsidRDefault="00EA75CF" w:rsidP="005454C6">
      <w:pPr>
        <w:ind w:firstLine="539"/>
        <w:jc w:val="both"/>
        <w:rPr>
          <w:rFonts w:eastAsia="Times New Roman"/>
          <w:sz w:val="28"/>
          <w:szCs w:val="28"/>
          <w:lang w:val="uk-UA" w:eastAsia="ru-RU"/>
        </w:rPr>
      </w:pPr>
      <w:r w:rsidRPr="00EA75CF">
        <w:rPr>
          <w:rFonts w:eastAsia="Times New Roman"/>
          <w:bCs/>
          <w:sz w:val="28"/>
          <w:szCs w:val="28"/>
          <w:lang w:val="uk-UA" w:eastAsia="ru-RU"/>
        </w:rPr>
        <w:t xml:space="preserve">Прийняття </w:t>
      </w:r>
      <w:r w:rsidR="005454C6">
        <w:rPr>
          <w:rFonts w:eastAsia="Times New Roman"/>
          <w:bCs/>
          <w:sz w:val="28"/>
          <w:szCs w:val="28"/>
          <w:lang w:val="uk-UA" w:eastAsia="ru-RU"/>
        </w:rPr>
        <w:t xml:space="preserve">регуляторного </w:t>
      </w:r>
      <w:proofErr w:type="spellStart"/>
      <w:r w:rsidR="005454C6">
        <w:rPr>
          <w:rFonts w:eastAsia="Times New Roman"/>
          <w:bCs/>
          <w:sz w:val="28"/>
          <w:szCs w:val="28"/>
          <w:lang w:val="uk-UA" w:eastAsia="ru-RU"/>
        </w:rPr>
        <w:t>акта</w:t>
      </w:r>
      <w:proofErr w:type="spellEnd"/>
      <w:r w:rsidR="005454C6"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EA75CF">
        <w:rPr>
          <w:rFonts w:eastAsia="Times New Roman"/>
          <w:bCs/>
          <w:sz w:val="28"/>
          <w:szCs w:val="28"/>
          <w:lang w:val="uk-UA" w:eastAsia="ru-RU"/>
        </w:rPr>
        <w:t xml:space="preserve">забезпечило 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нормативне врегулювання дій </w:t>
      </w:r>
      <w:r>
        <w:rPr>
          <w:rFonts w:eastAsia="Times New Roman"/>
          <w:sz w:val="28"/>
          <w:szCs w:val="28"/>
          <w:lang w:val="uk-UA" w:eastAsia="ru-RU"/>
        </w:rPr>
        <w:t xml:space="preserve">ДФС щодо </w:t>
      </w:r>
      <w:r w:rsidRPr="00C053FC">
        <w:rPr>
          <w:sz w:val="28"/>
          <w:szCs w:val="28"/>
          <w:lang w:val="uk-UA"/>
        </w:rPr>
        <w:t>проведення постійного автоматизованого моніторингу відповідності податкових накладних/розрахунків коригування критеріям оцінки</w:t>
      </w:r>
      <w:r>
        <w:rPr>
          <w:sz w:val="28"/>
          <w:szCs w:val="28"/>
          <w:lang w:val="uk-UA"/>
        </w:rPr>
        <w:t xml:space="preserve"> ступеня </w:t>
      </w:r>
      <w:r>
        <w:rPr>
          <w:sz w:val="28"/>
          <w:szCs w:val="28"/>
          <w:lang w:val="uk-UA"/>
        </w:rPr>
        <w:lastRenderedPageBreak/>
        <w:t xml:space="preserve">ризиків, достатніх для зупинення реєстрації таких податкових накладних/розрахунків коригування </w:t>
      </w:r>
      <w:r w:rsidRPr="00F2793A">
        <w:rPr>
          <w:sz w:val="28"/>
          <w:szCs w:val="28"/>
          <w:lang w:val="uk-UA"/>
        </w:rPr>
        <w:t>в</w:t>
      </w:r>
      <w:r w:rsidRPr="00C053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ЄРПН.</w:t>
      </w:r>
    </w:p>
    <w:p w:rsidR="00EA75CF" w:rsidRPr="00EA75CF" w:rsidRDefault="00EA75CF" w:rsidP="00EA75CF">
      <w:pPr>
        <w:spacing w:line="235" w:lineRule="auto"/>
        <w:ind w:firstLine="600"/>
        <w:jc w:val="both"/>
        <w:rPr>
          <w:rFonts w:eastAsia="Times New Roman"/>
          <w:sz w:val="28"/>
          <w:szCs w:val="28"/>
          <w:lang w:val="uk-UA" w:eastAsia="ru-RU"/>
        </w:rPr>
      </w:pPr>
      <w:r w:rsidRPr="00EA75CF">
        <w:rPr>
          <w:rFonts w:eastAsia="Times New Roman"/>
          <w:sz w:val="28"/>
          <w:szCs w:val="28"/>
          <w:lang w:val="uk-UA" w:eastAsia="ru-RU"/>
        </w:rPr>
        <w:t xml:space="preserve">За результатом </w:t>
      </w:r>
      <w:r>
        <w:rPr>
          <w:rFonts w:eastAsia="Times New Roman"/>
          <w:sz w:val="28"/>
          <w:szCs w:val="28"/>
          <w:lang w:val="uk-UA" w:eastAsia="ru-RU"/>
        </w:rPr>
        <w:t xml:space="preserve">базового 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EA75CF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EA75CF">
        <w:rPr>
          <w:rFonts w:eastAsia="Times New Roman"/>
          <w:sz w:val="28"/>
          <w:szCs w:val="28"/>
          <w:lang w:val="uk-UA" w:eastAsia="ru-RU"/>
        </w:rPr>
        <w:t xml:space="preserve"> можна зробити висновок</w:t>
      </w:r>
      <w:r>
        <w:rPr>
          <w:rFonts w:eastAsia="Times New Roman"/>
          <w:sz w:val="28"/>
          <w:szCs w:val="28"/>
          <w:lang w:val="uk-UA" w:eastAsia="ru-RU"/>
        </w:rPr>
        <w:t xml:space="preserve"> про те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, що </w:t>
      </w:r>
      <w:r>
        <w:rPr>
          <w:rFonts w:eastAsia="Times New Roman"/>
          <w:sz w:val="28"/>
          <w:szCs w:val="28"/>
          <w:lang w:val="uk-UA" w:eastAsia="ru-RU"/>
        </w:rPr>
        <w:t>шляхом впровадження Н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аказу </w:t>
      </w:r>
      <w:r>
        <w:rPr>
          <w:rFonts w:eastAsia="Times New Roman"/>
          <w:sz w:val="28"/>
          <w:szCs w:val="28"/>
          <w:lang w:val="uk-UA" w:eastAsia="ru-RU"/>
        </w:rPr>
        <w:t>вдалося досягти визначених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 цілей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:rsidR="00EA75CF" w:rsidRPr="00EA75CF" w:rsidRDefault="00EA75CF" w:rsidP="00EA75CF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EA75CF">
        <w:rPr>
          <w:rFonts w:eastAsia="Times New Roman"/>
          <w:sz w:val="28"/>
          <w:szCs w:val="28"/>
          <w:lang w:val="uk-UA" w:eastAsia="ru-RU"/>
        </w:rPr>
        <w:t xml:space="preserve"> </w:t>
      </w:r>
      <w:r w:rsidRPr="00EA75CF">
        <w:rPr>
          <w:rFonts w:eastAsia="Times New Roman"/>
          <w:b/>
          <w:bCs/>
          <w:sz w:val="28"/>
          <w:szCs w:val="28"/>
          <w:lang w:val="uk-UA" w:eastAsia="ru-RU"/>
        </w:rPr>
        <w:t> </w:t>
      </w:r>
      <w:r w:rsidRPr="00EA75CF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EA75CF" w:rsidRPr="00EA75CF" w:rsidRDefault="00EA75CF" w:rsidP="00EA75CF">
      <w:pPr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28"/>
        <w:gridCol w:w="5080"/>
      </w:tblGrid>
      <w:tr w:rsidR="00EA75CF" w:rsidRPr="00EA75CF" w:rsidTr="001B261D">
        <w:tc>
          <w:tcPr>
            <w:tcW w:w="4928" w:type="dxa"/>
            <w:shd w:val="clear" w:color="auto" w:fill="auto"/>
          </w:tcPr>
          <w:p w:rsidR="00EA75CF" w:rsidRPr="00EA75CF" w:rsidRDefault="00EA75CF" w:rsidP="00EA75CF">
            <w:pPr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EA75CF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Державний секретар Міністерства фінансів України</w:t>
            </w:r>
          </w:p>
        </w:tc>
        <w:tc>
          <w:tcPr>
            <w:tcW w:w="5080" w:type="dxa"/>
            <w:shd w:val="clear" w:color="auto" w:fill="auto"/>
          </w:tcPr>
          <w:p w:rsidR="00EA75CF" w:rsidRPr="00EA75CF" w:rsidRDefault="00EA75CF" w:rsidP="00EA75CF">
            <w:pPr>
              <w:jc w:val="right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</w:p>
          <w:p w:rsidR="00EA75CF" w:rsidRPr="00EA75CF" w:rsidRDefault="00EA75CF" w:rsidP="00EA75CF">
            <w:pPr>
              <w:jc w:val="right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EA75CF">
              <w:rPr>
                <w:rFonts w:eastAsia="Times New Roman"/>
                <w:b/>
                <w:sz w:val="28"/>
                <w:szCs w:val="28"/>
                <w:lang w:val="uk-UA" w:eastAsia="ru-RU"/>
              </w:rPr>
              <w:t>Є. КАПІНУС</w:t>
            </w:r>
          </w:p>
        </w:tc>
      </w:tr>
    </w:tbl>
    <w:p w:rsidR="00C03FE3" w:rsidRDefault="00C03FE3" w:rsidP="00EA75CF">
      <w:pPr>
        <w:jc w:val="both"/>
        <w:rPr>
          <w:b/>
          <w:bCs/>
          <w:sz w:val="28"/>
          <w:szCs w:val="28"/>
          <w:lang w:val="uk-UA"/>
        </w:rPr>
      </w:pPr>
    </w:p>
    <w:sectPr w:rsidR="00C03FE3" w:rsidSect="00FE78A4">
      <w:headerReference w:type="default" r:id="rId9"/>
      <w:pgSz w:w="12240" w:h="15840"/>
      <w:pgMar w:top="851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51" w:rsidRDefault="00710851" w:rsidP="00854480">
      <w:r>
        <w:separator/>
      </w:r>
    </w:p>
  </w:endnote>
  <w:endnote w:type="continuationSeparator" w:id="0">
    <w:p w:rsidR="00710851" w:rsidRDefault="00710851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51" w:rsidRDefault="00710851" w:rsidP="00854480">
      <w:r>
        <w:separator/>
      </w:r>
    </w:p>
  </w:footnote>
  <w:footnote w:type="continuationSeparator" w:id="0">
    <w:p w:rsidR="00710851" w:rsidRDefault="00710851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8" w:rsidRDefault="007E59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7A0">
      <w:rPr>
        <w:noProof/>
      </w:rPr>
      <w:t>5</w:t>
    </w:r>
    <w:r>
      <w:fldChar w:fldCharType="end"/>
    </w:r>
  </w:p>
  <w:p w:rsidR="007E5988" w:rsidRDefault="007E59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B"/>
    <w:rsid w:val="00016FAC"/>
    <w:rsid w:val="000343CC"/>
    <w:rsid w:val="0004165A"/>
    <w:rsid w:val="00054756"/>
    <w:rsid w:val="000744D6"/>
    <w:rsid w:val="00090F88"/>
    <w:rsid w:val="000D037B"/>
    <w:rsid w:val="000D77A6"/>
    <w:rsid w:val="000E2E17"/>
    <w:rsid w:val="00102348"/>
    <w:rsid w:val="00106ED6"/>
    <w:rsid w:val="0010784F"/>
    <w:rsid w:val="00121EEE"/>
    <w:rsid w:val="00145703"/>
    <w:rsid w:val="001654B7"/>
    <w:rsid w:val="00182659"/>
    <w:rsid w:val="001A5999"/>
    <w:rsid w:val="001A78C1"/>
    <w:rsid w:val="001B4408"/>
    <w:rsid w:val="001C66EC"/>
    <w:rsid w:val="001E6F71"/>
    <w:rsid w:val="00202E2C"/>
    <w:rsid w:val="00223B59"/>
    <w:rsid w:val="002402FE"/>
    <w:rsid w:val="0025058F"/>
    <w:rsid w:val="00252935"/>
    <w:rsid w:val="0025784F"/>
    <w:rsid w:val="002601E7"/>
    <w:rsid w:val="00271E21"/>
    <w:rsid w:val="0028308C"/>
    <w:rsid w:val="002A452A"/>
    <w:rsid w:val="002C101A"/>
    <w:rsid w:val="002E100C"/>
    <w:rsid w:val="002F064C"/>
    <w:rsid w:val="002F42F7"/>
    <w:rsid w:val="00304405"/>
    <w:rsid w:val="003044E4"/>
    <w:rsid w:val="00304ECC"/>
    <w:rsid w:val="003055C8"/>
    <w:rsid w:val="00313ED8"/>
    <w:rsid w:val="00322366"/>
    <w:rsid w:val="00356F93"/>
    <w:rsid w:val="0036335E"/>
    <w:rsid w:val="00363C6D"/>
    <w:rsid w:val="003A09B2"/>
    <w:rsid w:val="003B03A9"/>
    <w:rsid w:val="003B4254"/>
    <w:rsid w:val="003C02F0"/>
    <w:rsid w:val="003F1079"/>
    <w:rsid w:val="003F1FEF"/>
    <w:rsid w:val="003F2D63"/>
    <w:rsid w:val="00406245"/>
    <w:rsid w:val="0040686D"/>
    <w:rsid w:val="004138C3"/>
    <w:rsid w:val="004163B4"/>
    <w:rsid w:val="0041660D"/>
    <w:rsid w:val="00417961"/>
    <w:rsid w:val="00430572"/>
    <w:rsid w:val="00432533"/>
    <w:rsid w:val="00442200"/>
    <w:rsid w:val="00450266"/>
    <w:rsid w:val="00465152"/>
    <w:rsid w:val="0046620A"/>
    <w:rsid w:val="004749BE"/>
    <w:rsid w:val="004771C6"/>
    <w:rsid w:val="0048021F"/>
    <w:rsid w:val="00483200"/>
    <w:rsid w:val="00490F73"/>
    <w:rsid w:val="004B56F3"/>
    <w:rsid w:val="004D6EF6"/>
    <w:rsid w:val="00506A01"/>
    <w:rsid w:val="005160ED"/>
    <w:rsid w:val="00516E93"/>
    <w:rsid w:val="00530E2B"/>
    <w:rsid w:val="005400EF"/>
    <w:rsid w:val="005454C6"/>
    <w:rsid w:val="00552EEE"/>
    <w:rsid w:val="00581B86"/>
    <w:rsid w:val="0059531B"/>
    <w:rsid w:val="005B4F5C"/>
    <w:rsid w:val="005C506B"/>
    <w:rsid w:val="005D69C2"/>
    <w:rsid w:val="00634604"/>
    <w:rsid w:val="00641E5B"/>
    <w:rsid w:val="0064387C"/>
    <w:rsid w:val="00643BA5"/>
    <w:rsid w:val="00647509"/>
    <w:rsid w:val="00663C16"/>
    <w:rsid w:val="00671645"/>
    <w:rsid w:val="00675E4D"/>
    <w:rsid w:val="006765F3"/>
    <w:rsid w:val="00677061"/>
    <w:rsid w:val="006B14AF"/>
    <w:rsid w:val="006C0459"/>
    <w:rsid w:val="006C346B"/>
    <w:rsid w:val="006E1781"/>
    <w:rsid w:val="006E3B67"/>
    <w:rsid w:val="006E580D"/>
    <w:rsid w:val="00710851"/>
    <w:rsid w:val="00717131"/>
    <w:rsid w:val="0072457F"/>
    <w:rsid w:val="00746808"/>
    <w:rsid w:val="00751913"/>
    <w:rsid w:val="00752A79"/>
    <w:rsid w:val="00783418"/>
    <w:rsid w:val="0078721E"/>
    <w:rsid w:val="007A494D"/>
    <w:rsid w:val="007A7652"/>
    <w:rsid w:val="007B7844"/>
    <w:rsid w:val="007C78D0"/>
    <w:rsid w:val="007D206F"/>
    <w:rsid w:val="007D4E9D"/>
    <w:rsid w:val="007E5988"/>
    <w:rsid w:val="008051E4"/>
    <w:rsid w:val="00824B4B"/>
    <w:rsid w:val="00825750"/>
    <w:rsid w:val="0082732B"/>
    <w:rsid w:val="0083050F"/>
    <w:rsid w:val="00830D04"/>
    <w:rsid w:val="008317E5"/>
    <w:rsid w:val="00846E31"/>
    <w:rsid w:val="00854480"/>
    <w:rsid w:val="00860176"/>
    <w:rsid w:val="00860B49"/>
    <w:rsid w:val="00870252"/>
    <w:rsid w:val="008945CC"/>
    <w:rsid w:val="008A0281"/>
    <w:rsid w:val="008A4624"/>
    <w:rsid w:val="008C007B"/>
    <w:rsid w:val="008C222F"/>
    <w:rsid w:val="008C7FE2"/>
    <w:rsid w:val="008D2968"/>
    <w:rsid w:val="008D32FC"/>
    <w:rsid w:val="008D7D71"/>
    <w:rsid w:val="008E0FA8"/>
    <w:rsid w:val="008E461F"/>
    <w:rsid w:val="008F0A62"/>
    <w:rsid w:val="008F6F61"/>
    <w:rsid w:val="009042FE"/>
    <w:rsid w:val="00927978"/>
    <w:rsid w:val="009468AA"/>
    <w:rsid w:val="00950C56"/>
    <w:rsid w:val="00977532"/>
    <w:rsid w:val="00977907"/>
    <w:rsid w:val="00990148"/>
    <w:rsid w:val="00997C17"/>
    <w:rsid w:val="009B3612"/>
    <w:rsid w:val="009C11D2"/>
    <w:rsid w:val="009C5A2A"/>
    <w:rsid w:val="009D628B"/>
    <w:rsid w:val="009E307B"/>
    <w:rsid w:val="009F00F0"/>
    <w:rsid w:val="009F1AF9"/>
    <w:rsid w:val="009F31B5"/>
    <w:rsid w:val="00A21C7C"/>
    <w:rsid w:val="00A25AFB"/>
    <w:rsid w:val="00A437A0"/>
    <w:rsid w:val="00A60405"/>
    <w:rsid w:val="00A61BCB"/>
    <w:rsid w:val="00A77B2F"/>
    <w:rsid w:val="00AB1275"/>
    <w:rsid w:val="00AC4A22"/>
    <w:rsid w:val="00AC6EDB"/>
    <w:rsid w:val="00AD4CB5"/>
    <w:rsid w:val="00AF122B"/>
    <w:rsid w:val="00B05699"/>
    <w:rsid w:val="00B17396"/>
    <w:rsid w:val="00B4010A"/>
    <w:rsid w:val="00B41887"/>
    <w:rsid w:val="00B434F6"/>
    <w:rsid w:val="00B6731A"/>
    <w:rsid w:val="00B7078F"/>
    <w:rsid w:val="00B80EF5"/>
    <w:rsid w:val="00B82B89"/>
    <w:rsid w:val="00B918E2"/>
    <w:rsid w:val="00BA6DAC"/>
    <w:rsid w:val="00BB00E3"/>
    <w:rsid w:val="00BB6D06"/>
    <w:rsid w:val="00C03FE3"/>
    <w:rsid w:val="00C053FC"/>
    <w:rsid w:val="00C16579"/>
    <w:rsid w:val="00C21C2C"/>
    <w:rsid w:val="00C30049"/>
    <w:rsid w:val="00C611EF"/>
    <w:rsid w:val="00C61BBE"/>
    <w:rsid w:val="00C659B9"/>
    <w:rsid w:val="00C80C6C"/>
    <w:rsid w:val="00C81D8A"/>
    <w:rsid w:val="00C82EB0"/>
    <w:rsid w:val="00CB2ECD"/>
    <w:rsid w:val="00CB7D08"/>
    <w:rsid w:val="00CC29B1"/>
    <w:rsid w:val="00CD7FB5"/>
    <w:rsid w:val="00CE2E18"/>
    <w:rsid w:val="00D11B81"/>
    <w:rsid w:val="00D1416D"/>
    <w:rsid w:val="00D457AC"/>
    <w:rsid w:val="00D61D88"/>
    <w:rsid w:val="00D64E1C"/>
    <w:rsid w:val="00D75BA5"/>
    <w:rsid w:val="00D860C7"/>
    <w:rsid w:val="00D91F4D"/>
    <w:rsid w:val="00D9239A"/>
    <w:rsid w:val="00DB6CE9"/>
    <w:rsid w:val="00DC431A"/>
    <w:rsid w:val="00DE154B"/>
    <w:rsid w:val="00DE6FC6"/>
    <w:rsid w:val="00DE7024"/>
    <w:rsid w:val="00DF354C"/>
    <w:rsid w:val="00E03975"/>
    <w:rsid w:val="00E07697"/>
    <w:rsid w:val="00E10927"/>
    <w:rsid w:val="00E15B2E"/>
    <w:rsid w:val="00E211B2"/>
    <w:rsid w:val="00E227D3"/>
    <w:rsid w:val="00E22B41"/>
    <w:rsid w:val="00E271DA"/>
    <w:rsid w:val="00E34623"/>
    <w:rsid w:val="00E350A4"/>
    <w:rsid w:val="00E44536"/>
    <w:rsid w:val="00E5124F"/>
    <w:rsid w:val="00E56C5A"/>
    <w:rsid w:val="00E72BC6"/>
    <w:rsid w:val="00E74AA7"/>
    <w:rsid w:val="00E836B2"/>
    <w:rsid w:val="00EA75CF"/>
    <w:rsid w:val="00EB6BC2"/>
    <w:rsid w:val="00EB7CFF"/>
    <w:rsid w:val="00EC1FFC"/>
    <w:rsid w:val="00EC37A0"/>
    <w:rsid w:val="00EC748C"/>
    <w:rsid w:val="00ED2D80"/>
    <w:rsid w:val="00EF48CE"/>
    <w:rsid w:val="00F10433"/>
    <w:rsid w:val="00F2793A"/>
    <w:rsid w:val="00F30135"/>
    <w:rsid w:val="00F331D4"/>
    <w:rsid w:val="00F40DF5"/>
    <w:rsid w:val="00F47CDA"/>
    <w:rsid w:val="00F5017D"/>
    <w:rsid w:val="00F54C88"/>
    <w:rsid w:val="00F54D4A"/>
    <w:rsid w:val="00F564DC"/>
    <w:rsid w:val="00F64EA4"/>
    <w:rsid w:val="00F675A8"/>
    <w:rsid w:val="00F72757"/>
    <w:rsid w:val="00F80207"/>
    <w:rsid w:val="00F9212D"/>
    <w:rsid w:val="00FB2019"/>
    <w:rsid w:val="00FE78A4"/>
    <w:rsid w:val="00FF402C"/>
    <w:rsid w:val="00FF5716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D8E4473-A52C-4920-A0A5-BEC3887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7282</Words>
  <Characters>4152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d15-ctv</dc:creator>
  <cp:lastModifiedBy>Користувач Windows</cp:lastModifiedBy>
  <cp:revision>14</cp:revision>
  <cp:lastPrinted>2017-10-02T09:38:00Z</cp:lastPrinted>
  <dcterms:created xsi:type="dcterms:W3CDTF">2017-09-28T13:59:00Z</dcterms:created>
  <dcterms:modified xsi:type="dcterms:W3CDTF">2017-10-02T09:39:00Z</dcterms:modified>
</cp:coreProperties>
</file>