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57" w:rsidRPr="003E0D81" w:rsidRDefault="00553E38" w:rsidP="005F7B57">
      <w:pPr>
        <w:ind w:firstLine="181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>З</w:t>
      </w:r>
      <w:r w:rsidR="00DB3767" w:rsidRPr="009D05A7">
        <w:rPr>
          <w:b/>
          <w:bCs/>
          <w:color w:val="000000"/>
          <w:sz w:val="28"/>
          <w:szCs w:val="28"/>
        </w:rPr>
        <w:t xml:space="preserve">віт </w:t>
      </w:r>
    </w:p>
    <w:p w:rsidR="005F7B57" w:rsidRPr="003E0D81" w:rsidRDefault="00DB3767" w:rsidP="005F7B57">
      <w:pPr>
        <w:ind w:firstLine="181"/>
        <w:jc w:val="center"/>
        <w:rPr>
          <w:b/>
          <w:bCs/>
          <w:color w:val="000000"/>
          <w:sz w:val="28"/>
          <w:szCs w:val="28"/>
          <w:lang w:val="ru-RU"/>
        </w:rPr>
      </w:pPr>
      <w:r w:rsidRPr="009D05A7"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>повторне</w:t>
      </w:r>
      <w:r w:rsidRPr="009D05A7">
        <w:rPr>
          <w:b/>
          <w:bCs/>
          <w:color w:val="000000"/>
          <w:sz w:val="28"/>
          <w:szCs w:val="28"/>
        </w:rPr>
        <w:t xml:space="preserve"> відстеження результативності</w:t>
      </w:r>
      <w:r w:rsidR="005F7B57" w:rsidRPr="003E0D81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DB3767" w:rsidRPr="004C36BC" w:rsidRDefault="001B3C2F" w:rsidP="005F7B57">
      <w:pPr>
        <w:ind w:firstLine="181"/>
        <w:jc w:val="center"/>
        <w:rPr>
          <w:b/>
          <w:bCs/>
          <w:iCs/>
          <w:sz w:val="28"/>
          <w:szCs w:val="28"/>
        </w:rPr>
      </w:pPr>
      <w:r w:rsidRPr="004C36BC">
        <w:rPr>
          <w:b/>
          <w:bCs/>
          <w:iCs/>
          <w:sz w:val="28"/>
          <w:szCs w:val="28"/>
        </w:rPr>
        <w:t>п</w:t>
      </w:r>
      <w:r w:rsidR="000051C7" w:rsidRPr="004C36BC">
        <w:rPr>
          <w:b/>
          <w:bCs/>
          <w:iCs/>
          <w:sz w:val="28"/>
          <w:szCs w:val="28"/>
        </w:rPr>
        <w:t>останов</w:t>
      </w:r>
      <w:r w:rsidRPr="004C36BC">
        <w:rPr>
          <w:b/>
          <w:bCs/>
          <w:iCs/>
          <w:sz w:val="28"/>
          <w:szCs w:val="28"/>
        </w:rPr>
        <w:t>и</w:t>
      </w:r>
      <w:r w:rsidR="00DB3767" w:rsidRPr="004C36BC">
        <w:rPr>
          <w:b/>
          <w:bCs/>
          <w:iCs/>
          <w:sz w:val="28"/>
          <w:szCs w:val="28"/>
        </w:rPr>
        <w:t xml:space="preserve"> Кабінету Міністрів України від 22.02.2016 № 68 </w:t>
      </w:r>
      <w:r w:rsidR="00B347DC" w:rsidRPr="004C36BC">
        <w:rPr>
          <w:b/>
          <w:bCs/>
          <w:iCs/>
          <w:sz w:val="28"/>
          <w:szCs w:val="28"/>
        </w:rPr>
        <w:br/>
      </w:r>
      <w:r w:rsidR="00DB3767" w:rsidRPr="004C36BC">
        <w:rPr>
          <w:b/>
          <w:bCs/>
          <w:iCs/>
          <w:sz w:val="28"/>
          <w:szCs w:val="28"/>
        </w:rPr>
        <w:t>«Про затвердження Порядку ведення реєстрів заяв про повернення суми бюджетного відшкодування податку на додану вартість»</w:t>
      </w:r>
    </w:p>
    <w:p w:rsidR="00262F00" w:rsidRPr="004C36BC" w:rsidRDefault="00262F00" w:rsidP="005F7B57">
      <w:pPr>
        <w:ind w:firstLine="181"/>
        <w:jc w:val="center"/>
        <w:rPr>
          <w:b/>
          <w:bCs/>
          <w:iCs/>
          <w:sz w:val="28"/>
          <w:szCs w:val="28"/>
        </w:rPr>
      </w:pPr>
    </w:p>
    <w:p w:rsidR="00DB3767" w:rsidRPr="004C36BC" w:rsidRDefault="00DB3767" w:rsidP="005F7B57">
      <w:pPr>
        <w:spacing w:before="120"/>
        <w:jc w:val="center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 xml:space="preserve">1. Вид та назва регуляторного </w:t>
      </w:r>
      <w:proofErr w:type="spellStart"/>
      <w:r w:rsidRPr="004C36BC">
        <w:rPr>
          <w:b/>
          <w:bCs/>
          <w:sz w:val="28"/>
          <w:szCs w:val="28"/>
        </w:rPr>
        <w:t>акт</w:t>
      </w:r>
      <w:r w:rsidR="0032019D" w:rsidRPr="004C36BC">
        <w:rPr>
          <w:b/>
          <w:bCs/>
          <w:sz w:val="28"/>
          <w:szCs w:val="28"/>
        </w:rPr>
        <w:t>а</w:t>
      </w:r>
      <w:proofErr w:type="spellEnd"/>
    </w:p>
    <w:p w:rsidR="00DB3767" w:rsidRPr="004C36BC" w:rsidRDefault="00DB3767" w:rsidP="00DB3767">
      <w:pPr>
        <w:ind w:firstLine="708"/>
        <w:jc w:val="both"/>
        <w:rPr>
          <w:bCs/>
          <w:iCs/>
          <w:sz w:val="6"/>
          <w:szCs w:val="6"/>
        </w:rPr>
      </w:pPr>
    </w:p>
    <w:p w:rsidR="00DB3767" w:rsidRPr="004C36BC" w:rsidRDefault="00DB3767" w:rsidP="00DB3767">
      <w:pPr>
        <w:ind w:firstLine="708"/>
        <w:jc w:val="both"/>
        <w:rPr>
          <w:i/>
          <w:sz w:val="28"/>
          <w:szCs w:val="28"/>
        </w:rPr>
      </w:pPr>
      <w:r w:rsidRPr="004C36BC">
        <w:rPr>
          <w:bCs/>
          <w:iCs/>
          <w:sz w:val="28"/>
          <w:szCs w:val="28"/>
        </w:rPr>
        <w:t>Постанова Кабінету Міністрів України від 22.02.2016 № 68 «Про затвердження Порядку ведення реєстрів заяв про повернення суми бюджетного відшкодування податку на додану вартість»  (далі – постанова № 68</w:t>
      </w:r>
      <w:r w:rsidRPr="004C36BC">
        <w:rPr>
          <w:i/>
          <w:sz w:val="28"/>
          <w:szCs w:val="28"/>
        </w:rPr>
        <w:t>).</w:t>
      </w:r>
    </w:p>
    <w:p w:rsidR="00262F00" w:rsidRPr="004C36BC" w:rsidRDefault="00262F00" w:rsidP="00DB3767">
      <w:pPr>
        <w:ind w:firstLine="708"/>
        <w:jc w:val="both"/>
        <w:rPr>
          <w:bCs/>
          <w:iCs/>
          <w:sz w:val="28"/>
          <w:szCs w:val="28"/>
        </w:rPr>
      </w:pPr>
    </w:p>
    <w:p w:rsidR="00DB3767" w:rsidRPr="004C36BC" w:rsidRDefault="00DB3767" w:rsidP="005F7B57">
      <w:pPr>
        <w:spacing w:before="120"/>
        <w:jc w:val="center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>2. Назва виконавця заходів з повторного відстеження результативності регуляторного акт</w:t>
      </w:r>
      <w:r w:rsidR="001F627D" w:rsidRPr="004C36BC">
        <w:rPr>
          <w:b/>
          <w:bCs/>
          <w:sz w:val="28"/>
          <w:szCs w:val="28"/>
        </w:rPr>
        <w:t>у</w:t>
      </w:r>
    </w:p>
    <w:p w:rsidR="00DB3767" w:rsidRPr="004C36BC" w:rsidRDefault="00DB3767" w:rsidP="00DB3767">
      <w:pPr>
        <w:spacing w:before="120"/>
        <w:ind w:firstLine="720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Державна фіскальна служба України.</w:t>
      </w:r>
    </w:p>
    <w:p w:rsidR="00262F00" w:rsidRPr="004C36BC" w:rsidRDefault="00262F00" w:rsidP="00DB3767">
      <w:pPr>
        <w:spacing w:before="120"/>
        <w:ind w:firstLine="720"/>
        <w:jc w:val="both"/>
        <w:rPr>
          <w:sz w:val="28"/>
          <w:szCs w:val="28"/>
        </w:rPr>
      </w:pPr>
    </w:p>
    <w:p w:rsidR="00DB3767" w:rsidRPr="004C36BC" w:rsidRDefault="001F627D" w:rsidP="00262F00">
      <w:pPr>
        <w:spacing w:before="120"/>
        <w:jc w:val="center"/>
        <w:rPr>
          <w:b/>
          <w:sz w:val="28"/>
          <w:szCs w:val="28"/>
        </w:rPr>
      </w:pPr>
      <w:r w:rsidRPr="004C36BC">
        <w:rPr>
          <w:b/>
          <w:sz w:val="28"/>
          <w:szCs w:val="28"/>
        </w:rPr>
        <w:t>3. Цілі прийняття акту</w:t>
      </w:r>
    </w:p>
    <w:p w:rsidR="00B347DC" w:rsidRPr="004C36BC" w:rsidRDefault="00DB3767" w:rsidP="00262F00">
      <w:pPr>
        <w:ind w:firstLine="720"/>
        <w:jc w:val="both"/>
        <w:rPr>
          <w:sz w:val="28"/>
          <w:szCs w:val="28"/>
        </w:rPr>
      </w:pPr>
      <w:r w:rsidRPr="004C36BC">
        <w:rPr>
          <w:bCs/>
          <w:iCs/>
          <w:sz w:val="28"/>
          <w:szCs w:val="28"/>
        </w:rPr>
        <w:t xml:space="preserve">Постанову </w:t>
      </w:r>
      <w:r w:rsidR="005F7B57" w:rsidRPr="004C36BC">
        <w:rPr>
          <w:bCs/>
          <w:iCs/>
          <w:sz w:val="28"/>
          <w:szCs w:val="28"/>
        </w:rPr>
        <w:t xml:space="preserve">№ 68 </w:t>
      </w:r>
      <w:r w:rsidR="003E0D81" w:rsidRPr="004C36BC">
        <w:rPr>
          <w:bCs/>
          <w:iCs/>
          <w:sz w:val="28"/>
          <w:szCs w:val="28"/>
        </w:rPr>
        <w:t xml:space="preserve">було </w:t>
      </w:r>
      <w:r w:rsidRPr="004C36BC">
        <w:rPr>
          <w:sz w:val="28"/>
          <w:szCs w:val="28"/>
        </w:rPr>
        <w:t>розроблено</w:t>
      </w:r>
      <w:r w:rsidR="00553E38" w:rsidRPr="004C36BC">
        <w:rPr>
          <w:sz w:val="28"/>
          <w:szCs w:val="28"/>
        </w:rPr>
        <w:t xml:space="preserve"> </w:t>
      </w:r>
      <w:r w:rsidR="00FF7D8C" w:rsidRPr="004C36BC">
        <w:rPr>
          <w:sz w:val="28"/>
          <w:szCs w:val="28"/>
        </w:rPr>
        <w:t>відповідно до</w:t>
      </w:r>
      <w:r w:rsidR="00553E38" w:rsidRPr="004C36BC">
        <w:rPr>
          <w:sz w:val="28"/>
          <w:szCs w:val="28"/>
        </w:rPr>
        <w:t xml:space="preserve"> абзацу</w:t>
      </w:r>
      <w:r w:rsidR="00553E38" w:rsidRPr="004C36BC">
        <w:rPr>
          <w:sz w:val="27"/>
          <w:szCs w:val="27"/>
        </w:rPr>
        <w:t xml:space="preserve"> </w:t>
      </w:r>
      <w:r w:rsidR="005F7B57" w:rsidRPr="004C36BC">
        <w:rPr>
          <w:sz w:val="28"/>
          <w:szCs w:val="28"/>
        </w:rPr>
        <w:t>п’ятнадцятого</w:t>
      </w:r>
      <w:r w:rsidR="00553E38" w:rsidRPr="004C36BC">
        <w:rPr>
          <w:sz w:val="28"/>
          <w:szCs w:val="28"/>
        </w:rPr>
        <w:t xml:space="preserve">  підпункту 200.7.1 пункту 200.7</w:t>
      </w:r>
      <w:r w:rsidR="00553E38" w:rsidRPr="004C36BC">
        <w:rPr>
          <w:sz w:val="27"/>
          <w:szCs w:val="27"/>
        </w:rPr>
        <w:t xml:space="preserve"> </w:t>
      </w:r>
      <w:r w:rsidRPr="004C36BC">
        <w:rPr>
          <w:sz w:val="28"/>
          <w:szCs w:val="28"/>
        </w:rPr>
        <w:t xml:space="preserve">статті 200 розділу V Податкового кодексу України (далі </w:t>
      </w:r>
      <w:r w:rsidR="00FF7D8C" w:rsidRPr="004C36BC">
        <w:rPr>
          <w:sz w:val="28"/>
          <w:szCs w:val="28"/>
        </w:rPr>
        <w:t>–</w:t>
      </w:r>
      <w:r w:rsidRPr="004C36BC">
        <w:rPr>
          <w:sz w:val="28"/>
          <w:szCs w:val="28"/>
        </w:rPr>
        <w:t xml:space="preserve"> </w:t>
      </w:r>
      <w:r w:rsidR="000051C7" w:rsidRPr="004C36BC">
        <w:rPr>
          <w:sz w:val="27"/>
          <w:szCs w:val="27"/>
        </w:rPr>
        <w:t>Кодекс</w:t>
      </w:r>
      <w:r w:rsidRPr="004C36BC">
        <w:rPr>
          <w:sz w:val="28"/>
          <w:szCs w:val="28"/>
        </w:rPr>
        <w:t>)</w:t>
      </w:r>
      <w:r w:rsidR="005F7B57" w:rsidRPr="004C36BC">
        <w:rPr>
          <w:sz w:val="28"/>
          <w:szCs w:val="28"/>
        </w:rPr>
        <w:t>, у редакції, що діяла до 01 січня 2017 року</w:t>
      </w:r>
      <w:r w:rsidR="00B347DC" w:rsidRPr="004C36BC">
        <w:rPr>
          <w:sz w:val="28"/>
          <w:szCs w:val="28"/>
        </w:rPr>
        <w:t>.</w:t>
      </w:r>
    </w:p>
    <w:p w:rsidR="00B347DC" w:rsidRPr="004C36BC" w:rsidRDefault="000051C7" w:rsidP="00262F00">
      <w:pPr>
        <w:ind w:firstLine="720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Постановою</w:t>
      </w:r>
      <w:r w:rsidR="005F7B57" w:rsidRPr="004C36BC">
        <w:rPr>
          <w:sz w:val="28"/>
          <w:szCs w:val="28"/>
        </w:rPr>
        <w:t xml:space="preserve"> №</w:t>
      </w:r>
      <w:r w:rsidR="00262F00" w:rsidRPr="004C36BC">
        <w:rPr>
          <w:sz w:val="28"/>
          <w:szCs w:val="28"/>
        </w:rPr>
        <w:t xml:space="preserve"> 68</w:t>
      </w:r>
      <w:r w:rsidRPr="004C36BC">
        <w:rPr>
          <w:sz w:val="28"/>
          <w:szCs w:val="28"/>
        </w:rPr>
        <w:t xml:space="preserve"> затверджено </w:t>
      </w:r>
      <w:r w:rsidR="00B347DC" w:rsidRPr="004C36BC">
        <w:rPr>
          <w:sz w:val="28"/>
          <w:szCs w:val="28"/>
        </w:rPr>
        <w:t>Порядок</w:t>
      </w:r>
      <w:r w:rsidRPr="004C36BC">
        <w:rPr>
          <w:sz w:val="28"/>
          <w:szCs w:val="28"/>
        </w:rPr>
        <w:t xml:space="preserve">, який </w:t>
      </w:r>
      <w:r w:rsidR="00B347DC" w:rsidRPr="004C36BC">
        <w:rPr>
          <w:sz w:val="28"/>
          <w:szCs w:val="28"/>
        </w:rPr>
        <w:t xml:space="preserve">визначає механізм включення поданих заяв про повернення суми бюджетного відшкодування податку на додану вартість  платниками </w:t>
      </w:r>
      <w:r w:rsidR="00262F00" w:rsidRPr="004C36BC">
        <w:rPr>
          <w:sz w:val="28"/>
          <w:szCs w:val="28"/>
        </w:rPr>
        <w:t>податку на додану вартість</w:t>
      </w:r>
      <w:r w:rsidR="00B347DC" w:rsidRPr="004C36BC">
        <w:rPr>
          <w:sz w:val="28"/>
          <w:szCs w:val="28"/>
        </w:rPr>
        <w:t xml:space="preserve">, які відповідають критеріям, визначеним пунктом 200.19 статті 200 </w:t>
      </w:r>
      <w:r w:rsidRPr="004C36BC">
        <w:rPr>
          <w:sz w:val="28"/>
          <w:szCs w:val="28"/>
        </w:rPr>
        <w:t>Кодекс</w:t>
      </w:r>
      <w:r w:rsidR="00262F00" w:rsidRPr="004C36BC">
        <w:rPr>
          <w:sz w:val="28"/>
          <w:szCs w:val="28"/>
        </w:rPr>
        <w:t xml:space="preserve">у, </w:t>
      </w:r>
      <w:r w:rsidR="00B347DC" w:rsidRPr="004C36BC">
        <w:rPr>
          <w:sz w:val="28"/>
          <w:szCs w:val="28"/>
        </w:rPr>
        <w:t xml:space="preserve"> та платниками податку, які не відповідають таким критеріям, а також внесення до зазначених реєстрів інформації про стан розгляду кожної заяви та опублікування реєстрів.</w:t>
      </w:r>
    </w:p>
    <w:p w:rsidR="006D5633" w:rsidRPr="004C36BC" w:rsidRDefault="006D5633" w:rsidP="000051C7">
      <w:pPr>
        <w:spacing w:before="60" w:after="60"/>
        <w:ind w:firstLine="720"/>
        <w:jc w:val="both"/>
        <w:rPr>
          <w:sz w:val="28"/>
          <w:szCs w:val="28"/>
        </w:rPr>
      </w:pPr>
    </w:p>
    <w:p w:rsidR="006D5633" w:rsidRPr="004C36BC" w:rsidRDefault="00DB3767" w:rsidP="006D5633">
      <w:pPr>
        <w:jc w:val="center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 xml:space="preserve">4. Строк виконання заходів з </w:t>
      </w:r>
      <w:r w:rsidR="00262F00" w:rsidRPr="004C36BC">
        <w:rPr>
          <w:b/>
          <w:bCs/>
          <w:sz w:val="28"/>
          <w:szCs w:val="28"/>
        </w:rPr>
        <w:t>повторного</w:t>
      </w:r>
      <w:r w:rsidRPr="004C36BC">
        <w:rPr>
          <w:b/>
          <w:bCs/>
          <w:sz w:val="28"/>
          <w:szCs w:val="28"/>
        </w:rPr>
        <w:t xml:space="preserve"> відстеження</w:t>
      </w:r>
    </w:p>
    <w:p w:rsidR="00DB3767" w:rsidRPr="004C36BC" w:rsidRDefault="00DB3767" w:rsidP="006D5633">
      <w:pPr>
        <w:jc w:val="center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>резу</w:t>
      </w:r>
      <w:r w:rsidR="005F7B57" w:rsidRPr="004C36BC">
        <w:rPr>
          <w:b/>
          <w:bCs/>
          <w:sz w:val="28"/>
          <w:szCs w:val="28"/>
        </w:rPr>
        <w:t>льтативності регуляторного акт</w:t>
      </w:r>
      <w:r w:rsidR="001F627D" w:rsidRPr="004C36BC">
        <w:rPr>
          <w:b/>
          <w:bCs/>
          <w:sz w:val="28"/>
          <w:szCs w:val="28"/>
        </w:rPr>
        <w:t>у</w:t>
      </w:r>
    </w:p>
    <w:p w:rsidR="00DB3767" w:rsidRPr="004C36BC" w:rsidRDefault="00DB3767" w:rsidP="00DB3767">
      <w:pPr>
        <w:spacing w:before="120"/>
        <w:ind w:firstLine="720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Заходи </w:t>
      </w:r>
      <w:r w:rsidR="006D5633" w:rsidRPr="004C36BC">
        <w:rPr>
          <w:sz w:val="28"/>
          <w:szCs w:val="28"/>
        </w:rPr>
        <w:t xml:space="preserve">повторного </w:t>
      </w:r>
      <w:r w:rsidRPr="004C36BC">
        <w:rPr>
          <w:sz w:val="28"/>
          <w:szCs w:val="28"/>
        </w:rPr>
        <w:t xml:space="preserve">відстеження проводилися протягом </w:t>
      </w:r>
      <w:r w:rsidR="00B27AE4" w:rsidRPr="004C36BC">
        <w:rPr>
          <w:sz w:val="28"/>
          <w:szCs w:val="28"/>
        </w:rPr>
        <w:t>201</w:t>
      </w:r>
      <w:r w:rsidR="00B27AE4" w:rsidRPr="004C36BC">
        <w:rPr>
          <w:sz w:val="28"/>
          <w:szCs w:val="28"/>
          <w:lang w:val="ru-RU"/>
        </w:rPr>
        <w:t>6</w:t>
      </w:r>
      <w:r w:rsidR="00B27AE4" w:rsidRPr="004C36BC">
        <w:rPr>
          <w:sz w:val="28"/>
          <w:szCs w:val="28"/>
        </w:rPr>
        <w:t xml:space="preserve"> року</w:t>
      </w:r>
      <w:r w:rsidR="00B27AE4" w:rsidRPr="004C36BC">
        <w:rPr>
          <w:sz w:val="28"/>
          <w:szCs w:val="28"/>
          <w:lang w:val="ru-RU"/>
        </w:rPr>
        <w:t xml:space="preserve">, </w:t>
      </w:r>
      <w:r w:rsidR="00FF7D8C" w:rsidRPr="004C36BC">
        <w:rPr>
          <w:sz w:val="28"/>
          <w:szCs w:val="28"/>
          <w:lang w:val="ru-RU"/>
        </w:rPr>
        <w:t xml:space="preserve">                     </w:t>
      </w:r>
      <w:r w:rsidRPr="004C36BC">
        <w:rPr>
          <w:sz w:val="28"/>
          <w:szCs w:val="28"/>
        </w:rPr>
        <w:t>січня</w:t>
      </w:r>
      <w:r w:rsidR="00FF7D8C" w:rsidRPr="004C36BC">
        <w:rPr>
          <w:sz w:val="28"/>
          <w:szCs w:val="28"/>
        </w:rPr>
        <w:t>–</w:t>
      </w:r>
      <w:r w:rsidR="000051C7" w:rsidRPr="004C36BC">
        <w:rPr>
          <w:sz w:val="28"/>
          <w:szCs w:val="28"/>
        </w:rPr>
        <w:t xml:space="preserve">лютого </w:t>
      </w:r>
      <w:r w:rsidRPr="004C36BC">
        <w:rPr>
          <w:sz w:val="28"/>
          <w:szCs w:val="28"/>
        </w:rPr>
        <w:t>201</w:t>
      </w:r>
      <w:r w:rsidR="000051C7" w:rsidRPr="004C36BC">
        <w:rPr>
          <w:sz w:val="28"/>
          <w:szCs w:val="28"/>
        </w:rPr>
        <w:t>7</w:t>
      </w:r>
      <w:r w:rsidRPr="004C36BC">
        <w:rPr>
          <w:sz w:val="28"/>
          <w:szCs w:val="28"/>
        </w:rPr>
        <w:t xml:space="preserve"> року.</w:t>
      </w:r>
    </w:p>
    <w:p w:rsidR="00DB3767" w:rsidRPr="004C36BC" w:rsidRDefault="005F7B57" w:rsidP="006D5633">
      <w:pPr>
        <w:spacing w:before="120"/>
        <w:jc w:val="center"/>
        <w:rPr>
          <w:b/>
          <w:sz w:val="28"/>
          <w:szCs w:val="28"/>
        </w:rPr>
      </w:pPr>
      <w:r w:rsidRPr="004C36BC">
        <w:rPr>
          <w:b/>
          <w:sz w:val="28"/>
          <w:szCs w:val="28"/>
        </w:rPr>
        <w:t>5. Тип відстеження</w:t>
      </w:r>
    </w:p>
    <w:p w:rsidR="00DB3767" w:rsidRPr="004C36BC" w:rsidRDefault="005F7B57" w:rsidP="00DB3767">
      <w:pPr>
        <w:spacing w:before="120"/>
        <w:ind w:firstLine="720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П</w:t>
      </w:r>
      <w:r w:rsidR="00DB3767" w:rsidRPr="004C36BC">
        <w:rPr>
          <w:sz w:val="28"/>
          <w:szCs w:val="28"/>
        </w:rPr>
        <w:t>овторне відстеження.</w:t>
      </w:r>
    </w:p>
    <w:p w:rsidR="006D5633" w:rsidRPr="004C36BC" w:rsidRDefault="006D5633" w:rsidP="00DB3767">
      <w:pPr>
        <w:spacing w:before="120"/>
        <w:ind w:firstLine="720"/>
        <w:jc w:val="both"/>
        <w:rPr>
          <w:sz w:val="28"/>
          <w:szCs w:val="28"/>
        </w:rPr>
      </w:pPr>
    </w:p>
    <w:p w:rsidR="006D5633" w:rsidRPr="004C36BC" w:rsidRDefault="006D5633" w:rsidP="006D5633">
      <w:pPr>
        <w:jc w:val="center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 xml:space="preserve">6. Методи одержання результатів, дані та припущення, на основі яких проводилось </w:t>
      </w:r>
      <w:r w:rsidRPr="004C36BC">
        <w:rPr>
          <w:b/>
          <w:sz w:val="28"/>
          <w:szCs w:val="28"/>
        </w:rPr>
        <w:t>повторне</w:t>
      </w:r>
      <w:r w:rsidRPr="004C36BC">
        <w:rPr>
          <w:b/>
          <w:bCs/>
          <w:sz w:val="28"/>
          <w:szCs w:val="28"/>
        </w:rPr>
        <w:t xml:space="preserve"> відстеження результативності регуляторного акт</w:t>
      </w:r>
      <w:r w:rsidR="001F627D" w:rsidRPr="004C36BC">
        <w:rPr>
          <w:b/>
          <w:bCs/>
          <w:sz w:val="28"/>
          <w:szCs w:val="28"/>
        </w:rPr>
        <w:t>у</w:t>
      </w:r>
      <w:r w:rsidRPr="004C36BC">
        <w:rPr>
          <w:b/>
          <w:bCs/>
          <w:sz w:val="28"/>
          <w:szCs w:val="28"/>
        </w:rPr>
        <w:t>, та способи одержання даних</w:t>
      </w:r>
    </w:p>
    <w:p w:rsidR="006D5633" w:rsidRPr="004C36BC" w:rsidRDefault="006D5633" w:rsidP="006D5633">
      <w:pPr>
        <w:jc w:val="center"/>
        <w:rPr>
          <w:rFonts w:ascii="Arial" w:hAnsi="Arial" w:cs="Arial"/>
          <w:b/>
          <w:bCs/>
        </w:rPr>
      </w:pPr>
    </w:p>
    <w:p w:rsidR="00065185" w:rsidRPr="004C36BC" w:rsidRDefault="00651D68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Для проведення повторного відстеження результативності                   постанови № 68 використовувався статистичний метод одержання результатів відстеження.</w:t>
      </w:r>
      <w:r w:rsidR="00065185" w:rsidRPr="004C36BC">
        <w:rPr>
          <w:sz w:val="28"/>
          <w:szCs w:val="28"/>
        </w:rPr>
        <w:t xml:space="preserve"> </w:t>
      </w:r>
    </w:p>
    <w:p w:rsidR="00065185" w:rsidRPr="004C36BC" w:rsidRDefault="00065185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lastRenderedPageBreak/>
        <w:t>Збір статистичних даних проводився шляхом аналізу показників:</w:t>
      </w:r>
    </w:p>
    <w:p w:rsidR="00065185" w:rsidRPr="004C36BC" w:rsidRDefault="00065185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сум </w:t>
      </w:r>
      <w:r w:rsidR="006E521B" w:rsidRPr="004C36BC">
        <w:rPr>
          <w:sz w:val="28"/>
          <w:szCs w:val="28"/>
        </w:rPr>
        <w:t>податку на додану вартість</w:t>
      </w:r>
      <w:r w:rsidR="00EE6E45" w:rsidRPr="004C36BC">
        <w:rPr>
          <w:sz w:val="28"/>
          <w:szCs w:val="28"/>
        </w:rPr>
        <w:t xml:space="preserve"> відшкодованих з державного бюджету</w:t>
      </w:r>
      <w:r w:rsidRPr="004C36BC">
        <w:rPr>
          <w:sz w:val="28"/>
          <w:szCs w:val="28"/>
        </w:rPr>
        <w:t xml:space="preserve">; </w:t>
      </w:r>
    </w:p>
    <w:p w:rsidR="00065185" w:rsidRPr="004C36BC" w:rsidRDefault="00065185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залишку сум </w:t>
      </w:r>
      <w:r w:rsidR="006E521B" w:rsidRPr="004C36BC">
        <w:rPr>
          <w:sz w:val="28"/>
          <w:szCs w:val="28"/>
        </w:rPr>
        <w:t>податку на додану вартість</w:t>
      </w:r>
      <w:r w:rsidRPr="004C36BC">
        <w:rPr>
          <w:sz w:val="28"/>
          <w:szCs w:val="28"/>
        </w:rPr>
        <w:t xml:space="preserve"> задекларованих до бюджетного відшкодування. </w:t>
      </w:r>
    </w:p>
    <w:p w:rsidR="00EE6E45" w:rsidRPr="004C36BC" w:rsidRDefault="00EE6E45" w:rsidP="00EE6E4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Крім того, проаналізовано хронологічний порядок відшкодування, яке проводилось відповідно до черговості подання заявок (в першу чергу сум задекларованих платниками у 2016 році);</w:t>
      </w:r>
    </w:p>
    <w:p w:rsidR="00651D68" w:rsidRPr="004C36BC" w:rsidRDefault="00651D68" w:rsidP="00651D68">
      <w:pPr>
        <w:spacing w:after="120"/>
        <w:ind w:firstLine="540"/>
        <w:jc w:val="both"/>
        <w:rPr>
          <w:sz w:val="28"/>
          <w:szCs w:val="28"/>
        </w:rPr>
      </w:pPr>
    </w:p>
    <w:p w:rsidR="006D5633" w:rsidRPr="004C36BC" w:rsidRDefault="006D5633" w:rsidP="00A35AF1">
      <w:pPr>
        <w:ind w:firstLine="708"/>
        <w:jc w:val="both"/>
        <w:rPr>
          <w:sz w:val="28"/>
          <w:szCs w:val="28"/>
        </w:rPr>
      </w:pPr>
    </w:p>
    <w:p w:rsidR="006D5633" w:rsidRPr="004C36BC" w:rsidRDefault="00DB3767" w:rsidP="00651D68">
      <w:pPr>
        <w:ind w:firstLine="708"/>
        <w:jc w:val="both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 xml:space="preserve">7. Кількісні та якісні значення показників результативності </w:t>
      </w:r>
      <w:r w:rsidR="006D5633" w:rsidRPr="004C36BC">
        <w:rPr>
          <w:b/>
          <w:bCs/>
          <w:sz w:val="28"/>
          <w:szCs w:val="28"/>
        </w:rPr>
        <w:t>акт</w:t>
      </w:r>
      <w:r w:rsidR="001F627D" w:rsidRPr="004C36BC">
        <w:rPr>
          <w:b/>
          <w:bCs/>
          <w:sz w:val="28"/>
          <w:szCs w:val="28"/>
        </w:rPr>
        <w:t>у</w:t>
      </w:r>
    </w:p>
    <w:p w:rsidR="00E02240" w:rsidRPr="004C36BC" w:rsidRDefault="00B27AE4" w:rsidP="00651D68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  <w:lang w:val="ru-RU"/>
        </w:rPr>
        <w:t>У</w:t>
      </w:r>
      <w:r w:rsidR="00E02240" w:rsidRPr="004C36BC">
        <w:rPr>
          <w:sz w:val="28"/>
          <w:szCs w:val="28"/>
        </w:rPr>
        <w:t xml:space="preserve"> 2016 році (станом на 01.01.2017) відшкодовано</w:t>
      </w:r>
      <w:r w:rsidR="00AC0984" w:rsidRPr="004C36BC">
        <w:rPr>
          <w:sz w:val="28"/>
          <w:szCs w:val="28"/>
        </w:rPr>
        <w:t xml:space="preserve"> подат</w:t>
      </w:r>
      <w:r w:rsidR="003E0D81" w:rsidRPr="004C36BC">
        <w:rPr>
          <w:sz w:val="28"/>
          <w:szCs w:val="28"/>
        </w:rPr>
        <w:t>ку</w:t>
      </w:r>
      <w:r w:rsidR="00AC0984" w:rsidRPr="004C36BC">
        <w:rPr>
          <w:sz w:val="28"/>
          <w:szCs w:val="28"/>
        </w:rPr>
        <w:t xml:space="preserve"> на додану вартість</w:t>
      </w:r>
      <w:r w:rsidR="00E02240" w:rsidRPr="004C36BC">
        <w:rPr>
          <w:sz w:val="28"/>
          <w:szCs w:val="28"/>
        </w:rPr>
        <w:t xml:space="preserve"> коштами </w:t>
      </w:r>
      <w:r w:rsidR="00AC0984" w:rsidRPr="004C36BC">
        <w:rPr>
          <w:sz w:val="28"/>
          <w:szCs w:val="28"/>
        </w:rPr>
        <w:t xml:space="preserve">в сумі </w:t>
      </w:r>
      <w:r w:rsidR="00E02240" w:rsidRPr="004C36BC">
        <w:rPr>
          <w:sz w:val="28"/>
          <w:szCs w:val="28"/>
        </w:rPr>
        <w:t xml:space="preserve">94,4 млрд. грн., </w:t>
      </w:r>
      <w:r w:rsidR="004D414B" w:rsidRPr="004C36BC">
        <w:rPr>
          <w:sz w:val="28"/>
          <w:szCs w:val="28"/>
        </w:rPr>
        <w:t xml:space="preserve">що </w:t>
      </w:r>
      <w:proofErr w:type="gramStart"/>
      <w:r w:rsidR="00E02240" w:rsidRPr="004C36BC">
        <w:rPr>
          <w:sz w:val="28"/>
          <w:szCs w:val="28"/>
        </w:rPr>
        <w:t>на</w:t>
      </w:r>
      <w:proofErr w:type="gramEnd"/>
      <w:r w:rsidR="00E02240" w:rsidRPr="004C36BC">
        <w:rPr>
          <w:sz w:val="28"/>
          <w:szCs w:val="28"/>
        </w:rPr>
        <w:t xml:space="preserve"> 38 </w:t>
      </w:r>
      <w:proofErr w:type="spellStart"/>
      <w:r w:rsidR="00E02240" w:rsidRPr="004C36BC">
        <w:rPr>
          <w:sz w:val="28"/>
          <w:szCs w:val="28"/>
        </w:rPr>
        <w:t>відс</w:t>
      </w:r>
      <w:proofErr w:type="spellEnd"/>
      <w:r w:rsidR="00E02240" w:rsidRPr="004C36BC">
        <w:rPr>
          <w:sz w:val="28"/>
          <w:szCs w:val="28"/>
        </w:rPr>
        <w:t>.</w:t>
      </w:r>
      <w:r w:rsidR="00FF7D8C" w:rsidRPr="004C36BC">
        <w:rPr>
          <w:sz w:val="28"/>
          <w:szCs w:val="28"/>
        </w:rPr>
        <w:t>,</w:t>
      </w:r>
      <w:r w:rsidR="00E02240" w:rsidRPr="004C36BC">
        <w:rPr>
          <w:sz w:val="28"/>
          <w:szCs w:val="28"/>
        </w:rPr>
        <w:t xml:space="preserve"> або на 26,0 млрд. грн., більше ніж у 2015 році (68,4 млрд. грн.). </w:t>
      </w:r>
    </w:p>
    <w:p w:rsidR="00E02240" w:rsidRPr="004C36BC" w:rsidRDefault="00E02240" w:rsidP="00651D68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Середньомісячне відшкодування </w:t>
      </w:r>
      <w:r w:rsidR="00AC0984" w:rsidRPr="004C36BC">
        <w:rPr>
          <w:sz w:val="28"/>
          <w:szCs w:val="28"/>
        </w:rPr>
        <w:t xml:space="preserve">податку на додану вартість </w:t>
      </w:r>
      <w:r w:rsidRPr="004C36BC">
        <w:rPr>
          <w:sz w:val="28"/>
          <w:szCs w:val="28"/>
        </w:rPr>
        <w:t xml:space="preserve">коштами у 2016 році зросло більш ніж на два мільярди порівняно з 2015 роком </w:t>
      </w:r>
      <w:r w:rsidR="00AC0984" w:rsidRPr="004C36BC">
        <w:rPr>
          <w:sz w:val="28"/>
          <w:szCs w:val="28"/>
        </w:rPr>
        <w:t xml:space="preserve">                     </w:t>
      </w:r>
      <w:r w:rsidRPr="004C36BC">
        <w:rPr>
          <w:sz w:val="28"/>
          <w:szCs w:val="28"/>
        </w:rPr>
        <w:t>(7,9 млрд. грн. станом на 01.01.2017 проти 5,7 млрд. грн. станом на 01.01.2016).</w:t>
      </w:r>
    </w:p>
    <w:p w:rsidR="00B27AE4" w:rsidRPr="004C36BC" w:rsidRDefault="00B27AE4" w:rsidP="00651D68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У</w:t>
      </w:r>
      <w:r w:rsidR="00E02240" w:rsidRPr="004C36BC">
        <w:rPr>
          <w:sz w:val="28"/>
          <w:szCs w:val="28"/>
        </w:rPr>
        <w:t xml:space="preserve"> 2017 році зберігається позитивна тенденція </w:t>
      </w:r>
      <w:r w:rsidR="00FF7D8C" w:rsidRPr="004C36BC">
        <w:rPr>
          <w:sz w:val="28"/>
          <w:szCs w:val="28"/>
        </w:rPr>
        <w:t xml:space="preserve">до </w:t>
      </w:r>
      <w:r w:rsidR="00E02240" w:rsidRPr="004C36BC">
        <w:rPr>
          <w:sz w:val="28"/>
          <w:szCs w:val="28"/>
        </w:rPr>
        <w:t>збільшення відшкодованих</w:t>
      </w:r>
      <w:r w:rsidR="00AC0984" w:rsidRPr="004C36BC">
        <w:rPr>
          <w:sz w:val="28"/>
          <w:szCs w:val="28"/>
        </w:rPr>
        <w:t xml:space="preserve"> сум податку на додану вартість, що сприяє погашенню</w:t>
      </w:r>
      <w:r w:rsidR="00E02240" w:rsidRPr="004C36BC">
        <w:rPr>
          <w:sz w:val="28"/>
          <w:szCs w:val="28"/>
        </w:rPr>
        <w:t xml:space="preserve"> </w:t>
      </w:r>
      <w:r w:rsidR="00AC0984" w:rsidRPr="004C36BC">
        <w:rPr>
          <w:sz w:val="28"/>
          <w:szCs w:val="28"/>
        </w:rPr>
        <w:t xml:space="preserve">раніше заявлених до бюджетного відшкодування </w:t>
      </w:r>
      <w:r w:rsidR="00E02240" w:rsidRPr="004C36BC">
        <w:rPr>
          <w:sz w:val="28"/>
          <w:szCs w:val="28"/>
        </w:rPr>
        <w:t xml:space="preserve">сум </w:t>
      </w:r>
      <w:r w:rsidR="00AC0984" w:rsidRPr="004C36BC">
        <w:rPr>
          <w:sz w:val="28"/>
          <w:szCs w:val="28"/>
        </w:rPr>
        <w:t>податку</w:t>
      </w:r>
      <w:r w:rsidR="00E02240" w:rsidRPr="004C36BC">
        <w:rPr>
          <w:sz w:val="28"/>
          <w:szCs w:val="28"/>
        </w:rPr>
        <w:t xml:space="preserve">, </w:t>
      </w:r>
      <w:r w:rsidR="00AC0984" w:rsidRPr="004C36BC">
        <w:rPr>
          <w:sz w:val="28"/>
          <w:szCs w:val="28"/>
        </w:rPr>
        <w:t xml:space="preserve">які </w:t>
      </w:r>
      <w:r w:rsidR="00E02240" w:rsidRPr="004C36BC">
        <w:rPr>
          <w:sz w:val="28"/>
          <w:szCs w:val="28"/>
        </w:rPr>
        <w:t xml:space="preserve">також </w:t>
      </w:r>
      <w:r w:rsidR="00AC0984" w:rsidRPr="004C36BC">
        <w:rPr>
          <w:sz w:val="28"/>
          <w:szCs w:val="28"/>
        </w:rPr>
        <w:t xml:space="preserve">відшкодовуються </w:t>
      </w:r>
      <w:r w:rsidR="00E02240" w:rsidRPr="004C36BC">
        <w:rPr>
          <w:sz w:val="28"/>
          <w:szCs w:val="28"/>
        </w:rPr>
        <w:t>у хронологічному порядку відповідно до черговості</w:t>
      </w:r>
      <w:r w:rsidR="003E0D81" w:rsidRPr="004C36BC">
        <w:rPr>
          <w:sz w:val="28"/>
          <w:szCs w:val="28"/>
        </w:rPr>
        <w:t xml:space="preserve"> їх заявок</w:t>
      </w:r>
      <w:r w:rsidR="004D414B" w:rsidRPr="004C36BC">
        <w:rPr>
          <w:sz w:val="28"/>
          <w:szCs w:val="28"/>
        </w:rPr>
        <w:t>.</w:t>
      </w:r>
      <w:r w:rsidR="00E02240" w:rsidRPr="004C36BC">
        <w:rPr>
          <w:sz w:val="28"/>
          <w:szCs w:val="28"/>
        </w:rPr>
        <w:t xml:space="preserve"> </w:t>
      </w:r>
    </w:p>
    <w:p w:rsidR="00E02240" w:rsidRPr="004C36BC" w:rsidRDefault="00E02240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З початку 2017 року (станом на 01.03.2017) відшкодовано </w:t>
      </w:r>
      <w:r w:rsidR="00AC0984" w:rsidRPr="004C36BC">
        <w:rPr>
          <w:sz w:val="28"/>
          <w:szCs w:val="28"/>
        </w:rPr>
        <w:t xml:space="preserve">податку на додану вартість </w:t>
      </w:r>
      <w:r w:rsidRPr="004C36BC">
        <w:rPr>
          <w:sz w:val="28"/>
          <w:szCs w:val="28"/>
        </w:rPr>
        <w:t xml:space="preserve">коштами 17,0 млрд. грн., </w:t>
      </w:r>
      <w:r w:rsidR="00AC0984" w:rsidRPr="004C36BC">
        <w:rPr>
          <w:sz w:val="28"/>
          <w:szCs w:val="28"/>
        </w:rPr>
        <w:t xml:space="preserve">що </w:t>
      </w:r>
      <w:r w:rsidRPr="004C36BC">
        <w:rPr>
          <w:sz w:val="28"/>
          <w:szCs w:val="28"/>
        </w:rPr>
        <w:t>на 1,1 млрд. грн., більше</w:t>
      </w:r>
      <w:r w:rsidR="00AC0984" w:rsidRPr="004C36BC">
        <w:rPr>
          <w:sz w:val="28"/>
          <w:szCs w:val="28"/>
        </w:rPr>
        <w:t>,</w:t>
      </w:r>
      <w:r w:rsidRPr="004C36BC">
        <w:rPr>
          <w:sz w:val="28"/>
          <w:szCs w:val="28"/>
        </w:rPr>
        <w:t xml:space="preserve"> ніж за аналогічний період </w:t>
      </w:r>
      <w:r w:rsidR="00B27AE4" w:rsidRPr="004C36BC">
        <w:rPr>
          <w:sz w:val="28"/>
          <w:szCs w:val="28"/>
          <w:lang w:val="ru-RU"/>
        </w:rPr>
        <w:t>2016</w:t>
      </w:r>
      <w:r w:rsidRPr="004C36BC">
        <w:rPr>
          <w:sz w:val="28"/>
          <w:szCs w:val="28"/>
        </w:rPr>
        <w:t xml:space="preserve"> року (15,9 млрд. грн.). </w:t>
      </w:r>
    </w:p>
    <w:p w:rsidR="00B27AE4" w:rsidRPr="004C36BC" w:rsidRDefault="00B27AE4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Середньомісячне відшкодування </w:t>
      </w:r>
      <w:r w:rsidR="001F627D" w:rsidRPr="004C36BC">
        <w:rPr>
          <w:sz w:val="28"/>
          <w:szCs w:val="28"/>
        </w:rPr>
        <w:t>податку на додану вартість</w:t>
      </w:r>
      <w:r w:rsidRPr="004C36BC">
        <w:rPr>
          <w:sz w:val="28"/>
          <w:szCs w:val="28"/>
        </w:rPr>
        <w:t xml:space="preserve"> коштами у 2017 році більше</w:t>
      </w:r>
      <w:r w:rsidR="001F627D" w:rsidRPr="004C36BC">
        <w:rPr>
          <w:sz w:val="28"/>
          <w:szCs w:val="28"/>
        </w:rPr>
        <w:t>,</w:t>
      </w:r>
      <w:r w:rsidRPr="004C36BC">
        <w:rPr>
          <w:sz w:val="28"/>
          <w:szCs w:val="28"/>
        </w:rPr>
        <w:t xml:space="preserve"> ніж у 2016 році на 0,6 млн. грн., (8,5 </w:t>
      </w:r>
      <w:r w:rsidR="00C72E0F" w:rsidRPr="004C36BC">
        <w:rPr>
          <w:sz w:val="28"/>
          <w:szCs w:val="28"/>
        </w:rPr>
        <w:t>млрд. грн. станом на 01.03</w:t>
      </w:r>
      <w:r w:rsidRPr="004C36BC">
        <w:rPr>
          <w:sz w:val="28"/>
          <w:szCs w:val="28"/>
        </w:rPr>
        <w:t>.2017 проти 7,9  млрд. грн. станом на 01.01.2016).</w:t>
      </w:r>
    </w:p>
    <w:p w:rsidR="006D5633" w:rsidRPr="004C36BC" w:rsidRDefault="00FF7D8C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Проте</w:t>
      </w:r>
      <w:r w:rsidR="006D5633" w:rsidRPr="004C36BC">
        <w:rPr>
          <w:sz w:val="28"/>
          <w:szCs w:val="28"/>
        </w:rPr>
        <w:t xml:space="preserve"> існує ряд об’єктивних факторів, які унеможливлюють забезпечення повної ліквідації заборгованості із відшкодування </w:t>
      </w:r>
      <w:r w:rsidR="001F627D" w:rsidRPr="004C36BC">
        <w:rPr>
          <w:sz w:val="28"/>
          <w:szCs w:val="28"/>
        </w:rPr>
        <w:t>податку на додану вартість</w:t>
      </w:r>
      <w:r w:rsidR="006D5633" w:rsidRPr="004C36BC">
        <w:rPr>
          <w:sz w:val="28"/>
          <w:szCs w:val="28"/>
        </w:rPr>
        <w:t xml:space="preserve">, а саме: наявність судових спорів; необхідність перевірок за нововиявленими обставинами (інформація правоохоронних органів); відсутність можливостей для перевірки, зокрема по взаємовідносинах платників із підприємствами, що зареєстровані на території в зоні проведення </w:t>
      </w:r>
      <w:r w:rsidR="00065185" w:rsidRPr="004C36BC">
        <w:rPr>
          <w:sz w:val="28"/>
          <w:szCs w:val="28"/>
        </w:rPr>
        <w:t>антитерористичної операції</w:t>
      </w:r>
      <w:r w:rsidR="006D5633" w:rsidRPr="004C36BC">
        <w:rPr>
          <w:sz w:val="28"/>
          <w:szCs w:val="28"/>
        </w:rPr>
        <w:t xml:space="preserve"> </w:t>
      </w:r>
      <w:r w:rsidR="001F627D" w:rsidRPr="004C36BC">
        <w:rPr>
          <w:sz w:val="28"/>
          <w:szCs w:val="28"/>
        </w:rPr>
        <w:t xml:space="preserve"> або</w:t>
      </w:r>
      <w:r w:rsidR="006D5633" w:rsidRPr="004C36BC">
        <w:rPr>
          <w:sz w:val="28"/>
          <w:szCs w:val="28"/>
        </w:rPr>
        <w:t xml:space="preserve"> перереєстровані з непідконтрольної Україні території. </w:t>
      </w:r>
    </w:p>
    <w:p w:rsidR="008637C9" w:rsidRPr="004C36BC" w:rsidRDefault="006D5633" w:rsidP="00065185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Так, </w:t>
      </w:r>
      <w:r w:rsidR="00065185" w:rsidRPr="004C36BC">
        <w:rPr>
          <w:sz w:val="28"/>
          <w:szCs w:val="28"/>
        </w:rPr>
        <w:t xml:space="preserve">станом </w:t>
      </w:r>
      <w:r w:rsidRPr="004C36BC">
        <w:rPr>
          <w:sz w:val="28"/>
          <w:szCs w:val="28"/>
        </w:rPr>
        <w:t xml:space="preserve">на 01.03.2017 залишок сум </w:t>
      </w:r>
      <w:r w:rsidR="001F627D" w:rsidRPr="004C36BC">
        <w:rPr>
          <w:sz w:val="28"/>
          <w:szCs w:val="28"/>
        </w:rPr>
        <w:t xml:space="preserve">податку на додану вартість </w:t>
      </w:r>
      <w:r w:rsidRPr="004C36BC">
        <w:rPr>
          <w:sz w:val="28"/>
          <w:szCs w:val="28"/>
        </w:rPr>
        <w:t xml:space="preserve">задекларованих до бюджетного відшкодування </w:t>
      </w:r>
      <w:r w:rsidR="00AC0984" w:rsidRPr="004C36BC">
        <w:rPr>
          <w:sz w:val="28"/>
          <w:szCs w:val="28"/>
        </w:rPr>
        <w:t>становить</w:t>
      </w:r>
      <w:r w:rsidRPr="004C36BC">
        <w:rPr>
          <w:sz w:val="28"/>
          <w:szCs w:val="28"/>
        </w:rPr>
        <w:t xml:space="preserve"> 16,2 млрд. грн.</w:t>
      </w:r>
      <w:r w:rsidR="001F627D" w:rsidRPr="004C36BC">
        <w:rPr>
          <w:sz w:val="28"/>
          <w:szCs w:val="28"/>
        </w:rPr>
        <w:t>(</w:t>
      </w:r>
      <w:r w:rsidRPr="004C36BC">
        <w:rPr>
          <w:sz w:val="28"/>
          <w:szCs w:val="28"/>
        </w:rPr>
        <w:t xml:space="preserve">що </w:t>
      </w:r>
      <w:r w:rsidR="003E0D81" w:rsidRPr="004C36BC">
        <w:rPr>
          <w:sz w:val="28"/>
          <w:szCs w:val="28"/>
        </w:rPr>
        <w:t>дорівнює</w:t>
      </w:r>
      <w:r w:rsidRPr="004C36BC">
        <w:rPr>
          <w:sz w:val="28"/>
          <w:szCs w:val="28"/>
        </w:rPr>
        <w:t xml:space="preserve"> сумі</w:t>
      </w:r>
      <w:r w:rsidR="001F627D" w:rsidRPr="004C36BC">
        <w:rPr>
          <w:sz w:val="28"/>
          <w:szCs w:val="28"/>
        </w:rPr>
        <w:t>,</w:t>
      </w:r>
      <w:r w:rsidRPr="004C36BC">
        <w:rPr>
          <w:sz w:val="28"/>
          <w:szCs w:val="28"/>
        </w:rPr>
        <w:t xml:space="preserve"> заявленій до відшкодування за останні два місяці (з них </w:t>
      </w:r>
      <w:r w:rsidR="001F627D" w:rsidRPr="004C36BC">
        <w:rPr>
          <w:sz w:val="28"/>
          <w:szCs w:val="28"/>
        </w:rPr>
        <w:t xml:space="preserve">              </w:t>
      </w:r>
      <w:r w:rsidRPr="004C36BC">
        <w:rPr>
          <w:sz w:val="28"/>
          <w:szCs w:val="28"/>
        </w:rPr>
        <w:t xml:space="preserve">0,7 млрд. грн. невідшкодовані </w:t>
      </w:r>
      <w:r w:rsidR="001F627D" w:rsidRPr="004C36BC">
        <w:rPr>
          <w:sz w:val="28"/>
          <w:szCs w:val="28"/>
        </w:rPr>
        <w:t>К</w:t>
      </w:r>
      <w:r w:rsidRPr="004C36BC">
        <w:rPr>
          <w:sz w:val="28"/>
          <w:szCs w:val="28"/>
        </w:rPr>
        <w:t>азначейством на вимогу правоохоронних органів)</w:t>
      </w:r>
      <w:r w:rsidR="001F627D" w:rsidRPr="004C36BC">
        <w:rPr>
          <w:sz w:val="28"/>
          <w:szCs w:val="28"/>
        </w:rPr>
        <w:t>)</w:t>
      </w:r>
      <w:r w:rsidRPr="004C36BC">
        <w:rPr>
          <w:sz w:val="28"/>
          <w:szCs w:val="28"/>
        </w:rPr>
        <w:t xml:space="preserve">, з якого – 1,9 млрд. грн. </w:t>
      </w:r>
      <w:proofErr w:type="spellStart"/>
      <w:r w:rsidRPr="004C36BC">
        <w:rPr>
          <w:sz w:val="28"/>
          <w:szCs w:val="28"/>
        </w:rPr>
        <w:t>протерміновані</w:t>
      </w:r>
      <w:proofErr w:type="spellEnd"/>
      <w:r w:rsidRPr="004C36BC">
        <w:rPr>
          <w:sz w:val="28"/>
          <w:szCs w:val="28"/>
        </w:rPr>
        <w:t xml:space="preserve"> суми </w:t>
      </w:r>
      <w:r w:rsidR="001F627D" w:rsidRPr="004C36BC">
        <w:rPr>
          <w:sz w:val="28"/>
          <w:szCs w:val="28"/>
        </w:rPr>
        <w:t>податку на додану вартість</w:t>
      </w:r>
      <w:r w:rsidRPr="004C36BC">
        <w:rPr>
          <w:sz w:val="28"/>
          <w:szCs w:val="28"/>
        </w:rPr>
        <w:t xml:space="preserve"> (з них 0,2 млрд. грн. невідшкодовані </w:t>
      </w:r>
      <w:r w:rsidR="001F627D" w:rsidRPr="004C36BC">
        <w:rPr>
          <w:sz w:val="28"/>
          <w:szCs w:val="28"/>
        </w:rPr>
        <w:t>К</w:t>
      </w:r>
      <w:r w:rsidRPr="004C36BC">
        <w:rPr>
          <w:sz w:val="28"/>
          <w:szCs w:val="28"/>
        </w:rPr>
        <w:t>азначейством на вимогу правоохоронних органів).</w:t>
      </w:r>
    </w:p>
    <w:p w:rsidR="006E521B" w:rsidRPr="004C36BC" w:rsidRDefault="006E521B" w:rsidP="00065185">
      <w:pPr>
        <w:ind w:firstLine="567"/>
        <w:jc w:val="both"/>
        <w:rPr>
          <w:sz w:val="28"/>
          <w:szCs w:val="28"/>
        </w:rPr>
      </w:pPr>
    </w:p>
    <w:p w:rsidR="00065185" w:rsidRPr="004C36BC" w:rsidRDefault="00065185" w:rsidP="00065185">
      <w:pPr>
        <w:ind w:firstLine="567"/>
        <w:jc w:val="both"/>
        <w:rPr>
          <w:sz w:val="28"/>
          <w:szCs w:val="28"/>
        </w:rPr>
      </w:pPr>
    </w:p>
    <w:p w:rsidR="008637C9" w:rsidRPr="004C36BC" w:rsidRDefault="006D5633" w:rsidP="00065185">
      <w:pPr>
        <w:ind w:firstLine="567"/>
        <w:jc w:val="both"/>
        <w:rPr>
          <w:b/>
          <w:bCs/>
          <w:sz w:val="28"/>
          <w:szCs w:val="28"/>
        </w:rPr>
      </w:pPr>
      <w:r w:rsidRPr="004C36BC">
        <w:rPr>
          <w:sz w:val="28"/>
          <w:szCs w:val="28"/>
        </w:rPr>
        <w:t xml:space="preserve"> </w:t>
      </w:r>
      <w:r w:rsidR="008637C9" w:rsidRPr="004C36BC">
        <w:rPr>
          <w:b/>
          <w:bCs/>
          <w:sz w:val="28"/>
          <w:szCs w:val="28"/>
        </w:rPr>
        <w:t>8. Оцінка результатів реалізації регуляторного акт</w:t>
      </w:r>
      <w:r w:rsidR="001F627D" w:rsidRPr="004C36BC">
        <w:rPr>
          <w:b/>
          <w:bCs/>
          <w:sz w:val="28"/>
          <w:szCs w:val="28"/>
        </w:rPr>
        <w:t>у</w:t>
      </w:r>
      <w:r w:rsidR="008637C9" w:rsidRPr="004C36BC">
        <w:rPr>
          <w:b/>
          <w:bCs/>
          <w:sz w:val="28"/>
          <w:szCs w:val="28"/>
        </w:rPr>
        <w:t xml:space="preserve"> та ступеня досягнення визначених цілей</w:t>
      </w:r>
    </w:p>
    <w:p w:rsidR="00065185" w:rsidRPr="004C36BC" w:rsidRDefault="001F627D" w:rsidP="006E521B">
      <w:pPr>
        <w:ind w:firstLine="567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П</w:t>
      </w:r>
      <w:r w:rsidR="00065185" w:rsidRPr="004C36BC">
        <w:rPr>
          <w:sz w:val="28"/>
          <w:szCs w:val="28"/>
        </w:rPr>
        <w:t xml:space="preserve">роведений аналіз свідчить, що за  період </w:t>
      </w:r>
      <w:r w:rsidR="003E0D81" w:rsidRPr="004C36BC">
        <w:rPr>
          <w:sz w:val="28"/>
          <w:szCs w:val="28"/>
        </w:rPr>
        <w:t xml:space="preserve">проведення заходів з повторного відстеження </w:t>
      </w:r>
      <w:r w:rsidR="00EE6E45" w:rsidRPr="004C36BC">
        <w:rPr>
          <w:sz w:val="28"/>
          <w:szCs w:val="28"/>
        </w:rPr>
        <w:t xml:space="preserve">результативності постанови № 68 </w:t>
      </w:r>
      <w:r w:rsidR="00065185" w:rsidRPr="004C36BC">
        <w:rPr>
          <w:sz w:val="28"/>
          <w:szCs w:val="28"/>
        </w:rPr>
        <w:t>спостерігається  поліпшення процесу відшкодування податку</w:t>
      </w:r>
      <w:r w:rsidRPr="004C36BC">
        <w:rPr>
          <w:sz w:val="28"/>
          <w:szCs w:val="28"/>
        </w:rPr>
        <w:t xml:space="preserve"> на додану вартість</w:t>
      </w:r>
      <w:r w:rsidR="00065185" w:rsidRPr="004C36BC">
        <w:rPr>
          <w:sz w:val="28"/>
          <w:szCs w:val="28"/>
        </w:rPr>
        <w:t xml:space="preserve"> з </w:t>
      </w:r>
      <w:r w:rsidR="003E0D81" w:rsidRPr="004C36BC">
        <w:rPr>
          <w:sz w:val="28"/>
          <w:szCs w:val="28"/>
        </w:rPr>
        <w:t xml:space="preserve">державного </w:t>
      </w:r>
      <w:r w:rsidR="00065185" w:rsidRPr="004C36BC">
        <w:rPr>
          <w:sz w:val="28"/>
          <w:szCs w:val="28"/>
        </w:rPr>
        <w:t xml:space="preserve">бюджету. </w:t>
      </w:r>
    </w:p>
    <w:p w:rsidR="00D7662E" w:rsidRPr="004C36BC" w:rsidRDefault="00D7662E" w:rsidP="006E521B">
      <w:pPr>
        <w:ind w:firstLine="539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Враховуючи позитивну динаміку </w:t>
      </w:r>
      <w:r w:rsidR="001F627D" w:rsidRPr="004C36BC">
        <w:rPr>
          <w:sz w:val="28"/>
          <w:szCs w:val="28"/>
        </w:rPr>
        <w:t>у процесі відшкодування податку на додану вартість</w:t>
      </w:r>
      <w:r w:rsidRPr="004C36BC">
        <w:rPr>
          <w:sz w:val="28"/>
          <w:szCs w:val="28"/>
        </w:rPr>
        <w:t xml:space="preserve">, слід зазначити, що рівень поінформованості зареєстрованих платниками </w:t>
      </w:r>
      <w:r w:rsidR="001F627D" w:rsidRPr="004C36BC">
        <w:rPr>
          <w:sz w:val="28"/>
          <w:szCs w:val="28"/>
        </w:rPr>
        <w:t xml:space="preserve">податку на додану вартість </w:t>
      </w:r>
      <w:r w:rsidRPr="004C36BC">
        <w:rPr>
          <w:sz w:val="28"/>
          <w:szCs w:val="28"/>
        </w:rPr>
        <w:t xml:space="preserve">суб’єктів господарювання щодо основних положень </w:t>
      </w:r>
      <w:r w:rsidR="001F627D" w:rsidRPr="004C36BC">
        <w:rPr>
          <w:sz w:val="28"/>
          <w:szCs w:val="28"/>
        </w:rPr>
        <w:t>постанови № 68</w:t>
      </w:r>
      <w:r w:rsidRPr="004C36BC">
        <w:rPr>
          <w:sz w:val="28"/>
          <w:szCs w:val="28"/>
        </w:rPr>
        <w:t xml:space="preserve"> та рівень дотримання </w:t>
      </w:r>
      <w:r w:rsidR="001F627D" w:rsidRPr="004C36BC">
        <w:rPr>
          <w:sz w:val="28"/>
          <w:szCs w:val="28"/>
        </w:rPr>
        <w:t>її</w:t>
      </w:r>
      <w:r w:rsidRPr="004C36BC">
        <w:rPr>
          <w:sz w:val="28"/>
          <w:szCs w:val="28"/>
        </w:rPr>
        <w:t xml:space="preserve"> вимог є високим. </w:t>
      </w:r>
    </w:p>
    <w:p w:rsidR="003E0D81" w:rsidRPr="004C36BC" w:rsidRDefault="003E0D81" w:rsidP="006E521B">
      <w:pPr>
        <w:ind w:firstLine="539"/>
        <w:jc w:val="both"/>
        <w:rPr>
          <w:sz w:val="28"/>
          <w:szCs w:val="28"/>
        </w:rPr>
      </w:pPr>
      <w:r w:rsidRPr="004C36BC">
        <w:rPr>
          <w:sz w:val="28"/>
          <w:szCs w:val="28"/>
        </w:rPr>
        <w:t>Разом з цим,</w:t>
      </w:r>
      <w:r w:rsidR="00F74B6E" w:rsidRPr="004C36BC">
        <w:rPr>
          <w:sz w:val="28"/>
          <w:szCs w:val="28"/>
        </w:rPr>
        <w:t xml:space="preserve"> з зв’язку із змінами</w:t>
      </w:r>
      <w:r w:rsidR="009F3588" w:rsidRPr="004C36BC">
        <w:rPr>
          <w:sz w:val="28"/>
          <w:szCs w:val="28"/>
        </w:rPr>
        <w:t>,</w:t>
      </w:r>
      <w:r w:rsidR="00F74B6E" w:rsidRPr="004C36BC">
        <w:rPr>
          <w:sz w:val="28"/>
          <w:szCs w:val="28"/>
        </w:rPr>
        <w:t xml:space="preserve"> внесеними до Кодексу </w:t>
      </w:r>
      <w:r w:rsidR="009F3588" w:rsidRPr="004C36BC">
        <w:rPr>
          <w:sz w:val="28"/>
          <w:szCs w:val="28"/>
        </w:rPr>
        <w:t xml:space="preserve">Законом України </w:t>
      </w:r>
      <w:r w:rsidR="009F3588" w:rsidRPr="004C36BC">
        <w:rPr>
          <w:bCs/>
          <w:sz w:val="28"/>
          <w:szCs w:val="28"/>
        </w:rPr>
        <w:t>від 21 грудня 2016 року № 1797-VIІI</w:t>
      </w:r>
      <w:r w:rsidR="009F3588" w:rsidRPr="004C36BC">
        <w:rPr>
          <w:bCs/>
          <w:i/>
          <w:sz w:val="28"/>
          <w:szCs w:val="28"/>
        </w:rPr>
        <w:t xml:space="preserve"> </w:t>
      </w:r>
      <w:r w:rsidR="009F3588" w:rsidRPr="004C36BC">
        <w:rPr>
          <w:bCs/>
          <w:sz w:val="28"/>
          <w:szCs w:val="28"/>
        </w:rPr>
        <w:t>«</w:t>
      </w:r>
      <w:r w:rsidR="009F3588" w:rsidRPr="004C36BC">
        <w:rPr>
          <w:sz w:val="28"/>
          <w:szCs w:val="28"/>
        </w:rPr>
        <w:t>Про внесення змін до Податкового кодексу України (щодо покращення інвестиційного клімату України)»,</w:t>
      </w:r>
      <w:r w:rsidRPr="004C36BC">
        <w:rPr>
          <w:sz w:val="28"/>
          <w:szCs w:val="28"/>
        </w:rPr>
        <w:t xml:space="preserve"> </w:t>
      </w:r>
      <w:r w:rsidR="00F86178" w:rsidRPr="004C36BC">
        <w:rPr>
          <w:sz w:val="28"/>
          <w:szCs w:val="28"/>
        </w:rPr>
        <w:t xml:space="preserve">прийнято постанову Кабінету Міністрів України  від 25 січня  2017 року № 26 «Про затвердження Порядку ведення Реєстру заяв про повернення суми бюджетного відшкодування податку на додану вартість», відповідно до якої </w:t>
      </w:r>
      <w:r w:rsidR="009F3588" w:rsidRPr="004C36BC">
        <w:rPr>
          <w:sz w:val="28"/>
          <w:szCs w:val="28"/>
        </w:rPr>
        <w:t>постанову № 68 визнано такою, що втратила чинність</w:t>
      </w:r>
      <w:r w:rsidR="00EE6E45" w:rsidRPr="004C36BC">
        <w:rPr>
          <w:sz w:val="28"/>
          <w:szCs w:val="28"/>
        </w:rPr>
        <w:t>.</w:t>
      </w:r>
    </w:p>
    <w:p w:rsidR="00D7662E" w:rsidRPr="004C36BC" w:rsidRDefault="00D7662E" w:rsidP="00D7662E">
      <w:pPr>
        <w:ind w:firstLine="539"/>
        <w:jc w:val="both"/>
        <w:rPr>
          <w:sz w:val="28"/>
          <w:szCs w:val="28"/>
        </w:rPr>
      </w:pPr>
      <w:r w:rsidRPr="004C36BC">
        <w:rPr>
          <w:sz w:val="28"/>
          <w:szCs w:val="28"/>
        </w:rPr>
        <w:t xml:space="preserve">При цьому, на підставі результатів повторного відстеження результативності </w:t>
      </w:r>
      <w:r w:rsidR="001F627D" w:rsidRPr="004C36BC">
        <w:rPr>
          <w:sz w:val="28"/>
          <w:szCs w:val="28"/>
        </w:rPr>
        <w:t>постанови № 68</w:t>
      </w:r>
      <w:r w:rsidRPr="004C36BC">
        <w:rPr>
          <w:sz w:val="28"/>
          <w:szCs w:val="28"/>
        </w:rPr>
        <w:t xml:space="preserve"> можна зробити висновок про те, що в цілому шляхом впровадження цього нормативного</w:t>
      </w:r>
      <w:r w:rsidR="00FF7D8C" w:rsidRPr="004C36BC">
        <w:rPr>
          <w:sz w:val="28"/>
          <w:szCs w:val="28"/>
        </w:rPr>
        <w:t>-</w:t>
      </w:r>
      <w:r w:rsidR="001F627D" w:rsidRPr="004C36BC">
        <w:rPr>
          <w:sz w:val="28"/>
          <w:szCs w:val="28"/>
        </w:rPr>
        <w:t>правового акт</w:t>
      </w:r>
      <w:r w:rsidR="00FF7D8C" w:rsidRPr="004C36BC">
        <w:rPr>
          <w:sz w:val="28"/>
          <w:szCs w:val="28"/>
        </w:rPr>
        <w:t>а</w:t>
      </w:r>
      <w:r w:rsidRPr="004C36BC">
        <w:rPr>
          <w:sz w:val="28"/>
          <w:szCs w:val="28"/>
        </w:rPr>
        <w:t xml:space="preserve"> вда</w:t>
      </w:r>
      <w:r w:rsidR="000F7A3B" w:rsidRPr="004C36BC">
        <w:rPr>
          <w:sz w:val="28"/>
          <w:szCs w:val="28"/>
        </w:rPr>
        <w:t>лося</w:t>
      </w:r>
      <w:r w:rsidRPr="004C36BC">
        <w:rPr>
          <w:sz w:val="28"/>
          <w:szCs w:val="28"/>
        </w:rPr>
        <w:t xml:space="preserve"> досягти визначених цілей, зокрема забезпечення практичного впровадження </w:t>
      </w:r>
      <w:r w:rsidR="000F7A3B" w:rsidRPr="004C36BC">
        <w:rPr>
          <w:sz w:val="28"/>
          <w:szCs w:val="28"/>
        </w:rPr>
        <w:t>норм</w:t>
      </w:r>
      <w:r w:rsidRPr="004C36BC">
        <w:rPr>
          <w:sz w:val="28"/>
          <w:szCs w:val="28"/>
        </w:rPr>
        <w:t xml:space="preserve"> Кодексу.</w:t>
      </w:r>
    </w:p>
    <w:p w:rsidR="00D7662E" w:rsidRPr="004C36BC" w:rsidRDefault="00D7662E" w:rsidP="00D7662E">
      <w:pPr>
        <w:ind w:firstLine="539"/>
        <w:jc w:val="both"/>
        <w:rPr>
          <w:sz w:val="28"/>
          <w:szCs w:val="28"/>
        </w:rPr>
      </w:pPr>
    </w:p>
    <w:p w:rsidR="00D7662E" w:rsidRPr="004C36BC" w:rsidRDefault="00D7662E" w:rsidP="00D7662E">
      <w:pPr>
        <w:spacing w:before="120"/>
        <w:jc w:val="both"/>
        <w:rPr>
          <w:b/>
          <w:bCs/>
          <w:sz w:val="28"/>
          <w:szCs w:val="28"/>
        </w:rPr>
      </w:pPr>
      <w:r w:rsidRPr="004C36BC">
        <w:rPr>
          <w:b/>
          <w:bCs/>
          <w:sz w:val="28"/>
          <w:szCs w:val="28"/>
        </w:rPr>
        <w:t xml:space="preserve">Міністр фінансів України </w:t>
      </w:r>
      <w:r w:rsidRPr="004C36BC">
        <w:rPr>
          <w:b/>
          <w:bCs/>
          <w:sz w:val="28"/>
          <w:szCs w:val="28"/>
        </w:rPr>
        <w:tab/>
      </w:r>
      <w:r w:rsidRPr="004C36BC">
        <w:rPr>
          <w:b/>
          <w:bCs/>
          <w:sz w:val="28"/>
          <w:szCs w:val="28"/>
        </w:rPr>
        <w:tab/>
        <w:t xml:space="preserve">    </w:t>
      </w:r>
      <w:r w:rsidRPr="004C36BC">
        <w:rPr>
          <w:b/>
          <w:bCs/>
          <w:sz w:val="28"/>
          <w:szCs w:val="28"/>
        </w:rPr>
        <w:tab/>
      </w:r>
      <w:r w:rsidRPr="004C36BC">
        <w:rPr>
          <w:b/>
          <w:bCs/>
          <w:sz w:val="28"/>
          <w:szCs w:val="28"/>
        </w:rPr>
        <w:tab/>
        <w:t xml:space="preserve">     </w:t>
      </w:r>
      <w:r w:rsidR="00262F00" w:rsidRPr="004C36BC">
        <w:rPr>
          <w:b/>
          <w:bCs/>
          <w:sz w:val="28"/>
          <w:szCs w:val="28"/>
        </w:rPr>
        <w:t xml:space="preserve">              </w:t>
      </w:r>
      <w:r w:rsidRPr="004C36BC">
        <w:rPr>
          <w:b/>
          <w:bCs/>
          <w:sz w:val="28"/>
          <w:szCs w:val="28"/>
        </w:rPr>
        <w:t xml:space="preserve">     О. </w:t>
      </w:r>
      <w:r w:rsidR="00262F00" w:rsidRPr="004C36BC">
        <w:rPr>
          <w:b/>
          <w:bCs/>
          <w:sz w:val="28"/>
          <w:szCs w:val="28"/>
        </w:rPr>
        <w:t>ДАНИЛЮК</w:t>
      </w:r>
    </w:p>
    <w:p w:rsidR="00D7662E" w:rsidRPr="004C36BC" w:rsidRDefault="00D7662E" w:rsidP="00D7662E">
      <w:pPr>
        <w:spacing w:before="12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7662E" w:rsidRPr="004C36BC" w:rsidRDefault="00D7662E" w:rsidP="00D7662E">
      <w:pPr>
        <w:spacing w:before="120"/>
        <w:jc w:val="both"/>
        <w:rPr>
          <w:b/>
          <w:bCs/>
          <w:sz w:val="28"/>
          <w:szCs w:val="28"/>
        </w:rPr>
      </w:pPr>
    </w:p>
    <w:p w:rsidR="00D7662E" w:rsidRPr="004C36BC" w:rsidRDefault="00D7662E" w:rsidP="006D5633">
      <w:pPr>
        <w:ind w:firstLine="993"/>
        <w:jc w:val="both"/>
        <w:rPr>
          <w:sz w:val="28"/>
          <w:szCs w:val="28"/>
        </w:rPr>
      </w:pPr>
    </w:p>
    <w:p w:rsidR="003661AE" w:rsidRPr="004C36BC" w:rsidRDefault="003661AE" w:rsidP="00A35AF1">
      <w:pPr>
        <w:spacing w:after="120"/>
        <w:ind w:firstLine="851"/>
        <w:jc w:val="both"/>
      </w:pPr>
    </w:p>
    <w:sectPr w:rsidR="003661AE" w:rsidRPr="004C36BC" w:rsidSect="006E521B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B9" w:rsidRDefault="00A50EB9" w:rsidP="006E521B">
      <w:r>
        <w:separator/>
      </w:r>
    </w:p>
  </w:endnote>
  <w:endnote w:type="continuationSeparator" w:id="0">
    <w:p w:rsidR="00A50EB9" w:rsidRDefault="00A50EB9" w:rsidP="006E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B9" w:rsidRDefault="00A50EB9" w:rsidP="006E521B">
      <w:r>
        <w:separator/>
      </w:r>
    </w:p>
  </w:footnote>
  <w:footnote w:type="continuationSeparator" w:id="0">
    <w:p w:rsidR="00A50EB9" w:rsidRDefault="00A50EB9" w:rsidP="006E5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19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521B" w:rsidRDefault="006E521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36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521B" w:rsidRDefault="006E52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6692"/>
    <w:multiLevelType w:val="hybridMultilevel"/>
    <w:tmpl w:val="796A66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4A"/>
    <w:rsid w:val="000051C7"/>
    <w:rsid w:val="00011B8B"/>
    <w:rsid w:val="00065185"/>
    <w:rsid w:val="0007400C"/>
    <w:rsid w:val="000F7A3B"/>
    <w:rsid w:val="00102625"/>
    <w:rsid w:val="001B3C2F"/>
    <w:rsid w:val="001F627D"/>
    <w:rsid w:val="00262F00"/>
    <w:rsid w:val="0032019D"/>
    <w:rsid w:val="003661AE"/>
    <w:rsid w:val="003C12C6"/>
    <w:rsid w:val="003E0D81"/>
    <w:rsid w:val="00425020"/>
    <w:rsid w:val="004C36BC"/>
    <w:rsid w:val="004D414B"/>
    <w:rsid w:val="004E7E04"/>
    <w:rsid w:val="00501B57"/>
    <w:rsid w:val="00553E38"/>
    <w:rsid w:val="005F7B57"/>
    <w:rsid w:val="00651D68"/>
    <w:rsid w:val="006D5633"/>
    <w:rsid w:val="006E521B"/>
    <w:rsid w:val="007741B6"/>
    <w:rsid w:val="008637C9"/>
    <w:rsid w:val="008F1A1E"/>
    <w:rsid w:val="009F3588"/>
    <w:rsid w:val="00A35AF1"/>
    <w:rsid w:val="00A50EB9"/>
    <w:rsid w:val="00AC0984"/>
    <w:rsid w:val="00B0694A"/>
    <w:rsid w:val="00B27AE4"/>
    <w:rsid w:val="00B347DC"/>
    <w:rsid w:val="00BE5696"/>
    <w:rsid w:val="00C72E0F"/>
    <w:rsid w:val="00D7662E"/>
    <w:rsid w:val="00DB3767"/>
    <w:rsid w:val="00E02240"/>
    <w:rsid w:val="00EE6E45"/>
    <w:rsid w:val="00F74B6E"/>
    <w:rsid w:val="00F86178"/>
    <w:rsid w:val="00F963EA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DB3767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Prop">
    <w:name w:val="StyleProp"/>
    <w:basedOn w:val="a"/>
    <w:rsid w:val="00DB3767"/>
    <w:pPr>
      <w:spacing w:line="200" w:lineRule="exact"/>
      <w:ind w:firstLine="227"/>
      <w:jc w:val="both"/>
    </w:pPr>
    <w:rPr>
      <w:sz w:val="18"/>
      <w:szCs w:val="20"/>
    </w:rPr>
  </w:style>
  <w:style w:type="paragraph" w:customStyle="1" w:styleId="StyleZakonu">
    <w:name w:val="StyleZakonu"/>
    <w:basedOn w:val="a"/>
    <w:rsid w:val="00DB3767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DB3767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B347DC"/>
    <w:pPr>
      <w:spacing w:before="100" w:beforeAutospacing="1" w:after="100" w:afterAutospacing="1"/>
    </w:pPr>
    <w:rPr>
      <w:rFonts w:eastAsiaTheme="minorEastAsia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347D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47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Знак Знак Знак1 Знак Знак Знак Знак Знак"/>
    <w:basedOn w:val="a"/>
    <w:rsid w:val="00E02240"/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6D5633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E521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E521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6E521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E521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DB3767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Prop">
    <w:name w:val="StyleProp"/>
    <w:basedOn w:val="a"/>
    <w:rsid w:val="00DB3767"/>
    <w:pPr>
      <w:spacing w:line="200" w:lineRule="exact"/>
      <w:ind w:firstLine="227"/>
      <w:jc w:val="both"/>
    </w:pPr>
    <w:rPr>
      <w:sz w:val="18"/>
      <w:szCs w:val="20"/>
    </w:rPr>
  </w:style>
  <w:style w:type="paragraph" w:customStyle="1" w:styleId="StyleZakonu">
    <w:name w:val="StyleZakonu"/>
    <w:basedOn w:val="a"/>
    <w:rsid w:val="00DB3767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DB3767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B347DC"/>
    <w:pPr>
      <w:spacing w:before="100" w:beforeAutospacing="1" w:after="100" w:afterAutospacing="1"/>
    </w:pPr>
    <w:rPr>
      <w:rFonts w:eastAsiaTheme="minorEastAsia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347D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47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Знак Знак Знак1 Знак Знак Знак Знак Знак"/>
    <w:basedOn w:val="a"/>
    <w:rsid w:val="00E02240"/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6D5633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E521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E521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6E521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E521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Сябро Вадим Вiкторович</dc:creator>
  <cp:lastModifiedBy>Користувач Windows</cp:lastModifiedBy>
  <cp:revision>2</cp:revision>
  <cp:lastPrinted>2017-03-13T14:41:00Z</cp:lastPrinted>
  <dcterms:created xsi:type="dcterms:W3CDTF">2017-03-30T13:41:00Z</dcterms:created>
  <dcterms:modified xsi:type="dcterms:W3CDTF">2017-03-30T13:41:00Z</dcterms:modified>
</cp:coreProperties>
</file>