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29" w:rsidRPr="003225C9" w:rsidRDefault="000A7029" w:rsidP="003225C9">
      <w:pPr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0A7029" w:rsidRPr="00527680" w:rsidRDefault="000A7029" w:rsidP="009E4A0E">
      <w:pPr>
        <w:jc w:val="center"/>
        <w:rPr>
          <w:b/>
          <w:bCs/>
          <w:color w:val="000000"/>
          <w:sz w:val="28"/>
          <w:szCs w:val="28"/>
        </w:rPr>
      </w:pPr>
    </w:p>
    <w:p w:rsidR="009E4A0E" w:rsidRPr="00522B8F" w:rsidRDefault="009E4A0E" w:rsidP="009E4A0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522B8F">
        <w:rPr>
          <w:b/>
          <w:bCs/>
          <w:color w:val="000000"/>
          <w:sz w:val="28"/>
          <w:szCs w:val="28"/>
          <w:lang w:val="uk-UA"/>
        </w:rPr>
        <w:t>Звіт</w:t>
      </w:r>
    </w:p>
    <w:p w:rsidR="009E4A0E" w:rsidRPr="00522B8F" w:rsidRDefault="009E4A0E" w:rsidP="009E4A0E">
      <w:pPr>
        <w:jc w:val="center"/>
        <w:rPr>
          <w:b/>
          <w:bCs/>
          <w:sz w:val="28"/>
          <w:szCs w:val="28"/>
          <w:lang w:val="uk-UA"/>
        </w:rPr>
      </w:pPr>
      <w:r w:rsidRPr="00522B8F">
        <w:rPr>
          <w:b/>
          <w:bCs/>
          <w:sz w:val="28"/>
          <w:szCs w:val="28"/>
          <w:lang w:val="uk-UA"/>
        </w:rPr>
        <w:t xml:space="preserve">про </w:t>
      </w:r>
      <w:r w:rsidR="00B67BA2">
        <w:rPr>
          <w:b/>
          <w:bCs/>
          <w:sz w:val="28"/>
          <w:szCs w:val="28"/>
          <w:lang w:val="uk-UA"/>
        </w:rPr>
        <w:t>повторне</w:t>
      </w:r>
      <w:r w:rsidRPr="00522B8F">
        <w:rPr>
          <w:b/>
          <w:bCs/>
          <w:sz w:val="28"/>
          <w:szCs w:val="28"/>
          <w:lang w:val="uk-UA"/>
        </w:rPr>
        <w:t xml:space="preserve"> відстеження результативності</w:t>
      </w:r>
    </w:p>
    <w:p w:rsidR="009E4A0E" w:rsidRPr="00522B8F" w:rsidRDefault="009E4A0E" w:rsidP="009E4A0E">
      <w:pPr>
        <w:jc w:val="center"/>
        <w:rPr>
          <w:b/>
          <w:sz w:val="28"/>
          <w:szCs w:val="28"/>
          <w:lang w:val="uk-UA"/>
        </w:rPr>
      </w:pPr>
      <w:r w:rsidRPr="00522B8F">
        <w:rPr>
          <w:b/>
          <w:sz w:val="28"/>
          <w:szCs w:val="28"/>
          <w:lang w:val="uk-UA"/>
        </w:rPr>
        <w:t xml:space="preserve">наказу Міністерства фінансів від </w:t>
      </w:r>
      <w:r w:rsidR="002C2237">
        <w:rPr>
          <w:b/>
          <w:sz w:val="28"/>
          <w:szCs w:val="28"/>
          <w:lang w:val="uk-UA"/>
        </w:rPr>
        <w:t>06</w:t>
      </w:r>
      <w:r w:rsidRPr="00522B8F">
        <w:rPr>
          <w:b/>
          <w:sz w:val="28"/>
          <w:szCs w:val="28"/>
          <w:lang w:val="uk-UA"/>
        </w:rPr>
        <w:t>.0</w:t>
      </w:r>
      <w:r w:rsidR="002C2237">
        <w:rPr>
          <w:b/>
          <w:sz w:val="28"/>
          <w:szCs w:val="28"/>
          <w:lang w:val="uk-UA"/>
        </w:rPr>
        <w:t>5</w:t>
      </w:r>
      <w:r w:rsidRPr="00522B8F">
        <w:rPr>
          <w:b/>
          <w:sz w:val="28"/>
          <w:szCs w:val="28"/>
          <w:lang w:val="uk-UA"/>
        </w:rPr>
        <w:t>.2015 №</w:t>
      </w:r>
      <w:r w:rsidR="00522B8F" w:rsidRPr="00522B8F">
        <w:rPr>
          <w:b/>
          <w:sz w:val="28"/>
          <w:szCs w:val="28"/>
          <w:lang w:val="uk-UA"/>
        </w:rPr>
        <w:t xml:space="preserve"> </w:t>
      </w:r>
      <w:r w:rsidRPr="00522B8F">
        <w:rPr>
          <w:b/>
          <w:sz w:val="28"/>
          <w:szCs w:val="28"/>
          <w:lang w:val="uk-UA"/>
        </w:rPr>
        <w:t>4</w:t>
      </w:r>
      <w:r w:rsidR="002C2237">
        <w:rPr>
          <w:b/>
          <w:sz w:val="28"/>
          <w:szCs w:val="28"/>
          <w:lang w:val="uk-UA"/>
        </w:rPr>
        <w:t>89</w:t>
      </w:r>
      <w:r w:rsidRPr="00522B8F">
        <w:rPr>
          <w:b/>
          <w:sz w:val="28"/>
          <w:szCs w:val="28"/>
          <w:lang w:val="uk-UA"/>
        </w:rPr>
        <w:t xml:space="preserve"> «Про затвердження Порядку проведення перевірок </w:t>
      </w:r>
      <w:r w:rsidR="002C2237">
        <w:rPr>
          <w:b/>
          <w:sz w:val="28"/>
          <w:szCs w:val="28"/>
          <w:lang w:val="uk-UA"/>
        </w:rPr>
        <w:t xml:space="preserve">Міністерством фінансів </w:t>
      </w:r>
      <w:r w:rsidRPr="00522B8F">
        <w:rPr>
          <w:b/>
          <w:sz w:val="28"/>
          <w:szCs w:val="28"/>
          <w:lang w:val="uk-UA"/>
        </w:rPr>
        <w:t xml:space="preserve">України </w:t>
      </w:r>
      <w:proofErr w:type="spellStart"/>
      <w:r w:rsidRPr="00522B8F">
        <w:rPr>
          <w:b/>
          <w:sz w:val="28"/>
          <w:szCs w:val="28"/>
          <w:lang w:val="uk-UA"/>
        </w:rPr>
        <w:t>суб’</w:t>
      </w:r>
      <w:r w:rsidRPr="00522B8F">
        <w:rPr>
          <w:b/>
          <w:sz w:val="28"/>
          <w:szCs w:val="28"/>
        </w:rPr>
        <w:t>єктів</w:t>
      </w:r>
      <w:proofErr w:type="spellEnd"/>
      <w:r w:rsidRPr="00522B8F">
        <w:rPr>
          <w:b/>
          <w:sz w:val="28"/>
          <w:szCs w:val="28"/>
        </w:rPr>
        <w:t xml:space="preserve"> </w:t>
      </w:r>
      <w:proofErr w:type="spellStart"/>
      <w:r w:rsidRPr="00522B8F">
        <w:rPr>
          <w:b/>
          <w:sz w:val="28"/>
          <w:szCs w:val="28"/>
        </w:rPr>
        <w:t>первинного</w:t>
      </w:r>
      <w:proofErr w:type="spellEnd"/>
      <w:r w:rsidRPr="00522B8F">
        <w:rPr>
          <w:b/>
          <w:sz w:val="28"/>
          <w:szCs w:val="28"/>
        </w:rPr>
        <w:t xml:space="preserve"> </w:t>
      </w:r>
      <w:r w:rsidRPr="00522B8F">
        <w:rPr>
          <w:b/>
          <w:sz w:val="28"/>
          <w:szCs w:val="28"/>
          <w:lang w:val="uk-UA"/>
        </w:rPr>
        <w:t>ф</w:t>
      </w:r>
      <w:proofErr w:type="spellStart"/>
      <w:r w:rsidRPr="00522B8F">
        <w:rPr>
          <w:b/>
          <w:sz w:val="28"/>
          <w:szCs w:val="28"/>
        </w:rPr>
        <w:t>інансового</w:t>
      </w:r>
      <w:proofErr w:type="spellEnd"/>
      <w:r w:rsidRPr="00522B8F">
        <w:rPr>
          <w:b/>
          <w:sz w:val="28"/>
          <w:szCs w:val="28"/>
        </w:rPr>
        <w:t xml:space="preserve"> </w:t>
      </w:r>
      <w:r w:rsidRPr="00522B8F">
        <w:rPr>
          <w:b/>
          <w:sz w:val="28"/>
          <w:szCs w:val="28"/>
          <w:lang w:val="uk-UA"/>
        </w:rPr>
        <w:t>моніторингу»</w:t>
      </w:r>
    </w:p>
    <w:p w:rsidR="009E4A0E" w:rsidRDefault="009E4A0E" w:rsidP="009E4A0E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E4A0E" w:rsidRDefault="009E4A0E" w:rsidP="00231E8B">
      <w:pPr>
        <w:tabs>
          <w:tab w:val="left" w:pos="2127"/>
        </w:tabs>
        <w:spacing w:before="12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1. Вид та назва регуляторного акта</w:t>
      </w:r>
    </w:p>
    <w:p w:rsidR="009E4A0E" w:rsidRDefault="009E4A0E" w:rsidP="00D9570E">
      <w:pPr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Наказ Міністерства фінансів України від </w:t>
      </w:r>
      <w:r w:rsidR="002C2237">
        <w:rPr>
          <w:iCs/>
          <w:sz w:val="28"/>
          <w:szCs w:val="28"/>
          <w:lang w:val="uk-UA"/>
        </w:rPr>
        <w:t>06</w:t>
      </w:r>
      <w:r>
        <w:rPr>
          <w:iCs/>
          <w:sz w:val="28"/>
          <w:szCs w:val="28"/>
          <w:lang w:val="uk-UA"/>
        </w:rPr>
        <w:t>.0</w:t>
      </w:r>
      <w:r w:rsidR="002C2237">
        <w:rPr>
          <w:iCs/>
          <w:sz w:val="28"/>
          <w:szCs w:val="28"/>
          <w:lang w:val="uk-UA"/>
        </w:rPr>
        <w:t>5</w:t>
      </w:r>
      <w:r>
        <w:rPr>
          <w:iCs/>
          <w:sz w:val="28"/>
          <w:szCs w:val="28"/>
          <w:lang w:val="uk-UA"/>
        </w:rPr>
        <w:t>.2015 №</w:t>
      </w:r>
      <w:r w:rsidR="00F53B03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4</w:t>
      </w:r>
      <w:r w:rsidR="002C2237">
        <w:rPr>
          <w:iCs/>
          <w:sz w:val="28"/>
          <w:szCs w:val="28"/>
          <w:lang w:val="uk-UA"/>
        </w:rPr>
        <w:t>89</w:t>
      </w:r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9E4A0E">
        <w:rPr>
          <w:sz w:val="28"/>
          <w:szCs w:val="28"/>
          <w:lang w:val="uk-UA"/>
        </w:rPr>
        <w:t xml:space="preserve">Про затвердження Порядку проведення перевірок </w:t>
      </w:r>
      <w:r w:rsidR="002C2237">
        <w:rPr>
          <w:sz w:val="28"/>
          <w:szCs w:val="28"/>
          <w:lang w:val="uk-UA"/>
        </w:rPr>
        <w:t>Міністерством фінансів</w:t>
      </w:r>
      <w:r w:rsidRPr="009E4A0E">
        <w:rPr>
          <w:sz w:val="28"/>
          <w:szCs w:val="28"/>
          <w:lang w:val="uk-UA"/>
        </w:rPr>
        <w:t xml:space="preserve"> України суб’єктів первинного фінансового моніторингу</w:t>
      </w:r>
      <w:r>
        <w:rPr>
          <w:sz w:val="28"/>
          <w:szCs w:val="28"/>
          <w:lang w:val="uk-UA"/>
        </w:rPr>
        <w:t xml:space="preserve">», зареєстрований в Міністерстві юстиції України  </w:t>
      </w:r>
      <w:r w:rsidR="00D9570E" w:rsidRPr="00D9570E">
        <w:rPr>
          <w:sz w:val="28"/>
          <w:szCs w:val="28"/>
          <w:lang w:val="uk-UA"/>
        </w:rPr>
        <w:t>25</w:t>
      </w:r>
      <w:r w:rsidR="00D9570E">
        <w:rPr>
          <w:sz w:val="28"/>
          <w:szCs w:val="28"/>
          <w:lang w:val="uk-UA"/>
        </w:rPr>
        <w:t>.05.</w:t>
      </w:r>
      <w:r w:rsidR="00D9570E" w:rsidRPr="00D9570E">
        <w:rPr>
          <w:sz w:val="28"/>
          <w:szCs w:val="28"/>
          <w:lang w:val="uk-UA"/>
        </w:rPr>
        <w:t xml:space="preserve">2015 за </w:t>
      </w:r>
      <w:r w:rsidR="00D9570E">
        <w:rPr>
          <w:iCs/>
          <w:sz w:val="28"/>
          <w:szCs w:val="28"/>
          <w:lang w:val="uk-UA"/>
        </w:rPr>
        <w:t>№</w:t>
      </w:r>
      <w:r w:rsidR="00D9570E" w:rsidRPr="00D9570E">
        <w:rPr>
          <w:sz w:val="28"/>
          <w:szCs w:val="28"/>
          <w:lang w:val="uk-UA"/>
        </w:rPr>
        <w:t xml:space="preserve"> 596/27041</w:t>
      </w:r>
      <w:r w:rsidR="00D957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Наказ).</w:t>
      </w:r>
    </w:p>
    <w:p w:rsidR="009E4A0E" w:rsidRDefault="009E4A0E" w:rsidP="00231E8B">
      <w:pPr>
        <w:spacing w:before="12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2. Назва виконавця заходів з </w:t>
      </w:r>
      <w:r w:rsidR="008D74E5">
        <w:rPr>
          <w:b/>
          <w:bCs/>
          <w:color w:val="000000"/>
          <w:sz w:val="28"/>
          <w:szCs w:val="28"/>
          <w:lang w:val="uk-UA"/>
        </w:rPr>
        <w:t>повторн</w:t>
      </w:r>
      <w:r>
        <w:rPr>
          <w:b/>
          <w:bCs/>
          <w:color w:val="000000"/>
          <w:sz w:val="28"/>
          <w:szCs w:val="28"/>
          <w:lang w:val="uk-UA"/>
        </w:rPr>
        <w:t xml:space="preserve">ого відстеження </w:t>
      </w:r>
    </w:p>
    <w:p w:rsidR="00CF2102" w:rsidRPr="00CF2102" w:rsidRDefault="00CF2102" w:rsidP="00CF2102">
      <w:pPr>
        <w:ind w:firstLine="708"/>
        <w:jc w:val="both"/>
        <w:rPr>
          <w:sz w:val="28"/>
          <w:szCs w:val="28"/>
          <w:lang w:val="uk-UA"/>
        </w:rPr>
      </w:pPr>
      <w:r w:rsidRPr="00CF2102">
        <w:rPr>
          <w:sz w:val="28"/>
          <w:szCs w:val="28"/>
          <w:lang w:val="uk-UA"/>
        </w:rPr>
        <w:t>Департамент податкової, митної політики та методології бухгалтерського обліку Міністерства фінансів України.</w:t>
      </w:r>
    </w:p>
    <w:p w:rsidR="009E4A0E" w:rsidRPr="0028537D" w:rsidRDefault="009E4A0E" w:rsidP="00231E8B">
      <w:pPr>
        <w:spacing w:before="12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8537D">
        <w:rPr>
          <w:b/>
          <w:bCs/>
          <w:color w:val="000000"/>
          <w:sz w:val="28"/>
          <w:szCs w:val="28"/>
          <w:lang w:val="uk-UA"/>
        </w:rPr>
        <w:t>3. Цілі прийняття акта</w:t>
      </w:r>
    </w:p>
    <w:p w:rsidR="009E4A0E" w:rsidRPr="0028537D" w:rsidRDefault="009E4A0E" w:rsidP="0028537D">
      <w:pPr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8537D">
        <w:rPr>
          <w:bCs/>
          <w:color w:val="000000"/>
          <w:sz w:val="28"/>
          <w:szCs w:val="28"/>
          <w:lang w:val="uk-UA"/>
        </w:rPr>
        <w:t xml:space="preserve">Регуляторний акт спрямований на </w:t>
      </w:r>
      <w:r w:rsidR="0028537D" w:rsidRPr="0028537D">
        <w:rPr>
          <w:bCs/>
          <w:color w:val="000000"/>
          <w:sz w:val="28"/>
          <w:szCs w:val="28"/>
          <w:lang w:val="uk-UA"/>
        </w:rPr>
        <w:t xml:space="preserve">урегулювання процедури </w:t>
      </w:r>
      <w:r w:rsidRPr="0028537D">
        <w:rPr>
          <w:bCs/>
          <w:color w:val="000000"/>
          <w:sz w:val="28"/>
          <w:szCs w:val="28"/>
          <w:lang w:val="uk-UA"/>
        </w:rPr>
        <w:t xml:space="preserve">проведення </w:t>
      </w:r>
      <w:r w:rsidR="00CF2102">
        <w:rPr>
          <w:bCs/>
          <w:color w:val="000000"/>
          <w:sz w:val="28"/>
          <w:szCs w:val="28"/>
          <w:lang w:val="uk-UA"/>
        </w:rPr>
        <w:t>Мінфіном</w:t>
      </w:r>
      <w:r w:rsidR="0028537D" w:rsidRPr="0028537D">
        <w:rPr>
          <w:bCs/>
          <w:color w:val="000000"/>
          <w:sz w:val="28"/>
          <w:szCs w:val="28"/>
          <w:lang w:val="uk-UA"/>
        </w:rPr>
        <w:t xml:space="preserve"> </w:t>
      </w:r>
      <w:r w:rsidRPr="0028537D">
        <w:rPr>
          <w:bCs/>
          <w:color w:val="000000"/>
          <w:sz w:val="28"/>
          <w:szCs w:val="28"/>
          <w:lang w:val="uk-UA"/>
        </w:rPr>
        <w:t>перевірок піднаглядних суб’єктів первинного фінансового моніторингу  відповідно до чинного законодавства України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9E4A0E" w:rsidRDefault="009E4A0E" w:rsidP="00231E8B">
      <w:pPr>
        <w:spacing w:before="12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4. Строк виконання заходів з </w:t>
      </w:r>
      <w:r w:rsidR="008D74E5">
        <w:rPr>
          <w:b/>
          <w:bCs/>
          <w:color w:val="000000"/>
          <w:sz w:val="28"/>
          <w:szCs w:val="28"/>
          <w:lang w:val="uk-UA"/>
        </w:rPr>
        <w:t>повторного</w:t>
      </w:r>
      <w:r>
        <w:rPr>
          <w:b/>
          <w:bCs/>
          <w:color w:val="000000"/>
          <w:sz w:val="28"/>
          <w:szCs w:val="28"/>
          <w:lang w:val="uk-UA"/>
        </w:rPr>
        <w:t xml:space="preserve"> відстеження </w:t>
      </w:r>
    </w:p>
    <w:p w:rsidR="009E4A0E" w:rsidRDefault="00B67BA2" w:rsidP="009E4A0E">
      <w:pPr>
        <w:pStyle w:val="2"/>
        <w:spacing w:before="120"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Листопад</w:t>
      </w:r>
      <w:r w:rsidR="00F53B03">
        <w:rPr>
          <w:bCs/>
          <w:sz w:val="28"/>
          <w:szCs w:val="28"/>
        </w:rPr>
        <w:t xml:space="preserve"> </w:t>
      </w:r>
      <w:r w:rsidR="009E4A0E">
        <w:rPr>
          <w:bCs/>
          <w:sz w:val="28"/>
          <w:szCs w:val="28"/>
        </w:rPr>
        <w:t xml:space="preserve">2016 року. </w:t>
      </w:r>
    </w:p>
    <w:p w:rsidR="009E4A0E" w:rsidRDefault="009E4A0E" w:rsidP="00231E8B">
      <w:pPr>
        <w:spacing w:before="120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 Тип відстеження.</w:t>
      </w:r>
    </w:p>
    <w:p w:rsidR="009E4A0E" w:rsidRDefault="00B67BA2" w:rsidP="009E4A0E">
      <w:pPr>
        <w:spacing w:before="12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Повторне</w:t>
      </w:r>
      <w:r w:rsidR="009E4A0E">
        <w:rPr>
          <w:color w:val="000000"/>
          <w:sz w:val="28"/>
          <w:szCs w:val="28"/>
          <w:lang w:val="uk-UA"/>
        </w:rPr>
        <w:t xml:space="preserve"> відстеження.</w:t>
      </w:r>
    </w:p>
    <w:p w:rsidR="009E4A0E" w:rsidRDefault="009E4A0E" w:rsidP="00231E8B">
      <w:pPr>
        <w:spacing w:before="120"/>
        <w:ind w:firstLine="709"/>
        <w:jc w:val="both"/>
        <w:rPr>
          <w:rFonts w:ascii="Arial" w:hAnsi="Arial" w:cs="Arial"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6. Методи одержання результатів відстеження</w:t>
      </w:r>
    </w:p>
    <w:p w:rsidR="009E4A0E" w:rsidRDefault="0028537D" w:rsidP="009E4A0E">
      <w:pPr>
        <w:spacing w:before="12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Статистичний метод</w:t>
      </w:r>
      <w:r w:rsidR="009E4A0E">
        <w:rPr>
          <w:bCs/>
          <w:sz w:val="28"/>
          <w:szCs w:val="28"/>
          <w:lang w:val="uk-UA"/>
        </w:rPr>
        <w:t>.</w:t>
      </w:r>
    </w:p>
    <w:p w:rsidR="009E4A0E" w:rsidRDefault="009E4A0E" w:rsidP="00231E8B">
      <w:pPr>
        <w:spacing w:before="12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7. Дані та припущення, на основі яких відстежувалася результативність, а також способи одержання даних</w:t>
      </w:r>
    </w:p>
    <w:p w:rsidR="0028537D" w:rsidRPr="00B67BA2" w:rsidRDefault="0028537D" w:rsidP="009E4A0E">
      <w:pPr>
        <w:spacing w:before="120"/>
        <w:ind w:firstLine="709"/>
        <w:jc w:val="both"/>
        <w:rPr>
          <w:sz w:val="28"/>
          <w:szCs w:val="28"/>
        </w:rPr>
      </w:pPr>
      <w:r w:rsidRPr="00D9570E">
        <w:rPr>
          <w:bCs/>
          <w:sz w:val="28"/>
          <w:szCs w:val="28"/>
          <w:lang w:val="uk-UA"/>
        </w:rPr>
        <w:t xml:space="preserve">Відстеження здійснювалось шляхом аналізу </w:t>
      </w:r>
      <w:r w:rsidR="00D9570E" w:rsidRPr="00D9570E">
        <w:rPr>
          <w:bCs/>
          <w:sz w:val="28"/>
          <w:szCs w:val="28"/>
          <w:lang w:val="uk-UA"/>
        </w:rPr>
        <w:t xml:space="preserve">статистичних даних за підсумками проведених перевірок суб’єктів </w:t>
      </w:r>
      <w:r w:rsidR="00D9570E">
        <w:rPr>
          <w:bCs/>
          <w:sz w:val="28"/>
          <w:szCs w:val="28"/>
          <w:lang w:val="uk-UA"/>
        </w:rPr>
        <w:t>первинного фінансового моніторингу</w:t>
      </w:r>
      <w:r w:rsidR="00B67BA2" w:rsidRPr="00B67BA2">
        <w:rPr>
          <w:rFonts w:ascii="Verdana" w:hAnsi="Verdana"/>
          <w:sz w:val="18"/>
          <w:szCs w:val="18"/>
        </w:rPr>
        <w:t xml:space="preserve"> </w:t>
      </w:r>
      <w:r w:rsidR="00B67BA2" w:rsidRPr="00B67BA2">
        <w:rPr>
          <w:sz w:val="28"/>
          <w:szCs w:val="28"/>
        </w:rPr>
        <w:t xml:space="preserve">та </w:t>
      </w:r>
      <w:proofErr w:type="spellStart"/>
      <w:r w:rsidR="00B67BA2" w:rsidRPr="00B67BA2">
        <w:rPr>
          <w:sz w:val="28"/>
          <w:szCs w:val="28"/>
        </w:rPr>
        <w:t>застосування</w:t>
      </w:r>
      <w:proofErr w:type="spellEnd"/>
      <w:r w:rsidR="00B67BA2" w:rsidRPr="00B67BA2">
        <w:rPr>
          <w:sz w:val="28"/>
          <w:szCs w:val="28"/>
        </w:rPr>
        <w:t xml:space="preserve"> до них </w:t>
      </w:r>
      <w:proofErr w:type="spellStart"/>
      <w:r w:rsidR="00B67BA2" w:rsidRPr="00B67BA2">
        <w:rPr>
          <w:sz w:val="28"/>
          <w:szCs w:val="28"/>
        </w:rPr>
        <w:t>санкцій</w:t>
      </w:r>
      <w:proofErr w:type="spellEnd"/>
      <w:r w:rsidR="00B67BA2" w:rsidRPr="00B67BA2">
        <w:rPr>
          <w:sz w:val="28"/>
          <w:szCs w:val="28"/>
        </w:rPr>
        <w:t xml:space="preserve"> </w:t>
      </w:r>
      <w:proofErr w:type="spellStart"/>
      <w:r w:rsidR="00B67BA2" w:rsidRPr="00B67BA2">
        <w:rPr>
          <w:sz w:val="28"/>
          <w:szCs w:val="28"/>
        </w:rPr>
        <w:t>Комісією</w:t>
      </w:r>
      <w:proofErr w:type="spellEnd"/>
      <w:r w:rsidR="00B67BA2" w:rsidRPr="00B67BA2">
        <w:rPr>
          <w:sz w:val="28"/>
          <w:szCs w:val="28"/>
        </w:rPr>
        <w:t xml:space="preserve"> </w:t>
      </w:r>
      <w:proofErr w:type="spellStart"/>
      <w:r w:rsidR="00B67BA2" w:rsidRPr="00B67BA2">
        <w:rPr>
          <w:sz w:val="28"/>
          <w:szCs w:val="28"/>
        </w:rPr>
        <w:t>Мінфіну</w:t>
      </w:r>
      <w:proofErr w:type="spellEnd"/>
      <w:r w:rsidR="00B67BA2" w:rsidRPr="00B67BA2">
        <w:rPr>
          <w:sz w:val="28"/>
          <w:szCs w:val="28"/>
        </w:rPr>
        <w:t xml:space="preserve"> </w:t>
      </w:r>
      <w:r w:rsidR="00B67BA2" w:rsidRPr="00E049F6">
        <w:rPr>
          <w:sz w:val="28"/>
          <w:szCs w:val="28"/>
        </w:rPr>
        <w:t xml:space="preserve">з </w:t>
      </w:r>
      <w:proofErr w:type="spellStart"/>
      <w:r w:rsidR="00B67BA2" w:rsidRPr="00E049F6">
        <w:rPr>
          <w:sz w:val="28"/>
          <w:szCs w:val="28"/>
        </w:rPr>
        <w:t>питань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застосування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санкцій</w:t>
      </w:r>
      <w:proofErr w:type="spellEnd"/>
      <w:r w:rsidR="00B67BA2" w:rsidRPr="00E049F6">
        <w:rPr>
          <w:sz w:val="28"/>
          <w:szCs w:val="28"/>
        </w:rPr>
        <w:t xml:space="preserve"> за </w:t>
      </w:r>
      <w:proofErr w:type="spellStart"/>
      <w:r w:rsidR="00B67BA2" w:rsidRPr="00E049F6">
        <w:rPr>
          <w:sz w:val="28"/>
          <w:szCs w:val="28"/>
        </w:rPr>
        <w:t>порушення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вимог</w:t>
      </w:r>
      <w:proofErr w:type="spellEnd"/>
      <w:r w:rsidR="00B67BA2" w:rsidRPr="00E049F6">
        <w:rPr>
          <w:sz w:val="28"/>
          <w:szCs w:val="28"/>
        </w:rPr>
        <w:t xml:space="preserve"> Закону України «Про </w:t>
      </w:r>
      <w:proofErr w:type="spellStart"/>
      <w:r w:rsidR="00B67BA2" w:rsidRPr="00E049F6">
        <w:rPr>
          <w:sz w:val="28"/>
          <w:szCs w:val="28"/>
        </w:rPr>
        <w:t>запобігання</w:t>
      </w:r>
      <w:proofErr w:type="spellEnd"/>
      <w:r w:rsidR="00B67BA2" w:rsidRPr="00E049F6">
        <w:rPr>
          <w:sz w:val="28"/>
          <w:szCs w:val="28"/>
        </w:rPr>
        <w:t xml:space="preserve"> та </w:t>
      </w:r>
      <w:proofErr w:type="spellStart"/>
      <w:r w:rsidR="00B67BA2" w:rsidRPr="00E049F6">
        <w:rPr>
          <w:sz w:val="28"/>
          <w:szCs w:val="28"/>
        </w:rPr>
        <w:t>протидію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легалізації</w:t>
      </w:r>
      <w:proofErr w:type="spellEnd"/>
      <w:r w:rsidR="00B67BA2" w:rsidRPr="00E049F6">
        <w:rPr>
          <w:sz w:val="28"/>
          <w:szCs w:val="28"/>
        </w:rPr>
        <w:t xml:space="preserve"> (</w:t>
      </w:r>
      <w:proofErr w:type="spellStart"/>
      <w:r w:rsidR="00B67BA2" w:rsidRPr="00E049F6">
        <w:rPr>
          <w:sz w:val="28"/>
          <w:szCs w:val="28"/>
        </w:rPr>
        <w:t>відмиванню</w:t>
      </w:r>
      <w:proofErr w:type="spellEnd"/>
      <w:r w:rsidR="00B67BA2" w:rsidRPr="00E049F6">
        <w:rPr>
          <w:sz w:val="28"/>
          <w:szCs w:val="28"/>
        </w:rPr>
        <w:t xml:space="preserve">) </w:t>
      </w:r>
      <w:proofErr w:type="spellStart"/>
      <w:r w:rsidR="00B67BA2" w:rsidRPr="00E049F6">
        <w:rPr>
          <w:sz w:val="28"/>
          <w:szCs w:val="28"/>
        </w:rPr>
        <w:t>доходів</w:t>
      </w:r>
      <w:proofErr w:type="spellEnd"/>
      <w:r w:rsidR="00B67BA2" w:rsidRPr="00E049F6">
        <w:rPr>
          <w:sz w:val="28"/>
          <w:szCs w:val="28"/>
        </w:rPr>
        <w:t xml:space="preserve">, </w:t>
      </w:r>
      <w:proofErr w:type="spellStart"/>
      <w:r w:rsidR="00B67BA2" w:rsidRPr="00E049F6">
        <w:rPr>
          <w:sz w:val="28"/>
          <w:szCs w:val="28"/>
        </w:rPr>
        <w:t>одержаних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злочинним</w:t>
      </w:r>
      <w:proofErr w:type="spellEnd"/>
      <w:r w:rsidR="00B67BA2" w:rsidRPr="00E049F6">
        <w:rPr>
          <w:sz w:val="28"/>
          <w:szCs w:val="28"/>
        </w:rPr>
        <w:t xml:space="preserve"> шляхом, </w:t>
      </w:r>
      <w:proofErr w:type="spellStart"/>
      <w:r w:rsidR="00B67BA2" w:rsidRPr="00E049F6">
        <w:rPr>
          <w:sz w:val="28"/>
          <w:szCs w:val="28"/>
        </w:rPr>
        <w:t>або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фінансуванню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тероризму</w:t>
      </w:r>
      <w:proofErr w:type="spellEnd"/>
      <w:r w:rsidR="00B67BA2" w:rsidRPr="00B67BA2">
        <w:rPr>
          <w:sz w:val="28"/>
          <w:szCs w:val="28"/>
        </w:rPr>
        <w:t xml:space="preserve"> </w:t>
      </w:r>
      <w:r w:rsidR="00B67BA2" w:rsidRPr="00E049F6">
        <w:rPr>
          <w:sz w:val="28"/>
          <w:szCs w:val="28"/>
        </w:rPr>
        <w:t xml:space="preserve">та </w:t>
      </w:r>
      <w:proofErr w:type="spellStart"/>
      <w:r w:rsidR="00B67BA2" w:rsidRPr="00E049F6">
        <w:rPr>
          <w:sz w:val="28"/>
          <w:szCs w:val="28"/>
        </w:rPr>
        <w:t>фінансуванню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розповсюдження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зброї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масового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знищення</w:t>
      </w:r>
      <w:proofErr w:type="spellEnd"/>
      <w:r w:rsidR="00B67BA2" w:rsidRPr="00E049F6">
        <w:rPr>
          <w:sz w:val="28"/>
          <w:szCs w:val="28"/>
        </w:rPr>
        <w:t>» та/</w:t>
      </w:r>
      <w:proofErr w:type="spellStart"/>
      <w:r w:rsidR="00B67BA2" w:rsidRPr="00E049F6">
        <w:rPr>
          <w:sz w:val="28"/>
          <w:szCs w:val="28"/>
        </w:rPr>
        <w:t>або</w:t>
      </w:r>
      <w:proofErr w:type="spellEnd"/>
      <w:r w:rsidR="00B67BA2" w:rsidRPr="00E049F6">
        <w:rPr>
          <w:sz w:val="28"/>
          <w:szCs w:val="28"/>
        </w:rPr>
        <w:t xml:space="preserve"> нормативно-</w:t>
      </w:r>
      <w:proofErr w:type="spellStart"/>
      <w:r w:rsidR="00B67BA2" w:rsidRPr="00E049F6">
        <w:rPr>
          <w:sz w:val="28"/>
          <w:szCs w:val="28"/>
        </w:rPr>
        <w:t>правових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актів</w:t>
      </w:r>
      <w:proofErr w:type="spellEnd"/>
      <w:r w:rsidR="00B67BA2" w:rsidRPr="00E049F6">
        <w:rPr>
          <w:sz w:val="28"/>
          <w:szCs w:val="28"/>
        </w:rPr>
        <w:t xml:space="preserve">, </w:t>
      </w:r>
      <w:proofErr w:type="spellStart"/>
      <w:r w:rsidR="00B67BA2" w:rsidRPr="00E049F6">
        <w:rPr>
          <w:sz w:val="28"/>
          <w:szCs w:val="28"/>
        </w:rPr>
        <w:t>що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регулюють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діяльність</w:t>
      </w:r>
      <w:proofErr w:type="spellEnd"/>
      <w:r w:rsidR="00B67BA2" w:rsidRPr="00E049F6">
        <w:rPr>
          <w:sz w:val="28"/>
          <w:szCs w:val="28"/>
        </w:rPr>
        <w:t xml:space="preserve"> у </w:t>
      </w:r>
      <w:proofErr w:type="spellStart"/>
      <w:r w:rsidR="00B67BA2" w:rsidRPr="00E049F6">
        <w:rPr>
          <w:sz w:val="28"/>
          <w:szCs w:val="28"/>
        </w:rPr>
        <w:t>сфері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запобігання</w:t>
      </w:r>
      <w:proofErr w:type="spellEnd"/>
      <w:r w:rsidR="00B67BA2" w:rsidRPr="00E049F6">
        <w:rPr>
          <w:sz w:val="28"/>
          <w:szCs w:val="28"/>
        </w:rPr>
        <w:t xml:space="preserve"> та </w:t>
      </w:r>
      <w:proofErr w:type="spellStart"/>
      <w:r w:rsidR="00B67BA2" w:rsidRPr="00E049F6">
        <w:rPr>
          <w:sz w:val="28"/>
          <w:szCs w:val="28"/>
        </w:rPr>
        <w:t>протидії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легалізації</w:t>
      </w:r>
      <w:proofErr w:type="spellEnd"/>
      <w:r w:rsidR="00B67BA2" w:rsidRPr="00E049F6">
        <w:rPr>
          <w:sz w:val="28"/>
          <w:szCs w:val="28"/>
        </w:rPr>
        <w:t xml:space="preserve"> (</w:t>
      </w:r>
      <w:proofErr w:type="spellStart"/>
      <w:r w:rsidR="00B67BA2" w:rsidRPr="00E049F6">
        <w:rPr>
          <w:sz w:val="28"/>
          <w:szCs w:val="28"/>
        </w:rPr>
        <w:t>відмиванню</w:t>
      </w:r>
      <w:proofErr w:type="spellEnd"/>
      <w:r w:rsidR="00B67BA2" w:rsidRPr="00E049F6">
        <w:rPr>
          <w:sz w:val="28"/>
          <w:szCs w:val="28"/>
        </w:rPr>
        <w:t xml:space="preserve">) </w:t>
      </w:r>
      <w:proofErr w:type="spellStart"/>
      <w:r w:rsidR="00B67BA2" w:rsidRPr="00E049F6">
        <w:rPr>
          <w:sz w:val="28"/>
          <w:szCs w:val="28"/>
        </w:rPr>
        <w:t>доход</w:t>
      </w:r>
      <w:r w:rsidR="00B67BA2">
        <w:rPr>
          <w:sz w:val="28"/>
          <w:szCs w:val="28"/>
        </w:rPr>
        <w:t>ів</w:t>
      </w:r>
      <w:proofErr w:type="spellEnd"/>
      <w:r w:rsidR="00B67BA2">
        <w:rPr>
          <w:sz w:val="28"/>
          <w:szCs w:val="28"/>
        </w:rPr>
        <w:t xml:space="preserve">, </w:t>
      </w:r>
      <w:proofErr w:type="spellStart"/>
      <w:r w:rsidR="00B67BA2">
        <w:rPr>
          <w:sz w:val="28"/>
          <w:szCs w:val="28"/>
        </w:rPr>
        <w:t>одержаних</w:t>
      </w:r>
      <w:proofErr w:type="spellEnd"/>
      <w:r w:rsidR="00B67BA2">
        <w:rPr>
          <w:sz w:val="28"/>
          <w:szCs w:val="28"/>
        </w:rPr>
        <w:t xml:space="preserve"> </w:t>
      </w:r>
      <w:proofErr w:type="spellStart"/>
      <w:r w:rsidR="00B67BA2">
        <w:rPr>
          <w:sz w:val="28"/>
          <w:szCs w:val="28"/>
        </w:rPr>
        <w:t>злочинним</w:t>
      </w:r>
      <w:proofErr w:type="spellEnd"/>
      <w:r w:rsidR="00B67BA2">
        <w:rPr>
          <w:sz w:val="28"/>
          <w:szCs w:val="28"/>
        </w:rPr>
        <w:t xml:space="preserve"> шляхом,</w:t>
      </w:r>
      <w:r w:rsidR="00B67BA2" w:rsidRPr="00B67BA2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фінансуванню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тероризму</w:t>
      </w:r>
      <w:proofErr w:type="spellEnd"/>
      <w:r w:rsidR="00B67BA2" w:rsidRPr="00E049F6">
        <w:rPr>
          <w:sz w:val="28"/>
          <w:szCs w:val="28"/>
        </w:rPr>
        <w:t xml:space="preserve"> та </w:t>
      </w:r>
      <w:proofErr w:type="spellStart"/>
      <w:r w:rsidR="00B67BA2" w:rsidRPr="00E049F6">
        <w:rPr>
          <w:sz w:val="28"/>
          <w:szCs w:val="28"/>
        </w:rPr>
        <w:t>фінансуванню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розповсюдження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зброї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масового</w:t>
      </w:r>
      <w:proofErr w:type="spellEnd"/>
      <w:r w:rsidR="00B67BA2" w:rsidRPr="00E049F6">
        <w:rPr>
          <w:sz w:val="28"/>
          <w:szCs w:val="28"/>
        </w:rPr>
        <w:t xml:space="preserve"> </w:t>
      </w:r>
      <w:proofErr w:type="spellStart"/>
      <w:r w:rsidR="00B67BA2" w:rsidRPr="00E049F6">
        <w:rPr>
          <w:sz w:val="28"/>
          <w:szCs w:val="28"/>
        </w:rPr>
        <w:t>знищення</w:t>
      </w:r>
      <w:proofErr w:type="spellEnd"/>
      <w:r w:rsidR="00B67BA2" w:rsidRPr="00E049F6">
        <w:rPr>
          <w:sz w:val="28"/>
          <w:szCs w:val="28"/>
        </w:rPr>
        <w:t xml:space="preserve"> (</w:t>
      </w:r>
      <w:proofErr w:type="spellStart"/>
      <w:r w:rsidR="00B67BA2" w:rsidRPr="00E049F6">
        <w:rPr>
          <w:sz w:val="28"/>
          <w:szCs w:val="28"/>
        </w:rPr>
        <w:t>далі</w:t>
      </w:r>
      <w:proofErr w:type="spellEnd"/>
      <w:r w:rsidR="00B67BA2" w:rsidRPr="00E049F6">
        <w:rPr>
          <w:sz w:val="28"/>
          <w:szCs w:val="28"/>
        </w:rPr>
        <w:t xml:space="preserve"> – </w:t>
      </w:r>
      <w:proofErr w:type="spellStart"/>
      <w:r w:rsidR="00B67BA2" w:rsidRPr="00E049F6">
        <w:rPr>
          <w:sz w:val="28"/>
          <w:szCs w:val="28"/>
        </w:rPr>
        <w:t>Комісія</w:t>
      </w:r>
      <w:proofErr w:type="spellEnd"/>
      <w:r w:rsidR="00B67BA2" w:rsidRPr="00B67BA2">
        <w:rPr>
          <w:sz w:val="28"/>
          <w:szCs w:val="28"/>
        </w:rPr>
        <w:t xml:space="preserve"> </w:t>
      </w:r>
      <w:proofErr w:type="spellStart"/>
      <w:r w:rsidR="00B67BA2" w:rsidRPr="00B67BA2">
        <w:rPr>
          <w:sz w:val="28"/>
          <w:szCs w:val="28"/>
        </w:rPr>
        <w:t>Мінфіну</w:t>
      </w:r>
      <w:proofErr w:type="spellEnd"/>
      <w:r w:rsidR="00B67BA2" w:rsidRPr="00B67BA2">
        <w:rPr>
          <w:sz w:val="28"/>
          <w:szCs w:val="28"/>
        </w:rPr>
        <w:t xml:space="preserve"> з </w:t>
      </w:r>
      <w:proofErr w:type="spellStart"/>
      <w:r w:rsidR="00B67BA2" w:rsidRPr="00B67BA2">
        <w:rPr>
          <w:sz w:val="28"/>
          <w:szCs w:val="28"/>
        </w:rPr>
        <w:t>питань</w:t>
      </w:r>
      <w:proofErr w:type="spellEnd"/>
      <w:r w:rsidR="00B67BA2" w:rsidRPr="00B67BA2">
        <w:rPr>
          <w:sz w:val="28"/>
          <w:szCs w:val="28"/>
        </w:rPr>
        <w:t xml:space="preserve"> </w:t>
      </w:r>
      <w:proofErr w:type="spellStart"/>
      <w:r w:rsidR="00B67BA2" w:rsidRPr="00B67BA2">
        <w:rPr>
          <w:sz w:val="28"/>
          <w:szCs w:val="28"/>
        </w:rPr>
        <w:t>застосування</w:t>
      </w:r>
      <w:proofErr w:type="spellEnd"/>
      <w:r w:rsidR="00B67BA2" w:rsidRPr="00B67BA2">
        <w:rPr>
          <w:sz w:val="28"/>
          <w:szCs w:val="28"/>
        </w:rPr>
        <w:t xml:space="preserve"> </w:t>
      </w:r>
      <w:proofErr w:type="spellStart"/>
      <w:r w:rsidR="00B67BA2" w:rsidRPr="00B67BA2">
        <w:rPr>
          <w:sz w:val="28"/>
          <w:szCs w:val="28"/>
        </w:rPr>
        <w:t>санкцій</w:t>
      </w:r>
      <w:proofErr w:type="spellEnd"/>
      <w:r w:rsidR="00B67BA2" w:rsidRPr="00B67BA2">
        <w:rPr>
          <w:sz w:val="28"/>
          <w:szCs w:val="28"/>
        </w:rPr>
        <w:t>)</w:t>
      </w:r>
      <w:r w:rsidR="00D9570E" w:rsidRPr="00B67BA2">
        <w:rPr>
          <w:sz w:val="28"/>
          <w:szCs w:val="28"/>
        </w:rPr>
        <w:t>.</w:t>
      </w:r>
    </w:p>
    <w:p w:rsidR="0028537D" w:rsidRDefault="0028537D" w:rsidP="009E4A0E">
      <w:pPr>
        <w:spacing w:before="12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Під час відстеження проаналізовано статистичні дані за період з </w:t>
      </w:r>
      <w:r w:rsidR="00B67BA2">
        <w:rPr>
          <w:bCs/>
          <w:sz w:val="28"/>
          <w:szCs w:val="28"/>
          <w:lang w:val="uk-UA"/>
        </w:rPr>
        <w:t>січ</w:t>
      </w:r>
      <w:r w:rsidR="00CF2102">
        <w:rPr>
          <w:bCs/>
          <w:sz w:val="28"/>
          <w:szCs w:val="28"/>
          <w:lang w:val="uk-UA"/>
        </w:rPr>
        <w:t xml:space="preserve">ня </w:t>
      </w:r>
      <w:r>
        <w:rPr>
          <w:bCs/>
          <w:sz w:val="28"/>
          <w:szCs w:val="28"/>
          <w:lang w:val="uk-UA"/>
        </w:rPr>
        <w:t>201</w:t>
      </w:r>
      <w:r w:rsidR="00B67BA2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 xml:space="preserve"> </w:t>
      </w:r>
      <w:r w:rsidR="00CF2102">
        <w:rPr>
          <w:bCs/>
          <w:sz w:val="28"/>
          <w:szCs w:val="28"/>
          <w:lang w:val="uk-UA"/>
        </w:rPr>
        <w:t xml:space="preserve">року </w:t>
      </w:r>
      <w:r>
        <w:rPr>
          <w:bCs/>
          <w:sz w:val="28"/>
          <w:szCs w:val="28"/>
          <w:lang w:val="uk-UA"/>
        </w:rPr>
        <w:t xml:space="preserve">по </w:t>
      </w:r>
      <w:r w:rsidR="00B67BA2">
        <w:rPr>
          <w:bCs/>
          <w:sz w:val="28"/>
          <w:szCs w:val="28"/>
          <w:lang w:val="uk-UA"/>
        </w:rPr>
        <w:t>жовтень</w:t>
      </w:r>
      <w:r w:rsidR="00CF210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2016</w:t>
      </w:r>
      <w:r w:rsidR="00CF2102">
        <w:rPr>
          <w:bCs/>
          <w:sz w:val="28"/>
          <w:szCs w:val="28"/>
          <w:lang w:val="uk-UA"/>
        </w:rPr>
        <w:t xml:space="preserve"> року</w:t>
      </w:r>
      <w:r>
        <w:rPr>
          <w:bCs/>
          <w:sz w:val="28"/>
          <w:szCs w:val="28"/>
          <w:lang w:val="uk-UA"/>
        </w:rPr>
        <w:t>.</w:t>
      </w:r>
    </w:p>
    <w:p w:rsidR="009E4A0E" w:rsidRDefault="009E4A0E" w:rsidP="00522B8F">
      <w:pPr>
        <w:spacing w:before="12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8. Кількісні та якісні значення показників результативності </w:t>
      </w:r>
      <w:r w:rsidR="00B5736D">
        <w:rPr>
          <w:b/>
          <w:bCs/>
          <w:color w:val="000000"/>
          <w:sz w:val="28"/>
          <w:szCs w:val="28"/>
          <w:lang w:val="uk-UA"/>
        </w:rPr>
        <w:t>акта</w:t>
      </w:r>
    </w:p>
    <w:p w:rsidR="00D9570E" w:rsidRPr="00235D0C" w:rsidRDefault="00D9570E" w:rsidP="00D9570E">
      <w:pPr>
        <w:spacing w:before="120"/>
        <w:ind w:firstLine="709"/>
        <w:jc w:val="both"/>
        <w:rPr>
          <w:bCs/>
          <w:sz w:val="28"/>
          <w:szCs w:val="28"/>
          <w:lang w:val="uk-UA"/>
        </w:rPr>
      </w:pPr>
      <w:r w:rsidRPr="00D9570E">
        <w:rPr>
          <w:bCs/>
          <w:sz w:val="28"/>
          <w:szCs w:val="28"/>
          <w:lang w:val="uk-UA"/>
        </w:rPr>
        <w:t xml:space="preserve">Кількість суб’єктів первинного фінансового моніторингу, на яких поширюється дія цього регуляторного акта, </w:t>
      </w:r>
      <w:r w:rsidR="008D74E5">
        <w:rPr>
          <w:bCs/>
          <w:sz w:val="28"/>
          <w:szCs w:val="28"/>
          <w:lang w:val="uk-UA"/>
        </w:rPr>
        <w:t>станом на 01.1</w:t>
      </w:r>
      <w:r w:rsidR="001A46AC">
        <w:rPr>
          <w:bCs/>
          <w:sz w:val="28"/>
          <w:szCs w:val="28"/>
          <w:lang w:val="uk-UA"/>
        </w:rPr>
        <w:t>0</w:t>
      </w:r>
      <w:r w:rsidR="008D74E5">
        <w:rPr>
          <w:bCs/>
          <w:sz w:val="28"/>
          <w:szCs w:val="28"/>
          <w:lang w:val="uk-UA"/>
        </w:rPr>
        <w:t xml:space="preserve">.2016 </w:t>
      </w:r>
      <w:r w:rsidRPr="00D9570E">
        <w:rPr>
          <w:bCs/>
          <w:sz w:val="28"/>
          <w:szCs w:val="28"/>
          <w:lang w:val="uk-UA"/>
        </w:rPr>
        <w:t xml:space="preserve">становить </w:t>
      </w:r>
      <w:r w:rsidR="00E60B99" w:rsidRPr="001A46AC">
        <w:rPr>
          <w:bCs/>
          <w:sz w:val="28"/>
          <w:szCs w:val="28"/>
          <w:lang w:val="uk-UA"/>
        </w:rPr>
        <w:t>11</w:t>
      </w:r>
      <w:r w:rsidR="001A46AC" w:rsidRPr="001A46AC">
        <w:rPr>
          <w:bCs/>
          <w:sz w:val="28"/>
          <w:szCs w:val="28"/>
          <w:lang w:val="uk-UA"/>
        </w:rPr>
        <w:t>6</w:t>
      </w:r>
      <w:r w:rsidRPr="00D9570E">
        <w:rPr>
          <w:bCs/>
          <w:sz w:val="28"/>
          <w:szCs w:val="28"/>
          <w:lang w:val="uk-UA"/>
        </w:rPr>
        <w:t xml:space="preserve"> суб’єктів господарювання.</w:t>
      </w:r>
      <w:r w:rsidR="00235D0C" w:rsidRPr="00235D0C">
        <w:rPr>
          <w:rFonts w:ascii="Verdana" w:hAnsi="Verdana"/>
          <w:sz w:val="18"/>
          <w:szCs w:val="18"/>
          <w:lang w:val="uk-UA"/>
        </w:rPr>
        <w:t xml:space="preserve"> </w:t>
      </w:r>
      <w:r w:rsidR="00235D0C" w:rsidRPr="00235D0C">
        <w:rPr>
          <w:bCs/>
          <w:sz w:val="28"/>
          <w:szCs w:val="28"/>
          <w:lang w:val="uk-UA"/>
        </w:rPr>
        <w:t>Кількість суб’єктів</w:t>
      </w:r>
      <w:r w:rsidR="00481BBE">
        <w:rPr>
          <w:bCs/>
          <w:sz w:val="28"/>
          <w:szCs w:val="28"/>
          <w:lang w:val="uk-UA"/>
        </w:rPr>
        <w:t xml:space="preserve"> (аудиторських фірм)</w:t>
      </w:r>
      <w:r w:rsidR="00235D0C" w:rsidRPr="00235D0C">
        <w:rPr>
          <w:bCs/>
          <w:sz w:val="28"/>
          <w:szCs w:val="28"/>
          <w:lang w:val="uk-UA"/>
        </w:rPr>
        <w:t xml:space="preserve">, які перевірено Мінфіном – </w:t>
      </w:r>
      <w:r w:rsidR="00FC55F6">
        <w:rPr>
          <w:bCs/>
          <w:sz w:val="28"/>
          <w:szCs w:val="28"/>
          <w:lang w:val="uk-UA"/>
        </w:rPr>
        <w:t>12</w:t>
      </w:r>
      <w:r w:rsidR="00FA0BC5">
        <w:rPr>
          <w:bCs/>
          <w:sz w:val="28"/>
          <w:szCs w:val="28"/>
          <w:lang w:val="uk-UA"/>
        </w:rPr>
        <w:t xml:space="preserve">, із них виявлено порушень у </w:t>
      </w:r>
      <w:r w:rsidR="00FA0BC5" w:rsidRPr="003139FE">
        <w:rPr>
          <w:bCs/>
          <w:sz w:val="28"/>
          <w:szCs w:val="28"/>
          <w:lang w:val="uk-UA"/>
        </w:rPr>
        <w:t>9</w:t>
      </w:r>
      <w:r w:rsidR="00FA0BC5">
        <w:rPr>
          <w:bCs/>
          <w:sz w:val="28"/>
          <w:szCs w:val="28"/>
          <w:lang w:val="uk-UA"/>
        </w:rPr>
        <w:t xml:space="preserve"> </w:t>
      </w:r>
      <w:r w:rsidR="00FA0BC5" w:rsidRPr="00235D0C">
        <w:rPr>
          <w:bCs/>
          <w:sz w:val="28"/>
          <w:szCs w:val="28"/>
          <w:lang w:val="uk-UA"/>
        </w:rPr>
        <w:t>суб’єктів</w:t>
      </w:r>
      <w:r w:rsidR="00235D0C" w:rsidRPr="00235D0C">
        <w:rPr>
          <w:bCs/>
          <w:sz w:val="28"/>
          <w:szCs w:val="28"/>
          <w:lang w:val="uk-UA"/>
        </w:rPr>
        <w:t>.</w:t>
      </w:r>
    </w:p>
    <w:p w:rsidR="00235D0C" w:rsidRPr="00B5736D" w:rsidRDefault="00235D0C" w:rsidP="00235D0C">
      <w:pPr>
        <w:spacing w:before="120"/>
        <w:ind w:firstLine="709"/>
        <w:jc w:val="both"/>
        <w:rPr>
          <w:bCs/>
          <w:sz w:val="28"/>
          <w:szCs w:val="28"/>
          <w:lang w:val="uk-UA"/>
        </w:rPr>
      </w:pPr>
      <w:r w:rsidRPr="00235D0C">
        <w:rPr>
          <w:bCs/>
          <w:sz w:val="28"/>
          <w:szCs w:val="28"/>
          <w:lang w:val="uk-UA"/>
        </w:rPr>
        <w:t>Комісією Мінфіну з питань застосування санкцій за період повторного відстеження (січ</w:t>
      </w:r>
      <w:r w:rsidR="00FC55F6">
        <w:rPr>
          <w:bCs/>
          <w:sz w:val="28"/>
          <w:szCs w:val="28"/>
          <w:lang w:val="uk-UA"/>
        </w:rPr>
        <w:t>е</w:t>
      </w:r>
      <w:r w:rsidRPr="00235D0C">
        <w:rPr>
          <w:bCs/>
          <w:sz w:val="28"/>
          <w:szCs w:val="28"/>
          <w:lang w:val="uk-UA"/>
        </w:rPr>
        <w:t>н</w:t>
      </w:r>
      <w:r w:rsidR="00FC55F6">
        <w:rPr>
          <w:bCs/>
          <w:sz w:val="28"/>
          <w:szCs w:val="28"/>
          <w:lang w:val="uk-UA"/>
        </w:rPr>
        <w:t>ь</w:t>
      </w:r>
      <w:r w:rsidRPr="00235D0C">
        <w:rPr>
          <w:bCs/>
          <w:sz w:val="28"/>
          <w:szCs w:val="28"/>
          <w:lang w:val="uk-UA"/>
        </w:rPr>
        <w:t xml:space="preserve"> </w:t>
      </w:r>
      <w:r w:rsidR="00FC55F6">
        <w:rPr>
          <w:bCs/>
          <w:sz w:val="28"/>
          <w:szCs w:val="28"/>
          <w:lang w:val="uk-UA"/>
        </w:rPr>
        <w:t>-</w:t>
      </w:r>
      <w:r w:rsidRPr="00235D0C">
        <w:rPr>
          <w:bCs/>
          <w:sz w:val="28"/>
          <w:szCs w:val="28"/>
          <w:lang w:val="uk-UA"/>
        </w:rPr>
        <w:t xml:space="preserve"> жовтень 2016 року) розглянуто 9 справ за результатами перевірок суб’єктів та, відповідно, до 9 суб’єктів застосовані штрафні санкції на загальну суму </w:t>
      </w:r>
      <w:r w:rsidR="00FC55F6">
        <w:rPr>
          <w:bCs/>
          <w:sz w:val="28"/>
          <w:szCs w:val="28"/>
          <w:lang w:val="uk-UA"/>
        </w:rPr>
        <w:t>190 400</w:t>
      </w:r>
      <w:r w:rsidRPr="00235D0C">
        <w:rPr>
          <w:bCs/>
          <w:sz w:val="28"/>
          <w:szCs w:val="28"/>
          <w:lang w:val="uk-UA"/>
        </w:rPr>
        <w:t xml:space="preserve"> гривень. За період базового відстеження </w:t>
      </w:r>
      <w:r>
        <w:rPr>
          <w:bCs/>
          <w:sz w:val="28"/>
          <w:szCs w:val="28"/>
          <w:lang w:val="uk-UA"/>
        </w:rPr>
        <w:t xml:space="preserve"> </w:t>
      </w:r>
      <w:r w:rsidRPr="00B5736D">
        <w:rPr>
          <w:bCs/>
          <w:sz w:val="28"/>
          <w:szCs w:val="28"/>
          <w:lang w:val="uk-UA"/>
        </w:rPr>
        <w:t xml:space="preserve">перевірки </w:t>
      </w:r>
      <w:r>
        <w:rPr>
          <w:bCs/>
          <w:sz w:val="28"/>
          <w:szCs w:val="28"/>
          <w:lang w:val="uk-UA"/>
        </w:rPr>
        <w:t>суб’єктів первинного фінансового моніторингу</w:t>
      </w:r>
      <w:r w:rsidRPr="00B5736D">
        <w:rPr>
          <w:bCs/>
          <w:sz w:val="28"/>
          <w:szCs w:val="28"/>
          <w:lang w:val="uk-UA"/>
        </w:rPr>
        <w:t xml:space="preserve"> не проводились</w:t>
      </w:r>
      <w:r>
        <w:rPr>
          <w:bCs/>
          <w:sz w:val="28"/>
          <w:szCs w:val="28"/>
          <w:lang w:val="uk-UA"/>
        </w:rPr>
        <w:t xml:space="preserve">, оскільки діяв мораторій на перевірки </w:t>
      </w:r>
      <w:r w:rsidRPr="00B5736D">
        <w:rPr>
          <w:bCs/>
          <w:sz w:val="28"/>
          <w:szCs w:val="28"/>
          <w:lang w:val="uk-UA"/>
        </w:rPr>
        <w:t xml:space="preserve">підприємств, установ та організацій, фізичних осіб – підприємців контролюючими органами, встановлений </w:t>
      </w:r>
      <w:r>
        <w:rPr>
          <w:bCs/>
          <w:sz w:val="28"/>
          <w:szCs w:val="28"/>
          <w:lang w:val="uk-UA"/>
        </w:rPr>
        <w:t>З</w:t>
      </w:r>
      <w:r w:rsidRPr="00B5736D">
        <w:rPr>
          <w:bCs/>
          <w:sz w:val="28"/>
          <w:szCs w:val="28"/>
          <w:lang w:val="uk-UA"/>
        </w:rPr>
        <w:t>аконам України «Про внесення змін та визнання такими, що втратили чинність, деяких законодавчих актів України від 28.12.2014 року № 76-VIII та відповідні рішення Кабінету Міністрів України щодо дозволу на проведення перевірок не приймалися.</w:t>
      </w:r>
    </w:p>
    <w:p w:rsidR="00D9570E" w:rsidRPr="00D9570E" w:rsidRDefault="00D9570E" w:rsidP="00D9570E">
      <w:pPr>
        <w:spacing w:before="120"/>
        <w:ind w:firstLine="709"/>
        <w:jc w:val="both"/>
        <w:rPr>
          <w:bCs/>
          <w:sz w:val="28"/>
          <w:szCs w:val="28"/>
          <w:lang w:val="uk-UA"/>
        </w:rPr>
      </w:pPr>
      <w:r w:rsidRPr="00D9570E">
        <w:rPr>
          <w:bCs/>
          <w:sz w:val="28"/>
          <w:szCs w:val="28"/>
          <w:lang w:val="uk-UA"/>
        </w:rPr>
        <w:t xml:space="preserve">Рівень поінформованості суб’єктів з основними положеннями акта високий, оскільки наказ розміщено на офіційному </w:t>
      </w:r>
      <w:r w:rsidRPr="00D9570E">
        <w:rPr>
          <w:bCs/>
          <w:sz w:val="28"/>
          <w:lang w:val="uk-UA"/>
        </w:rPr>
        <w:t>веб-сайті</w:t>
      </w:r>
      <w:r w:rsidRPr="00D9570E">
        <w:rPr>
          <w:bCs/>
          <w:sz w:val="28"/>
          <w:szCs w:val="28"/>
          <w:lang w:val="uk-UA"/>
        </w:rPr>
        <w:t xml:space="preserve"> Міністерства фінансів; постійно проводяться навчальні семінари, круглі столи для фахівців у сфері фінансового моніторингу та надаються роз’яснення суб’єктам. </w:t>
      </w:r>
    </w:p>
    <w:p w:rsidR="00654C0F" w:rsidRPr="00D9570E" w:rsidRDefault="00654C0F" w:rsidP="00654C0F">
      <w:pPr>
        <w:spacing w:before="120" w:after="120"/>
        <w:ind w:firstLine="709"/>
        <w:jc w:val="both"/>
        <w:rPr>
          <w:sz w:val="27"/>
          <w:szCs w:val="27"/>
          <w:lang w:val="uk-UA"/>
        </w:rPr>
      </w:pPr>
      <w:r w:rsidRPr="00D9570E">
        <w:rPr>
          <w:sz w:val="27"/>
          <w:szCs w:val="27"/>
          <w:lang w:val="uk-UA"/>
        </w:rPr>
        <w:t>Розмір коштів і час, що витрачали суб’єкти</w:t>
      </w:r>
      <w:r w:rsidR="00231E8B" w:rsidRPr="00D9570E">
        <w:rPr>
          <w:sz w:val="27"/>
          <w:szCs w:val="27"/>
          <w:lang w:val="uk-UA"/>
        </w:rPr>
        <w:t xml:space="preserve"> господарювання та/або фізичні особи</w:t>
      </w:r>
      <w:r w:rsidRPr="00D9570E">
        <w:rPr>
          <w:sz w:val="27"/>
          <w:szCs w:val="27"/>
          <w:lang w:val="uk-UA"/>
        </w:rPr>
        <w:t>, пов’язан</w:t>
      </w:r>
      <w:r w:rsidR="00231E8B" w:rsidRPr="00D9570E">
        <w:rPr>
          <w:sz w:val="27"/>
          <w:szCs w:val="27"/>
          <w:lang w:val="uk-UA"/>
        </w:rPr>
        <w:t>і</w:t>
      </w:r>
      <w:r w:rsidRPr="00D9570E">
        <w:rPr>
          <w:sz w:val="27"/>
          <w:szCs w:val="27"/>
          <w:lang w:val="uk-UA"/>
        </w:rPr>
        <w:t xml:space="preserve"> з виконанням вимог регуляторного акта</w:t>
      </w:r>
      <w:r w:rsidR="00231E8B" w:rsidRPr="00D9570E">
        <w:rPr>
          <w:sz w:val="27"/>
          <w:szCs w:val="27"/>
          <w:lang w:val="uk-UA"/>
        </w:rPr>
        <w:t xml:space="preserve"> </w:t>
      </w:r>
      <w:r w:rsidR="00231E8B" w:rsidRPr="00D9570E">
        <w:rPr>
          <w:bCs/>
          <w:sz w:val="28"/>
          <w:szCs w:val="28"/>
          <w:lang w:val="uk-UA"/>
        </w:rPr>
        <w:t>–</w:t>
      </w:r>
      <w:r w:rsidR="00231E8B" w:rsidRPr="00D9570E">
        <w:rPr>
          <w:sz w:val="27"/>
          <w:szCs w:val="27"/>
          <w:lang w:val="uk-UA"/>
        </w:rPr>
        <w:t xml:space="preserve"> </w:t>
      </w:r>
      <w:r w:rsidRPr="00D9570E">
        <w:rPr>
          <w:sz w:val="27"/>
          <w:szCs w:val="27"/>
          <w:lang w:val="uk-UA"/>
        </w:rPr>
        <w:t xml:space="preserve">додаткових </w:t>
      </w:r>
      <w:r w:rsidR="00231E8B" w:rsidRPr="00D9570E">
        <w:rPr>
          <w:sz w:val="27"/>
          <w:szCs w:val="27"/>
          <w:lang w:val="uk-UA"/>
        </w:rPr>
        <w:t xml:space="preserve">коштів та </w:t>
      </w:r>
      <w:r w:rsidRPr="00D9570E">
        <w:rPr>
          <w:sz w:val="27"/>
          <w:szCs w:val="27"/>
          <w:lang w:val="uk-UA"/>
        </w:rPr>
        <w:t xml:space="preserve"> час</w:t>
      </w:r>
      <w:r w:rsidR="00231E8B" w:rsidRPr="00D9570E">
        <w:rPr>
          <w:sz w:val="27"/>
          <w:szCs w:val="27"/>
          <w:lang w:val="uk-UA"/>
        </w:rPr>
        <w:t>у не</w:t>
      </w:r>
      <w:r w:rsidRPr="00D9570E">
        <w:rPr>
          <w:sz w:val="27"/>
          <w:szCs w:val="27"/>
          <w:lang w:val="uk-UA"/>
        </w:rPr>
        <w:t xml:space="preserve"> витра</w:t>
      </w:r>
      <w:r w:rsidR="00231E8B" w:rsidRPr="00D9570E">
        <w:rPr>
          <w:sz w:val="27"/>
          <w:szCs w:val="27"/>
          <w:lang w:val="uk-UA"/>
        </w:rPr>
        <w:t>чено</w:t>
      </w:r>
      <w:r w:rsidRPr="00D9570E">
        <w:rPr>
          <w:sz w:val="27"/>
          <w:szCs w:val="27"/>
          <w:lang w:val="uk-UA"/>
        </w:rPr>
        <w:t>.</w:t>
      </w:r>
    </w:p>
    <w:p w:rsidR="009E4A0E" w:rsidRDefault="009E4A0E" w:rsidP="00231E8B">
      <w:pPr>
        <w:pStyle w:val="2"/>
        <w:spacing w:before="120" w:after="0" w:line="24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Оцінка результатів реалізації регуляторного акта та ступеня досягнення визначених цілей</w:t>
      </w:r>
    </w:p>
    <w:p w:rsidR="00231E8B" w:rsidRPr="0028537D" w:rsidRDefault="00231E8B" w:rsidP="00231E8B">
      <w:pPr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Наказом встановлено порядок проведення перевірок та удосконалено функції нагляду за </w:t>
      </w:r>
      <w:r w:rsidRPr="0028537D">
        <w:rPr>
          <w:bCs/>
          <w:color w:val="000000"/>
          <w:sz w:val="28"/>
          <w:szCs w:val="28"/>
          <w:lang w:val="uk-UA"/>
        </w:rPr>
        <w:t>суб’єкт</w:t>
      </w:r>
      <w:r>
        <w:rPr>
          <w:bCs/>
          <w:color w:val="000000"/>
          <w:sz w:val="28"/>
          <w:szCs w:val="28"/>
          <w:lang w:val="uk-UA"/>
        </w:rPr>
        <w:t>ами</w:t>
      </w:r>
      <w:r w:rsidRPr="0028537D">
        <w:rPr>
          <w:bCs/>
          <w:color w:val="000000"/>
          <w:sz w:val="28"/>
          <w:szCs w:val="28"/>
          <w:lang w:val="uk-UA"/>
        </w:rPr>
        <w:t xml:space="preserve"> первинного фінансового моніторингу  </w:t>
      </w:r>
      <w:r>
        <w:rPr>
          <w:bCs/>
          <w:color w:val="000000"/>
          <w:sz w:val="28"/>
          <w:szCs w:val="28"/>
          <w:lang w:val="uk-UA"/>
        </w:rPr>
        <w:t>щодо дотримання ними вимог</w:t>
      </w:r>
      <w:r w:rsidRPr="0028537D">
        <w:rPr>
          <w:bCs/>
          <w:color w:val="000000"/>
          <w:sz w:val="28"/>
          <w:szCs w:val="28"/>
          <w:lang w:val="uk-UA"/>
        </w:rPr>
        <w:t xml:space="preserve">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9E4A0E" w:rsidRDefault="009E4A0E" w:rsidP="009E4A0E">
      <w:pPr>
        <w:pStyle w:val="a3"/>
        <w:widowControl w:val="0"/>
        <w:tabs>
          <w:tab w:val="left" w:pos="709"/>
        </w:tabs>
        <w:spacing w:before="60" w:after="60"/>
        <w:ind w:firstLine="567"/>
        <w:jc w:val="both"/>
        <w:rPr>
          <w:bCs/>
          <w:sz w:val="28"/>
          <w:szCs w:val="28"/>
          <w:lang w:val="uk-UA"/>
        </w:rPr>
      </w:pPr>
    </w:p>
    <w:p w:rsidR="00522B8F" w:rsidRDefault="00522B8F" w:rsidP="009E4A0E">
      <w:pPr>
        <w:pStyle w:val="a3"/>
        <w:widowControl w:val="0"/>
        <w:tabs>
          <w:tab w:val="left" w:pos="709"/>
        </w:tabs>
        <w:spacing w:before="60" w:after="60"/>
        <w:ind w:firstLine="567"/>
        <w:jc w:val="both"/>
        <w:rPr>
          <w:bCs/>
          <w:sz w:val="28"/>
          <w:szCs w:val="28"/>
          <w:lang w:val="uk-UA"/>
        </w:rPr>
      </w:pPr>
    </w:p>
    <w:p w:rsidR="008D74E5" w:rsidRPr="00933E97" w:rsidRDefault="008D74E5" w:rsidP="008D74E5">
      <w:pPr>
        <w:jc w:val="both"/>
        <w:rPr>
          <w:b/>
          <w:sz w:val="28"/>
          <w:szCs w:val="28"/>
          <w:lang w:eastAsia="uk-UA"/>
        </w:rPr>
      </w:pPr>
      <w:r w:rsidRPr="00933E97">
        <w:rPr>
          <w:b/>
          <w:sz w:val="28"/>
          <w:szCs w:val="28"/>
          <w:lang w:eastAsia="uk-UA"/>
        </w:rPr>
        <w:t xml:space="preserve">Заступник </w:t>
      </w:r>
      <w:proofErr w:type="spellStart"/>
      <w:r w:rsidRPr="00933E97">
        <w:rPr>
          <w:b/>
          <w:sz w:val="28"/>
          <w:szCs w:val="28"/>
          <w:lang w:eastAsia="uk-UA"/>
        </w:rPr>
        <w:t>Міністра</w:t>
      </w:r>
      <w:proofErr w:type="spellEnd"/>
      <w:r w:rsidRPr="00933E97">
        <w:rPr>
          <w:b/>
          <w:sz w:val="28"/>
          <w:szCs w:val="28"/>
          <w:lang w:eastAsia="uk-UA"/>
        </w:rPr>
        <w:t xml:space="preserve"> –</w:t>
      </w:r>
    </w:p>
    <w:p w:rsidR="008D74E5" w:rsidRDefault="008D74E5" w:rsidP="008D74E5">
      <w:pPr>
        <w:jc w:val="both"/>
        <w:rPr>
          <w:b/>
          <w:sz w:val="28"/>
          <w:szCs w:val="28"/>
          <w:lang w:eastAsia="uk-UA"/>
        </w:rPr>
      </w:pPr>
      <w:proofErr w:type="spellStart"/>
      <w:r w:rsidRPr="00933E97">
        <w:rPr>
          <w:b/>
          <w:sz w:val="28"/>
          <w:szCs w:val="28"/>
          <w:lang w:eastAsia="uk-UA"/>
        </w:rPr>
        <w:t>керівник</w:t>
      </w:r>
      <w:proofErr w:type="spellEnd"/>
      <w:r w:rsidRPr="00933E97">
        <w:rPr>
          <w:b/>
          <w:sz w:val="28"/>
          <w:szCs w:val="28"/>
          <w:lang w:eastAsia="uk-UA"/>
        </w:rPr>
        <w:t xml:space="preserve"> </w:t>
      </w:r>
      <w:proofErr w:type="spellStart"/>
      <w:r w:rsidRPr="00933E97">
        <w:rPr>
          <w:b/>
          <w:sz w:val="28"/>
          <w:szCs w:val="28"/>
          <w:lang w:eastAsia="uk-UA"/>
        </w:rPr>
        <w:t>апарату</w:t>
      </w:r>
      <w:proofErr w:type="spellEnd"/>
      <w:r w:rsidRPr="00933E97">
        <w:rPr>
          <w:b/>
          <w:sz w:val="28"/>
          <w:szCs w:val="28"/>
          <w:lang w:eastAsia="uk-UA"/>
        </w:rPr>
        <w:t xml:space="preserve">                                                                               Є. КАПІНУС </w:t>
      </w:r>
    </w:p>
    <w:p w:rsidR="00AF2623" w:rsidRPr="008D74E5" w:rsidRDefault="00AF2623" w:rsidP="00DC0F75">
      <w:pPr>
        <w:jc w:val="both"/>
        <w:rPr>
          <w:b/>
          <w:sz w:val="28"/>
          <w:szCs w:val="28"/>
        </w:rPr>
      </w:pPr>
    </w:p>
    <w:sectPr w:rsidR="00AF2623" w:rsidRPr="008D74E5" w:rsidSect="00231E8B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D7C"/>
    <w:multiLevelType w:val="hybridMultilevel"/>
    <w:tmpl w:val="CDE0A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0E"/>
    <w:rsid w:val="000A7029"/>
    <w:rsid w:val="001319A6"/>
    <w:rsid w:val="001769B8"/>
    <w:rsid w:val="001A46AC"/>
    <w:rsid w:val="00231E8B"/>
    <w:rsid w:val="00235D0C"/>
    <w:rsid w:val="00282570"/>
    <w:rsid w:val="0028537D"/>
    <w:rsid w:val="002C2237"/>
    <w:rsid w:val="003139FE"/>
    <w:rsid w:val="003225C9"/>
    <w:rsid w:val="004228C2"/>
    <w:rsid w:val="00481BBE"/>
    <w:rsid w:val="00522B8F"/>
    <w:rsid w:val="00527680"/>
    <w:rsid w:val="00653E53"/>
    <w:rsid w:val="00654C0F"/>
    <w:rsid w:val="007F7846"/>
    <w:rsid w:val="008D74E5"/>
    <w:rsid w:val="009601DC"/>
    <w:rsid w:val="009E4A0E"/>
    <w:rsid w:val="00AF2623"/>
    <w:rsid w:val="00AF75C4"/>
    <w:rsid w:val="00B01956"/>
    <w:rsid w:val="00B211F4"/>
    <w:rsid w:val="00B5736D"/>
    <w:rsid w:val="00B67BA2"/>
    <w:rsid w:val="00BE56D5"/>
    <w:rsid w:val="00CF2102"/>
    <w:rsid w:val="00D31B63"/>
    <w:rsid w:val="00D6478F"/>
    <w:rsid w:val="00D9570E"/>
    <w:rsid w:val="00DC0F75"/>
    <w:rsid w:val="00E60B99"/>
    <w:rsid w:val="00F53B03"/>
    <w:rsid w:val="00FA0BC5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4A0E"/>
    <w:pPr>
      <w:spacing w:after="120"/>
    </w:pPr>
  </w:style>
  <w:style w:type="character" w:customStyle="1" w:styleId="a4">
    <w:name w:val="Основний текст Знак"/>
    <w:basedOn w:val="a0"/>
    <w:link w:val="a3"/>
    <w:rsid w:val="009E4A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nhideWhenUsed/>
    <w:rsid w:val="009E4A0E"/>
    <w:pPr>
      <w:spacing w:after="120" w:line="480" w:lineRule="auto"/>
      <w:ind w:left="283"/>
    </w:pPr>
    <w:rPr>
      <w:sz w:val="20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9E4A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5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D9570E"/>
  </w:style>
  <w:style w:type="paragraph" w:styleId="a6">
    <w:name w:val="Plain Text"/>
    <w:basedOn w:val="a"/>
    <w:link w:val="a7"/>
    <w:rsid w:val="000A7029"/>
    <w:rPr>
      <w:rFonts w:ascii="Courier New" w:hAnsi="Courier New"/>
      <w:sz w:val="20"/>
      <w:szCs w:val="20"/>
      <w:lang w:val="uk-UA"/>
    </w:rPr>
  </w:style>
  <w:style w:type="character" w:customStyle="1" w:styleId="a7">
    <w:name w:val="Текст Знак"/>
    <w:basedOn w:val="a0"/>
    <w:link w:val="a6"/>
    <w:rsid w:val="000A70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769B8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1769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1769B8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er"/>
    <w:basedOn w:val="a"/>
    <w:link w:val="a9"/>
    <w:rsid w:val="001769B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1769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A0B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A0BC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4A0E"/>
    <w:pPr>
      <w:spacing w:after="120"/>
    </w:pPr>
  </w:style>
  <w:style w:type="character" w:customStyle="1" w:styleId="a4">
    <w:name w:val="Основний текст Знак"/>
    <w:basedOn w:val="a0"/>
    <w:link w:val="a3"/>
    <w:rsid w:val="009E4A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nhideWhenUsed/>
    <w:rsid w:val="009E4A0E"/>
    <w:pPr>
      <w:spacing w:after="120" w:line="480" w:lineRule="auto"/>
      <w:ind w:left="283"/>
    </w:pPr>
    <w:rPr>
      <w:sz w:val="20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9E4A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5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D9570E"/>
  </w:style>
  <w:style w:type="paragraph" w:styleId="a6">
    <w:name w:val="Plain Text"/>
    <w:basedOn w:val="a"/>
    <w:link w:val="a7"/>
    <w:rsid w:val="000A7029"/>
    <w:rPr>
      <w:rFonts w:ascii="Courier New" w:hAnsi="Courier New"/>
      <w:sz w:val="20"/>
      <w:szCs w:val="20"/>
      <w:lang w:val="uk-UA"/>
    </w:rPr>
  </w:style>
  <w:style w:type="character" w:customStyle="1" w:styleId="a7">
    <w:name w:val="Текст Знак"/>
    <w:basedOn w:val="a0"/>
    <w:link w:val="a6"/>
    <w:rsid w:val="000A70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769B8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1769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1769B8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er"/>
    <w:basedOn w:val="a"/>
    <w:link w:val="a9"/>
    <w:rsid w:val="001769B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1769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A0B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A0B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2722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16</cp:revision>
  <cp:lastPrinted>2016-11-28T14:12:00Z</cp:lastPrinted>
  <dcterms:created xsi:type="dcterms:W3CDTF">2016-11-17T13:17:00Z</dcterms:created>
  <dcterms:modified xsi:type="dcterms:W3CDTF">2016-11-28T14:12:00Z</dcterms:modified>
</cp:coreProperties>
</file>