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1" w:rsidRDefault="007340D1" w:rsidP="00AB5995">
      <w:pPr>
        <w:pStyle w:val="a5"/>
        <w:rPr>
          <w:sz w:val="18"/>
          <w:szCs w:val="18"/>
          <w:lang w:val="uk-UA"/>
        </w:rPr>
      </w:pPr>
    </w:p>
    <w:p w:rsidR="007340D1" w:rsidRPr="00522B8F" w:rsidRDefault="007340D1" w:rsidP="007340D1">
      <w:pPr>
        <w:jc w:val="center"/>
        <w:rPr>
          <w:b/>
          <w:bCs/>
          <w:color w:val="000000"/>
          <w:sz w:val="28"/>
          <w:szCs w:val="28"/>
        </w:rPr>
      </w:pPr>
      <w:r w:rsidRPr="00522B8F">
        <w:rPr>
          <w:b/>
          <w:bCs/>
          <w:color w:val="000000"/>
          <w:sz w:val="28"/>
          <w:szCs w:val="28"/>
        </w:rPr>
        <w:t>Звіт</w:t>
      </w:r>
    </w:p>
    <w:p w:rsidR="007340D1" w:rsidRPr="00522B8F" w:rsidRDefault="007340D1" w:rsidP="007340D1">
      <w:pPr>
        <w:jc w:val="center"/>
        <w:rPr>
          <w:b/>
          <w:bCs/>
          <w:sz w:val="28"/>
          <w:szCs w:val="28"/>
        </w:rPr>
      </w:pPr>
      <w:r w:rsidRPr="00522B8F">
        <w:rPr>
          <w:b/>
          <w:bCs/>
          <w:sz w:val="28"/>
          <w:szCs w:val="28"/>
        </w:rPr>
        <w:t xml:space="preserve">про </w:t>
      </w:r>
      <w:r w:rsidR="00BD159B" w:rsidRPr="0073145F">
        <w:rPr>
          <w:b/>
          <w:bCs/>
          <w:sz w:val="28"/>
          <w:szCs w:val="28"/>
        </w:rPr>
        <w:t>повторне</w:t>
      </w:r>
      <w:r w:rsidRPr="00522B8F">
        <w:rPr>
          <w:b/>
          <w:bCs/>
          <w:sz w:val="28"/>
          <w:szCs w:val="28"/>
        </w:rPr>
        <w:t xml:space="preserve"> відстеження результативності</w:t>
      </w:r>
    </w:p>
    <w:p w:rsidR="007340D1" w:rsidRPr="00522B8F" w:rsidRDefault="007340D1" w:rsidP="007340D1">
      <w:pPr>
        <w:jc w:val="center"/>
        <w:rPr>
          <w:b/>
          <w:sz w:val="28"/>
          <w:szCs w:val="28"/>
        </w:rPr>
      </w:pPr>
      <w:r w:rsidRPr="00522B8F">
        <w:rPr>
          <w:b/>
          <w:sz w:val="28"/>
          <w:szCs w:val="28"/>
        </w:rPr>
        <w:t>наказу Міністерства фінансів від 14.04.2015 № 436 «Про затвердження Порядку проведення перевірок Державною службою фінансового моніторингу України суб’єктів первинного фінансового моніторингу»</w:t>
      </w:r>
    </w:p>
    <w:p w:rsidR="007340D1" w:rsidRDefault="007340D1" w:rsidP="007340D1">
      <w:pPr>
        <w:jc w:val="center"/>
        <w:rPr>
          <w:b/>
          <w:bCs/>
          <w:color w:val="000000"/>
          <w:sz w:val="28"/>
          <w:szCs w:val="28"/>
        </w:rPr>
      </w:pPr>
    </w:p>
    <w:p w:rsidR="007340D1" w:rsidRDefault="007340D1" w:rsidP="007340D1">
      <w:pPr>
        <w:tabs>
          <w:tab w:val="left" w:pos="2127"/>
        </w:tabs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Вид та назва регуляторного акта</w:t>
      </w:r>
    </w:p>
    <w:p w:rsidR="007340D1" w:rsidRDefault="007340D1" w:rsidP="007340D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Наказ Міністерства фінансів У</w:t>
      </w:r>
      <w:bookmarkStart w:id="0" w:name="_GoBack"/>
      <w:bookmarkEnd w:id="0"/>
      <w:r>
        <w:rPr>
          <w:iCs/>
          <w:sz w:val="28"/>
          <w:szCs w:val="28"/>
        </w:rPr>
        <w:t xml:space="preserve">країни від 14.04.2015 № 436 </w:t>
      </w:r>
      <w:r>
        <w:rPr>
          <w:sz w:val="28"/>
          <w:szCs w:val="28"/>
        </w:rPr>
        <w:t>«</w:t>
      </w:r>
      <w:r w:rsidRPr="009E4A0E">
        <w:rPr>
          <w:sz w:val="28"/>
          <w:szCs w:val="28"/>
        </w:rPr>
        <w:t>Про затвердження Порядку проведення перевірок Державною службою фінансового моніторингу України суб’єктів первинного фінансового моніторингу</w:t>
      </w:r>
      <w:r>
        <w:rPr>
          <w:sz w:val="28"/>
          <w:szCs w:val="28"/>
        </w:rPr>
        <w:t>», зареєстрований в Міністерстві юстиції України  05.05.2015 за № 492/26937 (далі – Наказ).</w:t>
      </w:r>
    </w:p>
    <w:p w:rsidR="007340D1" w:rsidRDefault="007340D1" w:rsidP="007340D1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Назва виконавця заходів з базового відстеження </w:t>
      </w:r>
    </w:p>
    <w:p w:rsidR="007340D1" w:rsidRDefault="007340D1" w:rsidP="007340D1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України, Державна служба фінансового моніторингу України (далі – </w:t>
      </w:r>
      <w:proofErr w:type="spellStart"/>
      <w:r>
        <w:rPr>
          <w:sz w:val="28"/>
          <w:szCs w:val="28"/>
        </w:rPr>
        <w:t>Держфінмоніторинг</w:t>
      </w:r>
      <w:proofErr w:type="spellEnd"/>
      <w:r>
        <w:rPr>
          <w:sz w:val="28"/>
          <w:szCs w:val="28"/>
        </w:rPr>
        <w:t>).</w:t>
      </w:r>
    </w:p>
    <w:p w:rsidR="007340D1" w:rsidRPr="0028537D" w:rsidRDefault="007340D1" w:rsidP="007340D1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 w:rsidRPr="0028537D">
        <w:rPr>
          <w:b/>
          <w:bCs/>
          <w:color w:val="000000"/>
          <w:sz w:val="28"/>
          <w:szCs w:val="28"/>
        </w:rPr>
        <w:t>3. Цілі прийняття акта</w:t>
      </w:r>
    </w:p>
    <w:p w:rsidR="007340D1" w:rsidRPr="0028537D" w:rsidRDefault="007340D1" w:rsidP="007340D1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28537D">
        <w:rPr>
          <w:bCs/>
          <w:color w:val="000000"/>
          <w:sz w:val="28"/>
          <w:szCs w:val="28"/>
        </w:rPr>
        <w:t xml:space="preserve">Регуляторний акт спрямований на урегулювання процедури проведення </w:t>
      </w:r>
      <w:proofErr w:type="spellStart"/>
      <w:r w:rsidRPr="0028537D">
        <w:rPr>
          <w:bCs/>
          <w:color w:val="000000"/>
          <w:sz w:val="28"/>
          <w:szCs w:val="28"/>
        </w:rPr>
        <w:t>Держфінмоніторингом</w:t>
      </w:r>
      <w:proofErr w:type="spellEnd"/>
      <w:r w:rsidRPr="0028537D">
        <w:rPr>
          <w:bCs/>
          <w:color w:val="000000"/>
          <w:sz w:val="28"/>
          <w:szCs w:val="28"/>
        </w:rPr>
        <w:t xml:space="preserve"> перевірок піднаглядних суб’єктів первинного фінансового моніторингу  відповідно до чинного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7340D1" w:rsidRDefault="007340D1" w:rsidP="007340D1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Строк виконання заходів з базового відстеження </w:t>
      </w:r>
    </w:p>
    <w:p w:rsidR="007340D1" w:rsidRDefault="007E6245" w:rsidP="007340D1">
      <w:pPr>
        <w:pStyle w:val="21"/>
        <w:spacing w:before="12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Листопад</w:t>
      </w:r>
      <w:r w:rsidR="007340D1">
        <w:rPr>
          <w:bCs/>
          <w:sz w:val="28"/>
          <w:szCs w:val="28"/>
        </w:rPr>
        <w:t xml:space="preserve"> 2016 року. </w:t>
      </w:r>
    </w:p>
    <w:p w:rsidR="007340D1" w:rsidRDefault="007340D1" w:rsidP="007340D1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Тип відстеження.</w:t>
      </w:r>
    </w:p>
    <w:p w:rsidR="007340D1" w:rsidRDefault="007E6245" w:rsidP="007340D1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Повторне</w:t>
      </w:r>
      <w:r w:rsidR="007340D1">
        <w:rPr>
          <w:color w:val="000000"/>
          <w:sz w:val="28"/>
          <w:szCs w:val="28"/>
        </w:rPr>
        <w:t xml:space="preserve"> відстеження.</w:t>
      </w:r>
    </w:p>
    <w:p w:rsidR="007340D1" w:rsidRDefault="007340D1" w:rsidP="007340D1">
      <w:pPr>
        <w:spacing w:before="12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6. Методи одержання результатів відстеження</w:t>
      </w:r>
    </w:p>
    <w:p w:rsidR="007340D1" w:rsidRDefault="007340D1" w:rsidP="007340D1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Статистичний метод.</w:t>
      </w:r>
    </w:p>
    <w:p w:rsidR="007340D1" w:rsidRDefault="007340D1" w:rsidP="007340D1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 Дані та припущення, на основі яких відстежувалася результативність, а також способи одержання даних</w:t>
      </w:r>
    </w:p>
    <w:p w:rsidR="007340D1" w:rsidRDefault="007340D1" w:rsidP="007340D1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Відстеження здійснювалось шляхом аналізу статистичних даних щодо кількості суб’єктів первинного фінансового моніторингу, державне регулювання і нагляд за діяльністю яких здійснює </w:t>
      </w:r>
      <w:proofErr w:type="spellStart"/>
      <w:r>
        <w:rPr>
          <w:bCs/>
          <w:sz w:val="28"/>
          <w:szCs w:val="28"/>
        </w:rPr>
        <w:t>Держфінмоніторинг</w:t>
      </w:r>
      <w:proofErr w:type="spellEnd"/>
      <w:r>
        <w:rPr>
          <w:bCs/>
          <w:sz w:val="28"/>
          <w:szCs w:val="28"/>
        </w:rPr>
        <w:t xml:space="preserve">, які стали на облік у </w:t>
      </w:r>
      <w:proofErr w:type="spellStart"/>
      <w:r>
        <w:rPr>
          <w:bCs/>
          <w:sz w:val="28"/>
          <w:szCs w:val="28"/>
        </w:rPr>
        <w:t>Держфінмоніторингу</w:t>
      </w:r>
      <w:proofErr w:type="spellEnd"/>
      <w:r>
        <w:rPr>
          <w:bCs/>
          <w:sz w:val="28"/>
          <w:szCs w:val="28"/>
        </w:rPr>
        <w:t>.</w:t>
      </w:r>
    </w:p>
    <w:p w:rsidR="007340D1" w:rsidRDefault="007340D1" w:rsidP="007340D1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Кількісні та якісні значення показників результативності акта</w:t>
      </w:r>
    </w:p>
    <w:p w:rsidR="007340D1" w:rsidRDefault="007340D1" w:rsidP="007340D1">
      <w:pPr>
        <w:pStyle w:val="21"/>
        <w:spacing w:before="120" w:after="0" w:line="240" w:lineRule="auto"/>
        <w:ind w:left="0"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>Кількість суб’єктів первинного фінансового моніторингу – суб’єктів підприємницької діяльності,</w:t>
      </w:r>
      <w:r w:rsidRPr="00654C0F">
        <w:rPr>
          <w:sz w:val="27"/>
          <w:szCs w:val="27"/>
        </w:rPr>
        <w:t xml:space="preserve"> </w:t>
      </w:r>
      <w:r w:rsidRPr="00B8267E">
        <w:rPr>
          <w:sz w:val="27"/>
          <w:szCs w:val="27"/>
        </w:rPr>
        <w:t xml:space="preserve">які надають посередницькі послуги під час здійснення операцій з купівлі-продажу нерухомого майна, які </w:t>
      </w:r>
      <w:r>
        <w:rPr>
          <w:sz w:val="27"/>
          <w:szCs w:val="27"/>
        </w:rPr>
        <w:t>стоять</w:t>
      </w:r>
      <w:r w:rsidRPr="00B8267E">
        <w:rPr>
          <w:sz w:val="27"/>
          <w:szCs w:val="27"/>
        </w:rPr>
        <w:t xml:space="preserve"> на обліку в </w:t>
      </w:r>
      <w:proofErr w:type="spellStart"/>
      <w:r w:rsidRPr="00B8267E">
        <w:rPr>
          <w:sz w:val="27"/>
          <w:szCs w:val="27"/>
        </w:rPr>
        <w:lastRenderedPageBreak/>
        <w:t>Держфінмоніторингу</w:t>
      </w:r>
      <w:proofErr w:type="spellEnd"/>
      <w:r>
        <w:rPr>
          <w:sz w:val="27"/>
          <w:szCs w:val="27"/>
        </w:rPr>
        <w:t>, та на яких поширюється дія акта станом на 0</w:t>
      </w:r>
      <w:r w:rsidR="004C1692">
        <w:rPr>
          <w:sz w:val="27"/>
          <w:szCs w:val="27"/>
        </w:rPr>
        <w:t>7</w:t>
      </w:r>
      <w:r>
        <w:rPr>
          <w:sz w:val="27"/>
          <w:szCs w:val="27"/>
        </w:rPr>
        <w:t>.</w:t>
      </w:r>
      <w:r w:rsidR="004C1692">
        <w:rPr>
          <w:sz w:val="27"/>
          <w:szCs w:val="27"/>
        </w:rPr>
        <w:t>11</w:t>
      </w:r>
      <w:r>
        <w:rPr>
          <w:sz w:val="27"/>
          <w:szCs w:val="27"/>
        </w:rPr>
        <w:t xml:space="preserve">.2016 складає – </w:t>
      </w:r>
      <w:r w:rsidR="004C1692">
        <w:rPr>
          <w:sz w:val="27"/>
          <w:szCs w:val="27"/>
        </w:rPr>
        <w:t>192</w:t>
      </w:r>
      <w:r>
        <w:rPr>
          <w:sz w:val="27"/>
          <w:szCs w:val="27"/>
        </w:rPr>
        <w:t>.</w:t>
      </w:r>
    </w:p>
    <w:p w:rsidR="00E52CFF" w:rsidRDefault="00DE6D62" w:rsidP="007340D1">
      <w:pPr>
        <w:pStyle w:val="21"/>
        <w:spacing w:before="120" w:after="0" w:line="240" w:lineRule="auto"/>
        <w:ind w:left="0"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>В</w:t>
      </w:r>
      <w:r w:rsidR="004C1692" w:rsidRPr="004C1692">
        <w:rPr>
          <w:bCs/>
          <w:sz w:val="28"/>
          <w:szCs w:val="28"/>
        </w:rPr>
        <w:t>ра</w:t>
      </w:r>
      <w:r w:rsidR="004C1692">
        <w:rPr>
          <w:bCs/>
          <w:sz w:val="28"/>
          <w:szCs w:val="28"/>
        </w:rPr>
        <w:t xml:space="preserve">ховуючи законодавчо введене обмеження на проведення контролюючими органами перевірок суб’єктів господарювання на 2015-2016 роки протягом періоду, за який </w:t>
      </w:r>
      <w:r w:rsidR="00E52CFF">
        <w:rPr>
          <w:bCs/>
          <w:sz w:val="28"/>
          <w:szCs w:val="28"/>
        </w:rPr>
        <w:t xml:space="preserve">здійснювалось відстеження, перевірки суб’єктів підприємницької діяльності, які надають посередницькі послуги під час здійснення операцій з купівлі-продажу нерухомого </w:t>
      </w:r>
      <w:proofErr w:type="spellStart"/>
      <w:r w:rsidR="00E52CFF">
        <w:rPr>
          <w:bCs/>
          <w:sz w:val="28"/>
          <w:szCs w:val="28"/>
        </w:rPr>
        <w:t>иайна</w:t>
      </w:r>
      <w:proofErr w:type="spellEnd"/>
      <w:r w:rsidR="00E52CFF">
        <w:rPr>
          <w:bCs/>
          <w:sz w:val="28"/>
          <w:szCs w:val="28"/>
        </w:rPr>
        <w:t xml:space="preserve"> </w:t>
      </w:r>
      <w:proofErr w:type="spellStart"/>
      <w:r w:rsidR="00E52CFF">
        <w:rPr>
          <w:bCs/>
          <w:sz w:val="28"/>
          <w:szCs w:val="28"/>
        </w:rPr>
        <w:t>Держфінмоніторингом</w:t>
      </w:r>
      <w:proofErr w:type="spellEnd"/>
      <w:r w:rsidR="00E52CFF">
        <w:rPr>
          <w:bCs/>
          <w:sz w:val="28"/>
          <w:szCs w:val="28"/>
        </w:rPr>
        <w:t xml:space="preserve"> не проводилися.</w:t>
      </w:r>
      <w:r w:rsidR="00E52CFF" w:rsidRPr="00E52CFF">
        <w:rPr>
          <w:sz w:val="27"/>
          <w:szCs w:val="27"/>
        </w:rPr>
        <w:t xml:space="preserve"> </w:t>
      </w:r>
    </w:p>
    <w:p w:rsidR="007340D1" w:rsidRPr="004C1692" w:rsidRDefault="00E52CFF" w:rsidP="007340D1">
      <w:pPr>
        <w:pStyle w:val="21"/>
        <w:spacing w:before="12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7"/>
          <w:szCs w:val="27"/>
        </w:rPr>
        <w:t>Надходжень до Державного та місцевих бюджетів України і державних цільових фондів, пов’язаних з дією Наказу не було.</w:t>
      </w:r>
    </w:p>
    <w:p w:rsidR="007340D1" w:rsidRDefault="007340D1" w:rsidP="007340D1">
      <w:pPr>
        <w:pStyle w:val="21"/>
        <w:spacing w:before="120"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Рівень поінформованості суб’єктів з основними положеннями акта високий, оскільки наказ розміщено на офіційних веб-сайтах Мінфіну та </w:t>
      </w:r>
      <w:proofErr w:type="spellStart"/>
      <w:r>
        <w:rPr>
          <w:bCs/>
          <w:sz w:val="28"/>
          <w:szCs w:val="28"/>
        </w:rPr>
        <w:t>Держфінмоніторингу</w:t>
      </w:r>
      <w:proofErr w:type="spellEnd"/>
      <w:r>
        <w:rPr>
          <w:bCs/>
          <w:sz w:val="28"/>
          <w:szCs w:val="28"/>
        </w:rPr>
        <w:t>.</w:t>
      </w:r>
    </w:p>
    <w:p w:rsidR="007340D1" w:rsidRDefault="007340D1" w:rsidP="007340D1">
      <w:pPr>
        <w:spacing w:before="120" w:after="120"/>
        <w:ind w:firstLine="709"/>
        <w:jc w:val="both"/>
        <w:rPr>
          <w:bCs/>
          <w:sz w:val="28"/>
          <w:szCs w:val="28"/>
        </w:rPr>
      </w:pPr>
      <w:proofErr w:type="spellStart"/>
      <w:r w:rsidRPr="00654C0F">
        <w:rPr>
          <w:bCs/>
          <w:sz w:val="28"/>
          <w:szCs w:val="28"/>
        </w:rPr>
        <w:t>Держфінмоніторинг</w:t>
      </w:r>
      <w:proofErr w:type="spellEnd"/>
      <w:r>
        <w:rPr>
          <w:bCs/>
          <w:sz w:val="28"/>
          <w:szCs w:val="28"/>
        </w:rPr>
        <w:t xml:space="preserve"> постійно проводить навчальні семінари, круглі столи для фахівців у сфері фінансового моніторингу та надає письмові роз</w:t>
      </w:r>
      <w:r w:rsidRPr="00654C0F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яснення суб</w:t>
      </w:r>
      <w:r w:rsidRPr="00654C0F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єктам.</w:t>
      </w:r>
    </w:p>
    <w:p w:rsidR="007340D1" w:rsidRDefault="007340D1" w:rsidP="007340D1">
      <w:pPr>
        <w:spacing w:before="120" w:after="120"/>
        <w:ind w:firstLine="709"/>
        <w:jc w:val="both"/>
        <w:rPr>
          <w:sz w:val="27"/>
          <w:szCs w:val="27"/>
        </w:rPr>
      </w:pPr>
      <w:r w:rsidRPr="00654C0F">
        <w:rPr>
          <w:sz w:val="27"/>
          <w:szCs w:val="27"/>
        </w:rPr>
        <w:t>Розмір коштів і час, що витрача</w:t>
      </w:r>
      <w:r>
        <w:rPr>
          <w:sz w:val="27"/>
          <w:szCs w:val="27"/>
        </w:rPr>
        <w:t>ли</w:t>
      </w:r>
      <w:r w:rsidRPr="00654C0F">
        <w:rPr>
          <w:sz w:val="27"/>
          <w:szCs w:val="27"/>
        </w:rPr>
        <w:t xml:space="preserve"> суб’єкти</w:t>
      </w:r>
      <w:r>
        <w:rPr>
          <w:sz w:val="27"/>
          <w:szCs w:val="27"/>
        </w:rPr>
        <w:t xml:space="preserve"> господарювання та/або фізичні особи</w:t>
      </w:r>
      <w:r w:rsidRPr="00654C0F">
        <w:rPr>
          <w:sz w:val="27"/>
          <w:szCs w:val="27"/>
        </w:rPr>
        <w:t>, пов’язан</w:t>
      </w:r>
      <w:r>
        <w:rPr>
          <w:sz w:val="27"/>
          <w:szCs w:val="27"/>
        </w:rPr>
        <w:t>і</w:t>
      </w:r>
      <w:r w:rsidRPr="00654C0F">
        <w:rPr>
          <w:sz w:val="27"/>
          <w:szCs w:val="27"/>
        </w:rPr>
        <w:t xml:space="preserve"> з виконанням вимог регуляторного акта</w:t>
      </w:r>
      <w:r>
        <w:rPr>
          <w:sz w:val="27"/>
          <w:szCs w:val="27"/>
        </w:rPr>
        <w:t xml:space="preserve"> </w:t>
      </w:r>
      <w:r>
        <w:rPr>
          <w:bCs/>
          <w:sz w:val="28"/>
          <w:szCs w:val="28"/>
        </w:rPr>
        <w:t>–</w:t>
      </w:r>
      <w:r>
        <w:rPr>
          <w:sz w:val="27"/>
          <w:szCs w:val="27"/>
        </w:rPr>
        <w:t xml:space="preserve"> </w:t>
      </w:r>
      <w:r w:rsidRPr="00654C0F">
        <w:rPr>
          <w:sz w:val="27"/>
          <w:szCs w:val="27"/>
        </w:rPr>
        <w:t xml:space="preserve">додаткових </w:t>
      </w:r>
      <w:r>
        <w:rPr>
          <w:sz w:val="27"/>
          <w:szCs w:val="27"/>
        </w:rPr>
        <w:t xml:space="preserve">коштів та </w:t>
      </w:r>
      <w:r w:rsidRPr="00654C0F">
        <w:rPr>
          <w:sz w:val="27"/>
          <w:szCs w:val="27"/>
        </w:rPr>
        <w:t xml:space="preserve"> </w:t>
      </w:r>
      <w:proofErr w:type="spellStart"/>
      <w:r w:rsidRPr="00654C0F">
        <w:rPr>
          <w:sz w:val="27"/>
          <w:szCs w:val="27"/>
        </w:rPr>
        <w:t>та</w:t>
      </w:r>
      <w:proofErr w:type="spellEnd"/>
      <w:r w:rsidRPr="00654C0F">
        <w:rPr>
          <w:sz w:val="27"/>
          <w:szCs w:val="27"/>
        </w:rPr>
        <w:t xml:space="preserve"> час</w:t>
      </w:r>
      <w:r>
        <w:rPr>
          <w:sz w:val="27"/>
          <w:szCs w:val="27"/>
        </w:rPr>
        <w:t>у не</w:t>
      </w:r>
      <w:r w:rsidRPr="00654C0F">
        <w:rPr>
          <w:sz w:val="27"/>
          <w:szCs w:val="27"/>
        </w:rPr>
        <w:t xml:space="preserve"> витра</w:t>
      </w:r>
      <w:r>
        <w:rPr>
          <w:sz w:val="27"/>
          <w:szCs w:val="27"/>
        </w:rPr>
        <w:t>чено</w:t>
      </w:r>
      <w:r w:rsidRPr="00654C0F">
        <w:rPr>
          <w:sz w:val="27"/>
          <w:szCs w:val="27"/>
        </w:rPr>
        <w:t>.</w:t>
      </w:r>
    </w:p>
    <w:p w:rsidR="007340D1" w:rsidRDefault="007340D1" w:rsidP="007340D1">
      <w:pPr>
        <w:pStyle w:val="21"/>
        <w:spacing w:before="120" w:after="0"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</w:p>
    <w:p w:rsidR="007340D1" w:rsidRPr="00E52CFF" w:rsidRDefault="00E52CFF" w:rsidP="00E52CFF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Повторне </w:t>
      </w:r>
      <w:r w:rsidR="007340D1" w:rsidRPr="00E52CFF">
        <w:rPr>
          <w:sz w:val="27"/>
          <w:szCs w:val="27"/>
        </w:rPr>
        <w:t xml:space="preserve">відстеження здійснене з метою </w:t>
      </w:r>
      <w:r>
        <w:rPr>
          <w:sz w:val="27"/>
          <w:szCs w:val="27"/>
        </w:rPr>
        <w:t xml:space="preserve">перевірки досягнення наказом цілей, задекларованих в аналізі регуляторного впливу до проекту наказу. </w:t>
      </w:r>
    </w:p>
    <w:p w:rsidR="007340D1" w:rsidRPr="0028537D" w:rsidRDefault="007340D1" w:rsidP="007340D1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Наказом встановлено порядок проведення перевірок та удосконалено функції нагляду за </w:t>
      </w:r>
      <w:r w:rsidRPr="0028537D">
        <w:rPr>
          <w:bCs/>
          <w:color w:val="000000"/>
          <w:sz w:val="28"/>
          <w:szCs w:val="28"/>
        </w:rPr>
        <w:t>суб’єкт</w:t>
      </w:r>
      <w:r>
        <w:rPr>
          <w:bCs/>
          <w:color w:val="000000"/>
          <w:sz w:val="28"/>
          <w:szCs w:val="28"/>
        </w:rPr>
        <w:t>ами</w:t>
      </w:r>
      <w:r w:rsidRPr="0028537D">
        <w:rPr>
          <w:bCs/>
          <w:color w:val="000000"/>
          <w:sz w:val="28"/>
          <w:szCs w:val="28"/>
        </w:rPr>
        <w:t xml:space="preserve"> первинного фінансового моніторингу  </w:t>
      </w:r>
      <w:r>
        <w:rPr>
          <w:bCs/>
          <w:color w:val="000000"/>
          <w:sz w:val="28"/>
          <w:szCs w:val="28"/>
        </w:rPr>
        <w:t>щодо дотримання ними вимог</w:t>
      </w:r>
      <w:r w:rsidRPr="0028537D">
        <w:rPr>
          <w:bCs/>
          <w:color w:val="000000"/>
          <w:sz w:val="28"/>
          <w:szCs w:val="28"/>
        </w:rPr>
        <w:t xml:space="preserve">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7340D1" w:rsidRDefault="007340D1" w:rsidP="007340D1">
      <w:pPr>
        <w:pStyle w:val="a3"/>
        <w:widowControl w:val="0"/>
        <w:tabs>
          <w:tab w:val="left" w:pos="709"/>
        </w:tabs>
        <w:spacing w:before="60" w:after="60"/>
        <w:ind w:firstLine="567"/>
        <w:rPr>
          <w:bCs/>
        </w:rPr>
      </w:pPr>
    </w:p>
    <w:p w:rsidR="007340D1" w:rsidRDefault="007340D1" w:rsidP="007340D1">
      <w:pPr>
        <w:jc w:val="both"/>
        <w:rPr>
          <w:b/>
          <w:sz w:val="28"/>
          <w:szCs w:val="28"/>
        </w:rPr>
      </w:pPr>
      <w:r w:rsidRPr="00DC0F75">
        <w:rPr>
          <w:b/>
          <w:sz w:val="28"/>
          <w:szCs w:val="28"/>
        </w:rPr>
        <w:t xml:space="preserve">Заступник Міністра </w:t>
      </w:r>
      <w:r>
        <w:rPr>
          <w:b/>
          <w:sz w:val="28"/>
          <w:szCs w:val="28"/>
        </w:rPr>
        <w:t>–</w:t>
      </w:r>
      <w:r w:rsidRPr="00DC0F75">
        <w:rPr>
          <w:b/>
          <w:sz w:val="28"/>
          <w:szCs w:val="28"/>
        </w:rPr>
        <w:t xml:space="preserve"> </w:t>
      </w:r>
    </w:p>
    <w:p w:rsidR="007340D1" w:rsidRPr="007340D1" w:rsidRDefault="007340D1" w:rsidP="00E52CFF">
      <w:pPr>
        <w:jc w:val="both"/>
        <w:rPr>
          <w:sz w:val="18"/>
          <w:szCs w:val="18"/>
        </w:rPr>
      </w:pPr>
      <w:r w:rsidRPr="00DC0F75">
        <w:rPr>
          <w:b/>
          <w:sz w:val="28"/>
          <w:szCs w:val="28"/>
        </w:rPr>
        <w:t xml:space="preserve">керівник апарату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E52CFF">
        <w:rPr>
          <w:b/>
          <w:sz w:val="28"/>
          <w:szCs w:val="28"/>
        </w:rPr>
        <w:t xml:space="preserve">      Є</w:t>
      </w:r>
      <w:r>
        <w:rPr>
          <w:b/>
          <w:sz w:val="28"/>
          <w:szCs w:val="28"/>
        </w:rPr>
        <w:t xml:space="preserve">. </w:t>
      </w:r>
      <w:r w:rsidR="00E52CFF">
        <w:rPr>
          <w:b/>
          <w:sz w:val="28"/>
          <w:szCs w:val="28"/>
        </w:rPr>
        <w:t>КАПІНУС</w:t>
      </w:r>
      <w:r>
        <w:rPr>
          <w:b/>
          <w:sz w:val="28"/>
          <w:szCs w:val="28"/>
        </w:rPr>
        <w:t xml:space="preserve">  </w:t>
      </w:r>
    </w:p>
    <w:sectPr w:rsidR="007340D1" w:rsidRPr="007340D1" w:rsidSect="00F03DC3">
      <w:pgSz w:w="11906" w:h="16838"/>
      <w:pgMar w:top="1134" w:right="567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E" w:rsidRDefault="004A5E3E" w:rsidP="0073145F">
      <w:r>
        <w:separator/>
      </w:r>
    </w:p>
  </w:endnote>
  <w:endnote w:type="continuationSeparator" w:id="0">
    <w:p w:rsidR="004A5E3E" w:rsidRDefault="004A5E3E" w:rsidP="007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E" w:rsidRDefault="004A5E3E" w:rsidP="0073145F">
      <w:r>
        <w:separator/>
      </w:r>
    </w:p>
  </w:footnote>
  <w:footnote w:type="continuationSeparator" w:id="0">
    <w:p w:rsidR="004A5E3E" w:rsidRDefault="004A5E3E" w:rsidP="0073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DA"/>
    <w:rsid w:val="00085991"/>
    <w:rsid w:val="000C624A"/>
    <w:rsid w:val="00102288"/>
    <w:rsid w:val="0012125F"/>
    <w:rsid w:val="00147417"/>
    <w:rsid w:val="00177664"/>
    <w:rsid w:val="001B5635"/>
    <w:rsid w:val="001C31CF"/>
    <w:rsid w:val="00216AEB"/>
    <w:rsid w:val="0027559C"/>
    <w:rsid w:val="00290604"/>
    <w:rsid w:val="002A6620"/>
    <w:rsid w:val="002C5590"/>
    <w:rsid w:val="00321616"/>
    <w:rsid w:val="00321CD5"/>
    <w:rsid w:val="003532B5"/>
    <w:rsid w:val="003A674B"/>
    <w:rsid w:val="00477BB9"/>
    <w:rsid w:val="00486D6B"/>
    <w:rsid w:val="00495368"/>
    <w:rsid w:val="004A5E3E"/>
    <w:rsid w:val="004B2ABF"/>
    <w:rsid w:val="004C1692"/>
    <w:rsid w:val="004F2CB1"/>
    <w:rsid w:val="005571A2"/>
    <w:rsid w:val="005636A7"/>
    <w:rsid w:val="00586D5E"/>
    <w:rsid w:val="005B39FB"/>
    <w:rsid w:val="005B66B8"/>
    <w:rsid w:val="0060744C"/>
    <w:rsid w:val="00623FB2"/>
    <w:rsid w:val="00635018"/>
    <w:rsid w:val="006C04EE"/>
    <w:rsid w:val="006F075A"/>
    <w:rsid w:val="006F29CA"/>
    <w:rsid w:val="0072019B"/>
    <w:rsid w:val="0073145F"/>
    <w:rsid w:val="007340D1"/>
    <w:rsid w:val="007845EB"/>
    <w:rsid w:val="0078739B"/>
    <w:rsid w:val="007A3B05"/>
    <w:rsid w:val="007C1E4A"/>
    <w:rsid w:val="007E6245"/>
    <w:rsid w:val="007F7657"/>
    <w:rsid w:val="008025C0"/>
    <w:rsid w:val="008371DA"/>
    <w:rsid w:val="008405AE"/>
    <w:rsid w:val="008517FA"/>
    <w:rsid w:val="00866D38"/>
    <w:rsid w:val="0094180D"/>
    <w:rsid w:val="009972DC"/>
    <w:rsid w:val="00A0155E"/>
    <w:rsid w:val="00A0650D"/>
    <w:rsid w:val="00A62FA5"/>
    <w:rsid w:val="00AB5995"/>
    <w:rsid w:val="00AD3D7F"/>
    <w:rsid w:val="00B5424E"/>
    <w:rsid w:val="00BA7ED0"/>
    <w:rsid w:val="00BB7BCB"/>
    <w:rsid w:val="00BD159B"/>
    <w:rsid w:val="00C20811"/>
    <w:rsid w:val="00C57968"/>
    <w:rsid w:val="00D07DDA"/>
    <w:rsid w:val="00DB0220"/>
    <w:rsid w:val="00DB0A85"/>
    <w:rsid w:val="00DE6D62"/>
    <w:rsid w:val="00DE6DB9"/>
    <w:rsid w:val="00DF6ADF"/>
    <w:rsid w:val="00E217AB"/>
    <w:rsid w:val="00E40B7C"/>
    <w:rsid w:val="00E52CFF"/>
    <w:rsid w:val="00E9084D"/>
    <w:rsid w:val="00EE0ED8"/>
    <w:rsid w:val="00F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7340D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7340D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73145F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3145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DDA"/>
    <w:pPr>
      <w:spacing w:line="360" w:lineRule="auto"/>
      <w:ind w:right="283"/>
      <w:jc w:val="both"/>
    </w:pPr>
    <w:rPr>
      <w:b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D07D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D07DDA"/>
    <w:pPr>
      <w:spacing w:line="360" w:lineRule="auto"/>
      <w:ind w:right="5859"/>
      <w:jc w:val="both"/>
    </w:pPr>
    <w:rPr>
      <w:i/>
      <w:sz w:val="20"/>
      <w:szCs w:val="20"/>
    </w:rPr>
  </w:style>
  <w:style w:type="character" w:customStyle="1" w:styleId="20">
    <w:name w:val="Основний текст 2 Знак"/>
    <w:basedOn w:val="a0"/>
    <w:link w:val="2"/>
    <w:rsid w:val="00D07DDA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basedOn w:val="a0"/>
    <w:rsid w:val="00D07DD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D07DD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D07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D0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7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674B"/>
    <w:rPr>
      <w:rFonts w:ascii="Tahoma" w:eastAsia="Times New Roman" w:hAnsi="Tahoma" w:cs="Tahoma"/>
      <w:sz w:val="16"/>
      <w:szCs w:val="16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7340D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7340D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73145F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3145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2016-11-23T11:12:00Z</cp:lastPrinted>
  <dcterms:created xsi:type="dcterms:W3CDTF">2016-11-23T11:15:00Z</dcterms:created>
  <dcterms:modified xsi:type="dcterms:W3CDTF">2016-11-23T11:15:00Z</dcterms:modified>
</cp:coreProperties>
</file>