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87" w:rsidRDefault="00372708" w:rsidP="00A06F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 про базове відстеження результативності</w:t>
      </w:r>
    </w:p>
    <w:p w:rsidR="00FB122C" w:rsidRDefault="00372708" w:rsidP="00A06F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наказу Міністерства фінансів</w:t>
      </w:r>
      <w:r w:rsidR="00FA0626"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України </w:t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від </w:t>
      </w:r>
      <w:r w:rsidR="00B55599"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</w:t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55599"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квітня</w:t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201</w:t>
      </w:r>
      <w:r w:rsidR="00B55599"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</w:t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 №</w:t>
      </w:r>
      <w:r w:rsidR="00B55599"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422</w:t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«Про затвердження </w:t>
      </w:r>
      <w:r w:rsidR="00DD3203"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Порядку </w:t>
      </w:r>
      <w:r w:rsidR="00B55599"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ведення органами Державної фіскальної служби України оперативного обліку податків і зборів, митних та інших платежів до бюджетів, єдиного внеску на загальнообов’язкове державне соціальне страхування</w:t>
      </w:r>
      <w:r w:rsidRPr="00B555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0A352D" w:rsidRPr="000A352D" w:rsidRDefault="000A352D" w:rsidP="00A06F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B13779" w:rsidRPr="00B6559A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Вид та назва регуляторного акта</w:t>
      </w:r>
    </w:p>
    <w:p w:rsidR="007B556F" w:rsidRPr="0029689B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Наказ Міністерства фінансів України </w:t>
      </w:r>
      <w:r w:rsidR="00372708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9D7AC0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07 квітня 2016 року № 422 «Про затвердження Порядку ведення органами Державної фіскальної служби України оперативного обліку податків і зборів, митних та інших платежів до бюджетів, єдиного внеску на загальнообов’язкове державне соціальне страхування»</w:t>
      </w:r>
      <w:r w:rsidR="007B556F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B6559A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29689B" w:rsidRPr="0029689B" w:rsidRDefault="0029689B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B13779" w:rsidRPr="00B6559A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Назва виконавця заходів з базового відстеження </w:t>
      </w:r>
    </w:p>
    <w:p w:rsidR="00B07CC8" w:rsidRDefault="00DD3203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r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Управління організації обліку та аналізу інформації</w:t>
      </w:r>
      <w:r w:rsidR="00FD1515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Міністерства фінансів України</w:t>
      </w:r>
    </w:p>
    <w:p w:rsidR="0029689B" w:rsidRPr="0029689B" w:rsidRDefault="0029689B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B13779" w:rsidRPr="00B6559A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Цілі прийняття акта</w:t>
      </w:r>
    </w:p>
    <w:p w:rsidR="007B556F" w:rsidRPr="00B6559A" w:rsidRDefault="00B30839" w:rsidP="00A06FC6">
      <w:pPr>
        <w:spacing w:after="0" w:line="240" w:lineRule="auto"/>
        <w:ind w:firstLine="567"/>
        <w:jc w:val="both"/>
        <w:rPr>
          <w:sz w:val="28"/>
          <w:szCs w:val="28"/>
        </w:rPr>
      </w:pPr>
      <w:r w:rsidRPr="00B6559A">
        <w:rPr>
          <w:rFonts w:ascii="Times New Roman" w:hAnsi="Times New Roman"/>
          <w:sz w:val="28"/>
          <w:szCs w:val="28"/>
        </w:rPr>
        <w:t xml:space="preserve">Головним завданням затвердження </w:t>
      </w:r>
      <w:r w:rsidR="00B6559A" w:rsidRPr="00B6559A">
        <w:rPr>
          <w:rFonts w:ascii="Times New Roman" w:hAnsi="Times New Roman"/>
          <w:sz w:val="28"/>
          <w:szCs w:val="28"/>
        </w:rPr>
        <w:t>Порядку ведення органами Державної фіскальної служби України оперативного обліку податків і зборів, митних та інших платежів до бюджетів, єдиного внеску на загальнообов’язкове державне соціальне страхування</w:t>
      </w:r>
      <w:r w:rsidRPr="00B6559A">
        <w:rPr>
          <w:rFonts w:ascii="Times New Roman" w:hAnsi="Times New Roman"/>
          <w:sz w:val="28"/>
          <w:szCs w:val="28"/>
        </w:rPr>
        <w:t xml:space="preserve"> є забезпечення практичного застосування положень Податкового та Митного кодексів України, Закону України „Про збір та облік єдиного внеску на загальнообов’язкове державне соціальне страхування”.</w:t>
      </w:r>
    </w:p>
    <w:p w:rsidR="003309F3" w:rsidRPr="0029689B" w:rsidRDefault="003309F3" w:rsidP="00A06FC6">
      <w:pPr>
        <w:pStyle w:val="StyleZakonu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 w:eastAsia="uk-UA"/>
        </w:rPr>
      </w:pPr>
    </w:p>
    <w:p w:rsidR="00B13779" w:rsidRPr="00B6559A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4. Строк виконання заходів з базового відстеження </w:t>
      </w:r>
    </w:p>
    <w:p w:rsidR="00B13779" w:rsidRDefault="00B6559A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r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Червень</w:t>
      </w:r>
      <w:r w:rsidR="00910915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липень </w:t>
      </w:r>
      <w:r w:rsidR="00FA0626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201</w:t>
      </w:r>
      <w:r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</w:t>
      </w:r>
      <w:r w:rsidR="00FA0626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</w:t>
      </w:r>
      <w:r w:rsidR="00B13779" w:rsidRPr="00B655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29689B" w:rsidRPr="0029689B" w:rsidRDefault="0029689B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</w:p>
    <w:p w:rsidR="00B13779" w:rsidRPr="00B6559A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655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 Тип відстеження.</w:t>
      </w:r>
    </w:p>
    <w:p w:rsidR="00B13779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B6559A">
        <w:rPr>
          <w:rFonts w:ascii="Times New Roman" w:eastAsia="Times New Roman" w:hAnsi="Times New Roman" w:cs="Times New Roman"/>
          <w:sz w:val="28"/>
          <w:szCs w:val="28"/>
          <w:lang w:eastAsia="uk-UA"/>
        </w:rPr>
        <w:t>Базове відстеження.</w:t>
      </w:r>
    </w:p>
    <w:p w:rsidR="0029689B" w:rsidRPr="0029689B" w:rsidRDefault="0029689B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B13779" w:rsidRPr="003467DE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67D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Методи одержання результатів відстеження</w:t>
      </w:r>
    </w:p>
    <w:p w:rsidR="00EA6289" w:rsidRPr="003467DE" w:rsidRDefault="003309F3" w:rsidP="00A06FC6">
      <w:pPr>
        <w:pStyle w:val="a7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lang w:val="uk-UA"/>
        </w:rPr>
      </w:pPr>
      <w:r w:rsidRPr="003467DE">
        <w:rPr>
          <w:color w:val="auto"/>
          <w:sz w:val="28"/>
          <w:szCs w:val="28"/>
          <w:lang w:val="uk-UA"/>
        </w:rPr>
        <w:t xml:space="preserve">Відстеження результативності наказу здійснювалось шляхом </w:t>
      </w:r>
      <w:r w:rsidR="00EA6289" w:rsidRPr="003467DE">
        <w:rPr>
          <w:color w:val="auto"/>
          <w:sz w:val="28"/>
          <w:szCs w:val="28"/>
          <w:lang w:val="uk-UA"/>
        </w:rPr>
        <w:t>аналізу статистичних даних.</w:t>
      </w:r>
    </w:p>
    <w:p w:rsidR="00522071" w:rsidRPr="003467DE" w:rsidRDefault="00522071" w:rsidP="00A06FC6">
      <w:pPr>
        <w:pStyle w:val="a7"/>
        <w:spacing w:before="0" w:beforeAutospacing="0" w:after="0" w:afterAutospacing="0"/>
        <w:ind w:firstLine="567"/>
        <w:jc w:val="both"/>
        <w:rPr>
          <w:b/>
          <w:bCs/>
          <w:color w:val="auto"/>
          <w:sz w:val="28"/>
          <w:szCs w:val="28"/>
          <w:lang w:val="uk-UA" w:eastAsia="uk-UA"/>
        </w:rPr>
      </w:pPr>
    </w:p>
    <w:p w:rsidR="00B13779" w:rsidRPr="003467DE" w:rsidRDefault="00B13779" w:rsidP="00A06FC6">
      <w:pPr>
        <w:pStyle w:val="a7"/>
        <w:spacing w:before="0" w:beforeAutospacing="0" w:after="0" w:afterAutospacing="0"/>
        <w:ind w:firstLine="567"/>
        <w:jc w:val="both"/>
        <w:rPr>
          <w:b/>
          <w:bCs/>
          <w:color w:val="auto"/>
          <w:sz w:val="28"/>
          <w:szCs w:val="28"/>
          <w:lang w:eastAsia="uk-UA"/>
        </w:rPr>
      </w:pPr>
      <w:r w:rsidRPr="003467DE">
        <w:rPr>
          <w:b/>
          <w:bCs/>
          <w:color w:val="auto"/>
          <w:sz w:val="28"/>
          <w:szCs w:val="28"/>
          <w:lang w:eastAsia="uk-UA"/>
        </w:rPr>
        <w:t>7. Дані та припущення, на основі яких відстежувалася результативність, а також способи одержання даних</w:t>
      </w:r>
    </w:p>
    <w:p w:rsidR="00D30090" w:rsidRDefault="007215FC" w:rsidP="00A06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0AF">
        <w:rPr>
          <w:rFonts w:ascii="Times New Roman" w:hAnsi="Times New Roman" w:cs="Times New Roman"/>
          <w:sz w:val="28"/>
          <w:szCs w:val="28"/>
        </w:rPr>
        <w:t xml:space="preserve">Базове відстеження результативності </w:t>
      </w:r>
      <w:r w:rsidR="000B4C1E">
        <w:rPr>
          <w:rFonts w:ascii="Times New Roman" w:hAnsi="Times New Roman" w:cs="Times New Roman"/>
          <w:sz w:val="28"/>
          <w:szCs w:val="28"/>
        </w:rPr>
        <w:t xml:space="preserve">регуляторного </w:t>
      </w:r>
      <w:r w:rsidRPr="00CA70AF">
        <w:rPr>
          <w:rFonts w:ascii="Times New Roman" w:hAnsi="Times New Roman" w:cs="Times New Roman"/>
          <w:sz w:val="28"/>
          <w:szCs w:val="28"/>
        </w:rPr>
        <w:t xml:space="preserve">акта здійснювалось </w:t>
      </w:r>
      <w:r w:rsidRPr="00184C63">
        <w:rPr>
          <w:rFonts w:ascii="Times New Roman" w:hAnsi="Times New Roman" w:cs="Times New Roman"/>
          <w:sz w:val="28"/>
          <w:szCs w:val="28"/>
        </w:rPr>
        <w:t>на підставі аналізу статистичних даних</w:t>
      </w:r>
      <w:r w:rsidR="00D30090">
        <w:rPr>
          <w:rFonts w:ascii="Times New Roman" w:hAnsi="Times New Roman" w:cs="Times New Roman"/>
          <w:sz w:val="28"/>
          <w:szCs w:val="28"/>
        </w:rPr>
        <w:t>,</w:t>
      </w:r>
      <w:r w:rsidRPr="00184C63">
        <w:rPr>
          <w:rFonts w:ascii="Times New Roman" w:hAnsi="Times New Roman" w:cs="Times New Roman"/>
          <w:sz w:val="28"/>
          <w:szCs w:val="28"/>
        </w:rPr>
        <w:t xml:space="preserve"> </w:t>
      </w:r>
      <w:r w:rsidR="00D30090">
        <w:rPr>
          <w:rFonts w:ascii="Times New Roman" w:hAnsi="Times New Roman" w:cs="Times New Roman"/>
          <w:sz w:val="28"/>
          <w:szCs w:val="28"/>
        </w:rPr>
        <w:t>що характеризують якість опрацювання звітності</w:t>
      </w:r>
      <w:r w:rsidR="00BF3ED0">
        <w:rPr>
          <w:rFonts w:ascii="Times New Roman" w:hAnsi="Times New Roman" w:cs="Times New Roman"/>
          <w:sz w:val="28"/>
          <w:szCs w:val="28"/>
        </w:rPr>
        <w:t xml:space="preserve">, </w:t>
      </w:r>
      <w:r w:rsidR="00D30090">
        <w:rPr>
          <w:rFonts w:ascii="Times New Roman" w:hAnsi="Times New Roman" w:cs="Times New Roman"/>
          <w:sz w:val="28"/>
          <w:szCs w:val="28"/>
        </w:rPr>
        <w:t>яка надходи</w:t>
      </w:r>
      <w:r w:rsidR="00BF3ED0">
        <w:rPr>
          <w:rFonts w:ascii="Times New Roman" w:hAnsi="Times New Roman" w:cs="Times New Roman"/>
          <w:sz w:val="28"/>
          <w:szCs w:val="28"/>
        </w:rPr>
        <w:t xml:space="preserve">ла </w:t>
      </w:r>
      <w:r w:rsidR="00D30090">
        <w:rPr>
          <w:rFonts w:ascii="Times New Roman" w:hAnsi="Times New Roman" w:cs="Times New Roman"/>
          <w:sz w:val="28"/>
          <w:szCs w:val="28"/>
        </w:rPr>
        <w:t>від платників</w:t>
      </w:r>
      <w:r w:rsidR="00BF3ED0">
        <w:rPr>
          <w:rFonts w:ascii="Times New Roman" w:hAnsi="Times New Roman" w:cs="Times New Roman"/>
          <w:sz w:val="28"/>
          <w:szCs w:val="28"/>
        </w:rPr>
        <w:t xml:space="preserve"> податків після набуття чинності наказу Мінфіну від 07.04.2016 № 422</w:t>
      </w:r>
      <w:r w:rsidR="00D30090">
        <w:rPr>
          <w:rFonts w:ascii="Times New Roman" w:hAnsi="Times New Roman" w:cs="Times New Roman"/>
          <w:sz w:val="28"/>
          <w:szCs w:val="28"/>
        </w:rPr>
        <w:t>.</w:t>
      </w:r>
    </w:p>
    <w:p w:rsidR="0029689B" w:rsidRPr="0029689B" w:rsidRDefault="0029689B" w:rsidP="00A06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3779" w:rsidRPr="000B4C1E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8. Кількісні та якісні значення показників результативності </w:t>
      </w:r>
    </w:p>
    <w:p w:rsidR="000B4C1E" w:rsidRPr="000B4C1E" w:rsidRDefault="000B4C1E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Головними показниками результативності регуляторного акта є:</w:t>
      </w:r>
    </w:p>
    <w:p w:rsidR="000B4C1E" w:rsidRPr="000B4C1E" w:rsidRDefault="000B4C1E" w:rsidP="00A06FC6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інтегрованих карток платника, відкритих за кожним платником та видом платежу;</w:t>
      </w:r>
    </w:p>
    <w:p w:rsidR="000B4C1E" w:rsidRPr="000B4C1E" w:rsidRDefault="000B4C1E" w:rsidP="00A06FC6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кількість платіжних документів суб’єктів господарювання, які набули ознаки «Платежі до з’ясування»;</w:t>
      </w:r>
    </w:p>
    <w:p w:rsidR="000B4C1E" w:rsidRPr="000B4C1E" w:rsidRDefault="000B4C1E" w:rsidP="00A06FC6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відпрацьованих платіжних документів суб’єктів господарювання, які набули ознаки «Платежі до з’ясування»;</w:t>
      </w:r>
    </w:p>
    <w:p w:rsidR="000B4C1E" w:rsidRPr="000B4C1E" w:rsidRDefault="000B4C1E" w:rsidP="00A06FC6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рішень органів ДФС щодо списання помилково та/або надміру сплачені суми платежів з терміном виникнення понад 1095 днів;</w:t>
      </w:r>
    </w:p>
    <w:p w:rsidR="002C4E64" w:rsidRPr="003E5AC3" w:rsidRDefault="000B4C1E" w:rsidP="00A06FC6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скарг платників про невідповідність даних в інтегрованих картках платників.</w:t>
      </w:r>
    </w:p>
    <w:p w:rsidR="003E5AC3" w:rsidRDefault="00C54D33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Зокрема, кількість інтегрованих карток платників в червні-липні 2016 року складала 31 084 607 штук. Кількість платіжних документів, які </w:t>
      </w: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набули ознаки «Платежі до з’ясування»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липні 2016 року (у порівнянні з червнем 2016 року) зросла на 61 766 </w:t>
      </w:r>
      <w:r w:rsidR="007A7C8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(що складає </w:t>
      </w:r>
      <w:r w:rsidR="00FD6A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151%)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в то</w:t>
      </w:r>
      <w:r w:rsidR="00FD6A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й же час </w:t>
      </w:r>
      <w:r w:rsidR="00FD6A8B"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відпрацьованих платіжних документів суб’єктів господарювання, які набули ознаки «Платежі до з’ясування</w:t>
      </w:r>
      <w:r w:rsidR="00FD6A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 в липні 2016 року (у порівнянні з червнем 2016 року) зросла на 68</w:t>
      </w:r>
      <w:r w:rsidR="00FD6A8B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 </w:t>
      </w:r>
      <w:r w:rsidR="00FD6A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410</w:t>
      </w:r>
      <w:r w:rsidR="00FD6A8B" w:rsidRPr="007A7C8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A7C8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документів</w:t>
      </w:r>
      <w:r w:rsidR="00FD6A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(що складає 162%). </w:t>
      </w:r>
    </w:p>
    <w:p w:rsidR="00FD6A8B" w:rsidRDefault="00FD6A8B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Кількість </w:t>
      </w:r>
      <w:r w:rsidRPr="000B4C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рішень органів ДФС щодо списання помилково та/або надміру сплачені суми платежів з терміном виникнення понад 1095 днів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зменшилось на 1193 </w:t>
      </w:r>
      <w:r w:rsidR="007A7C8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рішень.</w:t>
      </w:r>
    </w:p>
    <w:p w:rsidR="007A7C87" w:rsidRPr="00FD6A8B" w:rsidRDefault="00142B1C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 </w:t>
      </w:r>
      <w:r w:rsidR="007A7C8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червні 2016 року до органів ДФС надійшла 1 скарга про невідповідність даних в інтегрованих картках платників, в липні 2016 року – 2 скарги.</w:t>
      </w:r>
    </w:p>
    <w:p w:rsidR="002C4E64" w:rsidRPr="000B4C1E" w:rsidRDefault="002C4E64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B13779" w:rsidRPr="000B4C1E" w:rsidRDefault="00B13779" w:rsidP="00A06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B4C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9. Оцінка результатів реалізації регуляторного акта та ступеня досягнення визначених цілей</w:t>
      </w:r>
    </w:p>
    <w:p w:rsidR="007A7C87" w:rsidRPr="007A7C87" w:rsidRDefault="007A7C87" w:rsidP="00A06FC6">
      <w:pPr>
        <w:pStyle w:val="a7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lang w:val="uk-UA"/>
        </w:rPr>
      </w:pPr>
      <w:r w:rsidRPr="007A7C87">
        <w:rPr>
          <w:color w:val="auto"/>
          <w:sz w:val="28"/>
          <w:szCs w:val="28"/>
          <w:lang w:val="uk-UA"/>
        </w:rPr>
        <w:t xml:space="preserve">Проблеми, які обумовили необхідність прийняття нормативного акта, були вирішені шляхом його прийняття. </w:t>
      </w:r>
    </w:p>
    <w:p w:rsidR="007A7C87" w:rsidRPr="007A7C87" w:rsidRDefault="007A7C87" w:rsidP="00A06FC6">
      <w:pPr>
        <w:pStyle w:val="a7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lang w:val="uk-UA"/>
        </w:rPr>
      </w:pPr>
      <w:r w:rsidRPr="007A7C87">
        <w:rPr>
          <w:color w:val="auto"/>
          <w:sz w:val="28"/>
          <w:szCs w:val="28"/>
          <w:lang w:val="uk-UA"/>
        </w:rPr>
        <w:t>На підставі результатів базового відстеження результативності регуляторного акту можна зробити висновок про те, що в цілому шляхом впровадження цього нормативного акта вдалося досягти визначених цілей. Зокрема, зросла кількість відпрацьованих платіжних документів суб’єктів господарювання, які набули ознаки «Платежі до з’ясування».</w:t>
      </w:r>
    </w:p>
    <w:p w:rsidR="007A7C87" w:rsidRPr="007A7C87" w:rsidRDefault="007A7C87" w:rsidP="00A06FC6">
      <w:pPr>
        <w:pStyle w:val="a7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lang w:val="uk-UA"/>
        </w:rPr>
      </w:pPr>
      <w:r w:rsidRPr="007A7C87">
        <w:rPr>
          <w:color w:val="auto"/>
          <w:sz w:val="28"/>
          <w:szCs w:val="28"/>
          <w:lang w:val="uk-UA"/>
        </w:rPr>
        <w:t>Остаточний висновок з цього приводу можна буде зробити за результатами повторного відстеження результативності даного акту.</w:t>
      </w:r>
    </w:p>
    <w:p w:rsidR="00EC24B5" w:rsidRDefault="00EC24B5" w:rsidP="00A06F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29689B" w:rsidRPr="0029689B" w:rsidRDefault="0029689B" w:rsidP="00A06F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EC24B5" w:rsidRPr="007A7C87" w:rsidRDefault="00FA0626" w:rsidP="00A06FC6">
      <w:pPr>
        <w:rPr>
          <w:rFonts w:ascii="Times New Roman" w:hAnsi="Times New Roman" w:cs="Times New Roman"/>
          <w:b/>
          <w:sz w:val="28"/>
          <w:szCs w:val="28"/>
        </w:rPr>
      </w:pPr>
      <w:r w:rsidRPr="007A7C87">
        <w:rPr>
          <w:rFonts w:ascii="Times New Roman" w:hAnsi="Times New Roman" w:cs="Times New Roman"/>
          <w:b/>
          <w:sz w:val="28"/>
          <w:szCs w:val="28"/>
        </w:rPr>
        <w:t>Заступник Міністра</w:t>
      </w:r>
      <w:r w:rsidR="001127C2" w:rsidRPr="007A7C8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A7C8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A7C87" w:rsidRPr="007A7C8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A7C8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A7C87" w:rsidRPr="007A7C87">
        <w:rPr>
          <w:rFonts w:ascii="Times New Roman" w:hAnsi="Times New Roman" w:cs="Times New Roman"/>
          <w:b/>
          <w:sz w:val="28"/>
          <w:szCs w:val="28"/>
        </w:rPr>
        <w:t>С</w:t>
      </w:r>
      <w:r w:rsidRPr="007A7C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7C87" w:rsidRPr="007A7C87">
        <w:rPr>
          <w:rFonts w:ascii="Times New Roman" w:hAnsi="Times New Roman" w:cs="Times New Roman"/>
          <w:b/>
          <w:sz w:val="28"/>
          <w:szCs w:val="28"/>
        </w:rPr>
        <w:t>МАРЧЕНКО</w:t>
      </w:r>
    </w:p>
    <w:p w:rsidR="00EC24B5" w:rsidRPr="007A7C87" w:rsidRDefault="00EC24B5" w:rsidP="00A06FC6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C24B5" w:rsidRPr="007A7C87" w:rsidSect="003467DE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35" w:rsidRDefault="005E5235" w:rsidP="003467DE">
      <w:pPr>
        <w:spacing w:after="0" w:line="240" w:lineRule="auto"/>
      </w:pPr>
      <w:r>
        <w:separator/>
      </w:r>
    </w:p>
  </w:endnote>
  <w:endnote w:type="continuationSeparator" w:id="0">
    <w:p w:rsidR="005E5235" w:rsidRDefault="005E5235" w:rsidP="0034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35" w:rsidRDefault="005E5235" w:rsidP="003467DE">
      <w:pPr>
        <w:spacing w:after="0" w:line="240" w:lineRule="auto"/>
      </w:pPr>
      <w:r>
        <w:separator/>
      </w:r>
    </w:p>
  </w:footnote>
  <w:footnote w:type="continuationSeparator" w:id="0">
    <w:p w:rsidR="005E5235" w:rsidRDefault="005E5235" w:rsidP="0034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588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467DE" w:rsidRPr="003467DE" w:rsidRDefault="003467D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67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67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67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3D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67D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467DE" w:rsidRDefault="003467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E61"/>
    <w:multiLevelType w:val="hybridMultilevel"/>
    <w:tmpl w:val="E624B46A"/>
    <w:lvl w:ilvl="0" w:tplc="C46267BA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79"/>
    <w:rsid w:val="00075863"/>
    <w:rsid w:val="00081C82"/>
    <w:rsid w:val="00096445"/>
    <w:rsid w:val="000A352D"/>
    <w:rsid w:val="000B4C1E"/>
    <w:rsid w:val="001127C2"/>
    <w:rsid w:val="00142B1C"/>
    <w:rsid w:val="0029689B"/>
    <w:rsid w:val="002B1A14"/>
    <w:rsid w:val="002C4E64"/>
    <w:rsid w:val="002F4295"/>
    <w:rsid w:val="0030692B"/>
    <w:rsid w:val="003309F3"/>
    <w:rsid w:val="003467DE"/>
    <w:rsid w:val="00372708"/>
    <w:rsid w:val="003E5392"/>
    <w:rsid w:val="003E5AC3"/>
    <w:rsid w:val="004D66FE"/>
    <w:rsid w:val="00522071"/>
    <w:rsid w:val="005E5235"/>
    <w:rsid w:val="007215FC"/>
    <w:rsid w:val="007A7C87"/>
    <w:rsid w:val="007B556F"/>
    <w:rsid w:val="008A731C"/>
    <w:rsid w:val="00910915"/>
    <w:rsid w:val="009B55C0"/>
    <w:rsid w:val="009D7AC0"/>
    <w:rsid w:val="00A06FC6"/>
    <w:rsid w:val="00A100E7"/>
    <w:rsid w:val="00A2342E"/>
    <w:rsid w:val="00AD2D5A"/>
    <w:rsid w:val="00B060AB"/>
    <w:rsid w:val="00B07CC8"/>
    <w:rsid w:val="00B13779"/>
    <w:rsid w:val="00B161D5"/>
    <w:rsid w:val="00B30839"/>
    <w:rsid w:val="00B55599"/>
    <w:rsid w:val="00B6559A"/>
    <w:rsid w:val="00BF3ED0"/>
    <w:rsid w:val="00C54D33"/>
    <w:rsid w:val="00C656DE"/>
    <w:rsid w:val="00C66F2A"/>
    <w:rsid w:val="00CE2A81"/>
    <w:rsid w:val="00D30090"/>
    <w:rsid w:val="00D91248"/>
    <w:rsid w:val="00DD3203"/>
    <w:rsid w:val="00E07737"/>
    <w:rsid w:val="00E30E82"/>
    <w:rsid w:val="00EA0094"/>
    <w:rsid w:val="00EA6289"/>
    <w:rsid w:val="00EB3DE5"/>
    <w:rsid w:val="00EC24B5"/>
    <w:rsid w:val="00F66EC4"/>
    <w:rsid w:val="00FA0626"/>
    <w:rsid w:val="00FB122C"/>
    <w:rsid w:val="00FD1515"/>
    <w:rsid w:val="00FD247C"/>
    <w:rsid w:val="00FD6A8B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6">
    <w:name w:val="Основний текст Знак"/>
    <w:basedOn w:val="a0"/>
    <w:link w:val="a5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yleZakonu">
    <w:name w:val="StyleZakonu"/>
    <w:basedOn w:val="a"/>
    <w:rsid w:val="00EA0094"/>
    <w:pPr>
      <w:spacing w:after="60" w:line="220" w:lineRule="exact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EA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2C4E6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467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3467DE"/>
  </w:style>
  <w:style w:type="paragraph" w:styleId="ab">
    <w:name w:val="footer"/>
    <w:basedOn w:val="a"/>
    <w:link w:val="ac"/>
    <w:uiPriority w:val="99"/>
    <w:unhideWhenUsed/>
    <w:rsid w:val="003467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346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6">
    <w:name w:val="Основний текст Знак"/>
    <w:basedOn w:val="a0"/>
    <w:link w:val="a5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yleZakonu">
    <w:name w:val="StyleZakonu"/>
    <w:basedOn w:val="a"/>
    <w:rsid w:val="00EA0094"/>
    <w:pPr>
      <w:spacing w:after="60" w:line="220" w:lineRule="exact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EA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2C4E6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467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3467DE"/>
  </w:style>
  <w:style w:type="paragraph" w:styleId="ab">
    <w:name w:val="footer"/>
    <w:basedOn w:val="a"/>
    <w:link w:val="ac"/>
    <w:uiPriority w:val="99"/>
    <w:unhideWhenUsed/>
    <w:rsid w:val="003467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34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2591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2016-09-30T08:17:00Z</dcterms:created>
  <dcterms:modified xsi:type="dcterms:W3CDTF">2016-09-30T08:17:00Z</dcterms:modified>
</cp:coreProperties>
</file>