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AE" w:rsidRPr="006C2D42" w:rsidRDefault="003225AE" w:rsidP="00D719F4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6C2D42">
        <w:rPr>
          <w:b/>
          <w:sz w:val="28"/>
          <w:szCs w:val="28"/>
        </w:rPr>
        <w:t>Звіт</w:t>
      </w:r>
    </w:p>
    <w:p w:rsidR="003225AE" w:rsidRPr="006C2D42" w:rsidRDefault="003225AE" w:rsidP="00D719F4">
      <w:pPr>
        <w:ind w:firstLine="567"/>
        <w:jc w:val="center"/>
        <w:rPr>
          <w:b/>
          <w:sz w:val="28"/>
          <w:szCs w:val="28"/>
        </w:rPr>
      </w:pPr>
      <w:r w:rsidRPr="006C2D42">
        <w:rPr>
          <w:b/>
          <w:sz w:val="28"/>
          <w:szCs w:val="28"/>
        </w:rPr>
        <w:t xml:space="preserve">про періодичне відстеження результативності </w:t>
      </w:r>
    </w:p>
    <w:p w:rsidR="007D5E6E" w:rsidRDefault="003225AE" w:rsidP="00D719F4">
      <w:pPr>
        <w:ind w:firstLine="567"/>
        <w:jc w:val="center"/>
        <w:rPr>
          <w:b/>
          <w:sz w:val="28"/>
          <w:szCs w:val="28"/>
        </w:rPr>
      </w:pPr>
      <w:r w:rsidRPr="006C2D42">
        <w:rPr>
          <w:b/>
          <w:sz w:val="28"/>
          <w:szCs w:val="28"/>
        </w:rPr>
        <w:t>постанови Кабінету Міністрів України від 21.02.2007 № 286</w:t>
      </w:r>
      <w:r w:rsidR="00F768A4" w:rsidRPr="006C2D42">
        <w:rPr>
          <w:b/>
          <w:sz w:val="28"/>
          <w:szCs w:val="28"/>
        </w:rPr>
        <w:t xml:space="preserve"> </w:t>
      </w:r>
    </w:p>
    <w:p w:rsidR="007D5E6E" w:rsidRDefault="00F768A4" w:rsidP="00D719F4">
      <w:pPr>
        <w:ind w:firstLine="567"/>
        <w:jc w:val="center"/>
        <w:rPr>
          <w:b/>
          <w:sz w:val="28"/>
          <w:szCs w:val="28"/>
        </w:rPr>
      </w:pPr>
      <w:r w:rsidRPr="006C2D42">
        <w:rPr>
          <w:b/>
          <w:sz w:val="28"/>
          <w:szCs w:val="28"/>
        </w:rPr>
        <w:t>"</w:t>
      </w:r>
      <w:r w:rsidR="003225AE" w:rsidRPr="006C2D42">
        <w:rPr>
          <w:b/>
          <w:sz w:val="28"/>
          <w:szCs w:val="28"/>
        </w:rPr>
        <w:t xml:space="preserve">Про внесення змін до постанов Кабінету Міністрів України </w:t>
      </w:r>
    </w:p>
    <w:p w:rsidR="003225AE" w:rsidRDefault="003225AE" w:rsidP="00D719F4">
      <w:pPr>
        <w:ind w:firstLine="567"/>
        <w:jc w:val="center"/>
        <w:rPr>
          <w:b/>
          <w:sz w:val="28"/>
          <w:szCs w:val="28"/>
        </w:rPr>
      </w:pPr>
      <w:r w:rsidRPr="006C2D42">
        <w:rPr>
          <w:b/>
          <w:sz w:val="28"/>
          <w:szCs w:val="28"/>
        </w:rPr>
        <w:t>від 19 квітня 1993</w:t>
      </w:r>
      <w:r w:rsidR="007D5E6E">
        <w:rPr>
          <w:b/>
          <w:sz w:val="28"/>
          <w:szCs w:val="28"/>
          <w:lang w:val="en-US"/>
        </w:rPr>
        <w:t> </w:t>
      </w:r>
      <w:r w:rsidRPr="006C2D42">
        <w:rPr>
          <w:b/>
          <w:sz w:val="28"/>
          <w:szCs w:val="28"/>
        </w:rPr>
        <w:t xml:space="preserve">р. </w:t>
      </w:r>
      <w:r w:rsidR="007D5E6E">
        <w:rPr>
          <w:b/>
          <w:sz w:val="28"/>
          <w:szCs w:val="28"/>
        </w:rPr>
        <w:t>№ </w:t>
      </w:r>
      <w:r w:rsidRPr="006C2D42">
        <w:rPr>
          <w:b/>
          <w:sz w:val="28"/>
          <w:szCs w:val="28"/>
        </w:rPr>
        <w:t>283 і від 6 вересня 2000</w:t>
      </w:r>
      <w:r w:rsidR="007D5E6E">
        <w:rPr>
          <w:b/>
          <w:sz w:val="28"/>
          <w:szCs w:val="28"/>
        </w:rPr>
        <w:t> </w:t>
      </w:r>
      <w:r w:rsidRPr="006C2D42">
        <w:rPr>
          <w:b/>
          <w:sz w:val="28"/>
          <w:szCs w:val="28"/>
        </w:rPr>
        <w:t xml:space="preserve">р. </w:t>
      </w:r>
      <w:r w:rsidR="007D5E6E">
        <w:rPr>
          <w:b/>
          <w:sz w:val="28"/>
          <w:szCs w:val="28"/>
        </w:rPr>
        <w:t>№ </w:t>
      </w:r>
      <w:r w:rsidRPr="006C2D42">
        <w:rPr>
          <w:b/>
          <w:sz w:val="28"/>
          <w:szCs w:val="28"/>
        </w:rPr>
        <w:t>1396</w:t>
      </w:r>
      <w:r w:rsidR="00F768A4" w:rsidRPr="006C2D42">
        <w:rPr>
          <w:b/>
          <w:sz w:val="28"/>
          <w:szCs w:val="28"/>
        </w:rPr>
        <w:t>"</w:t>
      </w:r>
    </w:p>
    <w:p w:rsidR="007D71CB" w:rsidRPr="006C2D42" w:rsidRDefault="007D71CB" w:rsidP="00D719F4">
      <w:pPr>
        <w:ind w:firstLine="567"/>
        <w:jc w:val="center"/>
        <w:rPr>
          <w:b/>
          <w:i/>
          <w:sz w:val="28"/>
          <w:szCs w:val="28"/>
        </w:rPr>
      </w:pPr>
    </w:p>
    <w:p w:rsidR="003225AE" w:rsidRPr="007D71CB" w:rsidRDefault="003225AE" w:rsidP="00D719F4">
      <w:pPr>
        <w:pStyle w:val="a3"/>
        <w:spacing w:before="120" w:after="120"/>
        <w:ind w:firstLine="567"/>
        <w:rPr>
          <w:b w:val="0"/>
          <w:bCs w:val="0"/>
          <w:iCs w:val="0"/>
          <w:szCs w:val="28"/>
        </w:rPr>
      </w:pPr>
      <w:r w:rsidRPr="007D71CB">
        <w:rPr>
          <w:b w:val="0"/>
          <w:bCs w:val="0"/>
          <w:iCs w:val="0"/>
          <w:szCs w:val="28"/>
        </w:rPr>
        <w:t>Вид та назва регуляторного акта, результативність якого відстежується</w:t>
      </w:r>
    </w:p>
    <w:p w:rsidR="003225AE" w:rsidRPr="006C2D42" w:rsidRDefault="007D71CB" w:rsidP="00D719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25AE" w:rsidRPr="006C2D42">
        <w:rPr>
          <w:sz w:val="28"/>
          <w:szCs w:val="28"/>
        </w:rPr>
        <w:t xml:space="preserve">останова Кабінету Міністрів України від 21.02.2007 № 286 </w:t>
      </w:r>
      <w:r w:rsidR="00F768A4" w:rsidRPr="006C2D42">
        <w:rPr>
          <w:sz w:val="28"/>
          <w:szCs w:val="28"/>
        </w:rPr>
        <w:t>"</w:t>
      </w:r>
      <w:r w:rsidR="003225AE" w:rsidRPr="006C2D42">
        <w:rPr>
          <w:sz w:val="28"/>
          <w:szCs w:val="28"/>
        </w:rPr>
        <w:t>Про внесення змін до постанов Кабінету Міністрів України від 19 квітня 1993</w:t>
      </w:r>
      <w:r>
        <w:rPr>
          <w:sz w:val="28"/>
          <w:szCs w:val="28"/>
        </w:rPr>
        <w:t> </w:t>
      </w:r>
      <w:r w:rsidR="003225AE" w:rsidRPr="006C2D42">
        <w:rPr>
          <w:sz w:val="28"/>
          <w:szCs w:val="28"/>
        </w:rPr>
        <w:t xml:space="preserve">р. </w:t>
      </w:r>
      <w:r w:rsidR="003075AA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3225AE" w:rsidRPr="006C2D42">
        <w:rPr>
          <w:sz w:val="28"/>
          <w:szCs w:val="28"/>
        </w:rPr>
        <w:t>283 і від 6</w:t>
      </w:r>
      <w:r>
        <w:rPr>
          <w:sz w:val="28"/>
          <w:szCs w:val="28"/>
        </w:rPr>
        <w:t> </w:t>
      </w:r>
      <w:r w:rsidR="003225AE" w:rsidRPr="006C2D42">
        <w:rPr>
          <w:sz w:val="28"/>
          <w:szCs w:val="28"/>
        </w:rPr>
        <w:t xml:space="preserve">вересня 2000 р. </w:t>
      </w:r>
      <w:r w:rsidR="003075AA">
        <w:rPr>
          <w:sz w:val="28"/>
          <w:szCs w:val="28"/>
        </w:rPr>
        <w:t>№</w:t>
      </w:r>
      <w:r w:rsidR="003225AE" w:rsidRPr="006C2D42">
        <w:rPr>
          <w:sz w:val="28"/>
          <w:szCs w:val="28"/>
        </w:rPr>
        <w:t xml:space="preserve"> 1396</w:t>
      </w:r>
      <w:r w:rsidR="00F768A4" w:rsidRPr="006C2D42">
        <w:rPr>
          <w:sz w:val="28"/>
          <w:szCs w:val="28"/>
        </w:rPr>
        <w:t>"</w:t>
      </w:r>
      <w:r w:rsidR="003225AE" w:rsidRPr="006C2D42">
        <w:rPr>
          <w:sz w:val="28"/>
          <w:szCs w:val="28"/>
        </w:rPr>
        <w:t>.</w:t>
      </w:r>
    </w:p>
    <w:p w:rsidR="003225AE" w:rsidRPr="007D71CB" w:rsidRDefault="003225AE" w:rsidP="00D719F4">
      <w:pPr>
        <w:pStyle w:val="a3"/>
        <w:spacing w:before="120" w:after="120"/>
        <w:ind w:firstLine="567"/>
        <w:rPr>
          <w:b w:val="0"/>
          <w:szCs w:val="28"/>
        </w:rPr>
      </w:pPr>
      <w:r w:rsidRPr="007D71CB">
        <w:rPr>
          <w:b w:val="0"/>
          <w:szCs w:val="28"/>
        </w:rPr>
        <w:t>Назва виконавця заходів з відстеження</w:t>
      </w:r>
    </w:p>
    <w:p w:rsidR="003225AE" w:rsidRPr="006C2D42" w:rsidRDefault="007D71CB" w:rsidP="00D719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Управління державної політики у сфері пробірного </w:t>
      </w:r>
      <w:r w:rsidR="00D36811" w:rsidRPr="00D36811">
        <w:rPr>
          <w:sz w:val="28"/>
          <w:szCs w:val="28"/>
        </w:rPr>
        <w:t>контролю</w:t>
      </w:r>
      <w:r>
        <w:rPr>
          <w:sz w:val="28"/>
          <w:szCs w:val="28"/>
        </w:rPr>
        <w:t xml:space="preserve">, документів суворої звітності та лотерейної діяльності </w:t>
      </w:r>
      <w:r w:rsidR="003225AE" w:rsidRPr="006C2D42">
        <w:rPr>
          <w:sz w:val="28"/>
          <w:szCs w:val="28"/>
        </w:rPr>
        <w:t>Міністерства фінансів України.</w:t>
      </w:r>
    </w:p>
    <w:p w:rsidR="003225AE" w:rsidRPr="007D71CB" w:rsidRDefault="003225AE" w:rsidP="00D719F4">
      <w:pPr>
        <w:spacing w:before="120" w:after="120"/>
        <w:ind w:firstLine="567"/>
        <w:jc w:val="both"/>
        <w:rPr>
          <w:i/>
          <w:sz w:val="28"/>
          <w:szCs w:val="28"/>
        </w:rPr>
      </w:pPr>
      <w:r w:rsidRPr="007D71CB">
        <w:rPr>
          <w:i/>
          <w:sz w:val="28"/>
          <w:szCs w:val="28"/>
        </w:rPr>
        <w:t>Цілі прийняття акта</w:t>
      </w:r>
    </w:p>
    <w:p w:rsidR="00301B8B" w:rsidRPr="006C2D42" w:rsidRDefault="007D71CB" w:rsidP="00D719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225AE" w:rsidRPr="006C2D42">
        <w:rPr>
          <w:sz w:val="28"/>
          <w:szCs w:val="28"/>
        </w:rPr>
        <w:t xml:space="preserve">провадження дієвого контролю з боку державних органів за обігом алмазів на території України, підвищення рівня відповідності вимог чинного законодавства України вимогам ООН та рішенням Кімберлійського процесу у сфері боротьби з світовим тероризмом. Посилення системи заходів щодо </w:t>
      </w:r>
      <w:r w:rsidR="00F965D8">
        <w:rPr>
          <w:sz w:val="28"/>
          <w:szCs w:val="28"/>
        </w:rPr>
        <w:t>унеможливлення</w:t>
      </w:r>
      <w:r w:rsidR="003225AE" w:rsidRPr="006C2D42">
        <w:rPr>
          <w:sz w:val="28"/>
          <w:szCs w:val="28"/>
        </w:rPr>
        <w:t xml:space="preserve"> нелегального використання </w:t>
      </w:r>
      <w:r w:rsidR="00EA692F" w:rsidRPr="006C2D42">
        <w:rPr>
          <w:sz w:val="28"/>
          <w:szCs w:val="28"/>
        </w:rPr>
        <w:t>"</w:t>
      </w:r>
      <w:r w:rsidR="00502C5C" w:rsidRPr="006C2D42">
        <w:rPr>
          <w:sz w:val="28"/>
          <w:szCs w:val="28"/>
        </w:rPr>
        <w:t>кривавих</w:t>
      </w:r>
      <w:r w:rsidR="00EA692F" w:rsidRPr="006C2D42">
        <w:rPr>
          <w:sz w:val="28"/>
          <w:szCs w:val="28"/>
        </w:rPr>
        <w:t>"</w:t>
      </w:r>
      <w:r w:rsidR="00502C5C" w:rsidRPr="006C2D42">
        <w:rPr>
          <w:sz w:val="28"/>
          <w:szCs w:val="28"/>
        </w:rPr>
        <w:t xml:space="preserve"> </w:t>
      </w:r>
      <w:r w:rsidR="003225AE" w:rsidRPr="006C2D42">
        <w:rPr>
          <w:sz w:val="28"/>
          <w:szCs w:val="28"/>
        </w:rPr>
        <w:t>алмазів з метою відмивання коштів, торгівлі зброєю та отримання прибутків на основі торгівлі контрабандними товарами</w:t>
      </w:r>
      <w:r w:rsidR="00301B8B" w:rsidRPr="006C2D42">
        <w:rPr>
          <w:color w:val="000000"/>
          <w:sz w:val="28"/>
          <w:szCs w:val="28"/>
        </w:rPr>
        <w:t xml:space="preserve">, зокрема, </w:t>
      </w:r>
      <w:r w:rsidR="00301B8B" w:rsidRPr="006C2D42">
        <w:rPr>
          <w:sz w:val="28"/>
          <w:szCs w:val="28"/>
        </w:rPr>
        <w:t>незаконної торгівлі алмазами.</w:t>
      </w:r>
    </w:p>
    <w:p w:rsidR="00516CAD" w:rsidRPr="007D71CB" w:rsidRDefault="003225AE" w:rsidP="00D719F4">
      <w:pPr>
        <w:spacing w:before="120" w:after="120"/>
        <w:ind w:firstLine="567"/>
        <w:jc w:val="both"/>
        <w:rPr>
          <w:i/>
          <w:sz w:val="28"/>
          <w:szCs w:val="28"/>
        </w:rPr>
      </w:pPr>
      <w:r w:rsidRPr="007D71CB">
        <w:rPr>
          <w:i/>
          <w:sz w:val="28"/>
          <w:szCs w:val="28"/>
        </w:rPr>
        <w:t>Строк виконання заходів з відстеження</w:t>
      </w:r>
    </w:p>
    <w:p w:rsidR="00516CAD" w:rsidRPr="006C2D42" w:rsidRDefault="003225AE" w:rsidP="00D719F4">
      <w:pPr>
        <w:ind w:firstLine="567"/>
        <w:jc w:val="both"/>
        <w:rPr>
          <w:sz w:val="28"/>
          <w:szCs w:val="28"/>
        </w:rPr>
      </w:pPr>
      <w:r w:rsidRPr="003075AA">
        <w:rPr>
          <w:sz w:val="28"/>
          <w:szCs w:val="28"/>
        </w:rPr>
        <w:t xml:space="preserve">З </w:t>
      </w:r>
      <w:r w:rsidR="007D71CB">
        <w:rPr>
          <w:sz w:val="28"/>
          <w:szCs w:val="28"/>
        </w:rPr>
        <w:t>24</w:t>
      </w:r>
      <w:r w:rsidRPr="003075AA">
        <w:rPr>
          <w:sz w:val="28"/>
          <w:szCs w:val="28"/>
        </w:rPr>
        <w:t xml:space="preserve"> </w:t>
      </w:r>
      <w:r w:rsidR="007D71CB">
        <w:rPr>
          <w:sz w:val="28"/>
          <w:szCs w:val="28"/>
        </w:rPr>
        <w:t>лютого</w:t>
      </w:r>
      <w:r w:rsidR="000D3021" w:rsidRPr="003075AA">
        <w:rPr>
          <w:sz w:val="28"/>
          <w:szCs w:val="28"/>
        </w:rPr>
        <w:t xml:space="preserve"> </w:t>
      </w:r>
      <w:r w:rsidRPr="003075AA">
        <w:rPr>
          <w:sz w:val="28"/>
          <w:szCs w:val="28"/>
        </w:rPr>
        <w:t>20</w:t>
      </w:r>
      <w:r w:rsidR="007D71CB">
        <w:rPr>
          <w:sz w:val="28"/>
          <w:szCs w:val="28"/>
        </w:rPr>
        <w:t>20</w:t>
      </w:r>
      <w:r w:rsidRPr="003075AA">
        <w:rPr>
          <w:sz w:val="28"/>
          <w:szCs w:val="28"/>
        </w:rPr>
        <w:t xml:space="preserve"> року по </w:t>
      </w:r>
      <w:r w:rsidR="007D71CB">
        <w:rPr>
          <w:sz w:val="28"/>
          <w:szCs w:val="28"/>
        </w:rPr>
        <w:t>25</w:t>
      </w:r>
      <w:r w:rsidR="000D3021" w:rsidRPr="003075AA">
        <w:rPr>
          <w:sz w:val="28"/>
          <w:szCs w:val="28"/>
        </w:rPr>
        <w:t xml:space="preserve"> </w:t>
      </w:r>
      <w:r w:rsidR="007D71CB">
        <w:rPr>
          <w:sz w:val="28"/>
          <w:szCs w:val="28"/>
        </w:rPr>
        <w:t>березня</w:t>
      </w:r>
      <w:r w:rsidRPr="003075AA">
        <w:rPr>
          <w:sz w:val="28"/>
          <w:szCs w:val="28"/>
        </w:rPr>
        <w:t xml:space="preserve"> 20</w:t>
      </w:r>
      <w:r w:rsidR="007D71CB">
        <w:rPr>
          <w:sz w:val="28"/>
          <w:szCs w:val="28"/>
        </w:rPr>
        <w:t>20</w:t>
      </w:r>
      <w:r w:rsidRPr="003075AA">
        <w:rPr>
          <w:sz w:val="28"/>
          <w:szCs w:val="28"/>
        </w:rPr>
        <w:t xml:space="preserve"> року</w:t>
      </w:r>
      <w:r w:rsidR="00C27531" w:rsidRPr="003075AA">
        <w:rPr>
          <w:sz w:val="28"/>
          <w:szCs w:val="28"/>
        </w:rPr>
        <w:t>.</w:t>
      </w:r>
    </w:p>
    <w:p w:rsidR="00516CAD" w:rsidRPr="007D71CB" w:rsidRDefault="003225AE" w:rsidP="00D719F4">
      <w:pPr>
        <w:spacing w:before="120" w:after="120"/>
        <w:ind w:firstLine="567"/>
        <w:jc w:val="both"/>
        <w:rPr>
          <w:i/>
          <w:sz w:val="28"/>
          <w:szCs w:val="28"/>
        </w:rPr>
      </w:pPr>
      <w:r w:rsidRPr="007D71CB">
        <w:rPr>
          <w:i/>
          <w:sz w:val="28"/>
          <w:szCs w:val="28"/>
        </w:rPr>
        <w:t>Тип відстеження</w:t>
      </w:r>
    </w:p>
    <w:p w:rsidR="00516CAD" w:rsidRPr="006C2D42" w:rsidRDefault="007D71CB" w:rsidP="00D719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D3021" w:rsidRPr="006C2D42">
        <w:rPr>
          <w:sz w:val="28"/>
          <w:szCs w:val="28"/>
        </w:rPr>
        <w:t>еріодичне</w:t>
      </w:r>
      <w:r w:rsidR="003225AE" w:rsidRPr="006C2D42">
        <w:rPr>
          <w:sz w:val="28"/>
          <w:szCs w:val="28"/>
        </w:rPr>
        <w:t xml:space="preserve"> відстеження</w:t>
      </w:r>
      <w:r w:rsidR="00C27531" w:rsidRPr="006C2D42">
        <w:rPr>
          <w:sz w:val="28"/>
          <w:szCs w:val="28"/>
        </w:rPr>
        <w:t>.</w:t>
      </w:r>
    </w:p>
    <w:p w:rsidR="00516CAD" w:rsidRPr="007D71CB" w:rsidRDefault="003225AE" w:rsidP="00D719F4">
      <w:pPr>
        <w:spacing w:before="120" w:after="120"/>
        <w:ind w:firstLine="567"/>
        <w:jc w:val="both"/>
        <w:rPr>
          <w:i/>
          <w:sz w:val="28"/>
          <w:szCs w:val="28"/>
        </w:rPr>
      </w:pPr>
      <w:r w:rsidRPr="007D71CB">
        <w:rPr>
          <w:i/>
          <w:sz w:val="28"/>
          <w:szCs w:val="28"/>
        </w:rPr>
        <w:t>Методи о</w:t>
      </w:r>
      <w:r w:rsidR="00516CAD" w:rsidRPr="007D71CB">
        <w:rPr>
          <w:i/>
          <w:sz w:val="28"/>
          <w:szCs w:val="28"/>
        </w:rPr>
        <w:t>держання результатів відстеження</w:t>
      </w:r>
    </w:p>
    <w:p w:rsidR="00516CAD" w:rsidRPr="006C2D42" w:rsidRDefault="007D71CB" w:rsidP="00D719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225AE" w:rsidRPr="006C2D42">
        <w:rPr>
          <w:sz w:val="28"/>
          <w:szCs w:val="28"/>
        </w:rPr>
        <w:t xml:space="preserve">езультати </w:t>
      </w:r>
      <w:r w:rsidR="000D3021" w:rsidRPr="006C2D42">
        <w:rPr>
          <w:sz w:val="28"/>
          <w:szCs w:val="28"/>
        </w:rPr>
        <w:t>періодичн</w:t>
      </w:r>
      <w:r w:rsidR="003225AE" w:rsidRPr="006C2D42">
        <w:rPr>
          <w:sz w:val="28"/>
          <w:szCs w:val="28"/>
        </w:rPr>
        <w:t xml:space="preserve">ого відстеження постанови Кабінету Міністрів України </w:t>
      </w:r>
      <w:r w:rsidR="00C27531" w:rsidRPr="006C2D42">
        <w:rPr>
          <w:sz w:val="28"/>
          <w:szCs w:val="28"/>
        </w:rPr>
        <w:t>від 21.02.2007 № 286</w:t>
      </w:r>
      <w:r w:rsidR="00C27531" w:rsidRPr="006C2D42">
        <w:rPr>
          <w:b/>
          <w:sz w:val="28"/>
          <w:szCs w:val="28"/>
        </w:rPr>
        <w:t xml:space="preserve"> </w:t>
      </w:r>
      <w:r w:rsidR="003225AE" w:rsidRPr="006C2D42">
        <w:rPr>
          <w:sz w:val="28"/>
          <w:szCs w:val="28"/>
        </w:rPr>
        <w:t xml:space="preserve">одержані на підставі аналізу інформації, що </w:t>
      </w:r>
      <w:r w:rsidR="003225AE" w:rsidRPr="006C2D42">
        <w:rPr>
          <w:color w:val="000000"/>
          <w:sz w:val="28"/>
          <w:szCs w:val="28"/>
        </w:rPr>
        <w:t xml:space="preserve">надійшла від </w:t>
      </w:r>
      <w:r w:rsidR="002C2460" w:rsidRPr="006C2D42">
        <w:rPr>
          <w:sz w:val="28"/>
          <w:szCs w:val="28"/>
        </w:rPr>
        <w:t xml:space="preserve">Державного гемологічного центру України (далі – ДГЦУ) стосовно </w:t>
      </w:r>
      <w:r w:rsidR="003225AE" w:rsidRPr="006C2D42">
        <w:rPr>
          <w:color w:val="000000"/>
          <w:sz w:val="28"/>
          <w:szCs w:val="28"/>
        </w:rPr>
        <w:t>суб’єктів господарювання</w:t>
      </w:r>
      <w:r w:rsidR="002C2460" w:rsidRPr="006C2D42">
        <w:rPr>
          <w:color w:val="000000"/>
          <w:sz w:val="28"/>
          <w:szCs w:val="28"/>
        </w:rPr>
        <w:t xml:space="preserve">, які здійснюють </w:t>
      </w:r>
      <w:r w:rsidR="002C2460" w:rsidRPr="006C2D42">
        <w:rPr>
          <w:sz w:val="28"/>
          <w:szCs w:val="28"/>
        </w:rPr>
        <w:t>т</w:t>
      </w:r>
      <w:r w:rsidR="003225AE" w:rsidRPr="006C2D42">
        <w:rPr>
          <w:sz w:val="28"/>
          <w:szCs w:val="28"/>
        </w:rPr>
        <w:t>оргов</w:t>
      </w:r>
      <w:r w:rsidR="002C2460" w:rsidRPr="006C2D42">
        <w:rPr>
          <w:sz w:val="28"/>
          <w:szCs w:val="28"/>
        </w:rPr>
        <w:t>і</w:t>
      </w:r>
      <w:r w:rsidR="003225AE" w:rsidRPr="006C2D42">
        <w:rPr>
          <w:sz w:val="28"/>
          <w:szCs w:val="28"/>
        </w:rPr>
        <w:t xml:space="preserve"> операці</w:t>
      </w:r>
      <w:r w:rsidR="002C2460" w:rsidRPr="006C2D42">
        <w:rPr>
          <w:sz w:val="28"/>
          <w:szCs w:val="28"/>
        </w:rPr>
        <w:t>ї</w:t>
      </w:r>
      <w:r w:rsidR="003225AE" w:rsidRPr="006C2D42">
        <w:rPr>
          <w:sz w:val="28"/>
          <w:szCs w:val="28"/>
        </w:rPr>
        <w:t xml:space="preserve"> з дорогоцінним камінням.</w:t>
      </w:r>
    </w:p>
    <w:p w:rsidR="00516CAD" w:rsidRPr="007D71CB" w:rsidRDefault="003225AE" w:rsidP="00D719F4">
      <w:pPr>
        <w:spacing w:before="120" w:after="120"/>
        <w:ind w:firstLine="567"/>
        <w:jc w:val="both"/>
        <w:rPr>
          <w:i/>
          <w:sz w:val="28"/>
          <w:szCs w:val="28"/>
        </w:rPr>
      </w:pPr>
      <w:r w:rsidRPr="007D71CB">
        <w:rPr>
          <w:i/>
          <w:sz w:val="28"/>
          <w:szCs w:val="28"/>
        </w:rPr>
        <w:t xml:space="preserve">Дані </w:t>
      </w:r>
      <w:r w:rsidR="00537FD3" w:rsidRPr="007D71CB">
        <w:rPr>
          <w:i/>
          <w:sz w:val="28"/>
          <w:szCs w:val="28"/>
        </w:rPr>
        <w:t xml:space="preserve">та припущення, </w:t>
      </w:r>
      <w:r w:rsidRPr="007D71CB">
        <w:rPr>
          <w:i/>
          <w:sz w:val="28"/>
          <w:szCs w:val="28"/>
        </w:rPr>
        <w:t>на основі яких відстежувалася результативність, а також способи одержання даних</w:t>
      </w:r>
    </w:p>
    <w:p w:rsidR="003225AE" w:rsidRPr="006C2D42" w:rsidRDefault="00D719F4" w:rsidP="00D719F4">
      <w:pPr>
        <w:ind w:firstLine="567"/>
        <w:jc w:val="both"/>
        <w:rPr>
          <w:sz w:val="28"/>
          <w:szCs w:val="28"/>
        </w:rPr>
      </w:pPr>
      <w:r w:rsidRPr="00095F41">
        <w:rPr>
          <w:sz w:val="28"/>
          <w:szCs w:val="28"/>
        </w:rPr>
        <w:t xml:space="preserve">Відстеження результативності зазначеної постанови проводилось на підставі даних, одержаних Мінфіном </w:t>
      </w:r>
      <w:r>
        <w:rPr>
          <w:sz w:val="28"/>
          <w:szCs w:val="28"/>
        </w:rPr>
        <w:t xml:space="preserve">від </w:t>
      </w:r>
      <w:r w:rsidR="007D5E6E">
        <w:rPr>
          <w:sz w:val="28"/>
          <w:szCs w:val="28"/>
        </w:rPr>
        <w:t>ДГЦУ</w:t>
      </w:r>
      <w:r>
        <w:rPr>
          <w:sz w:val="28"/>
          <w:szCs w:val="28"/>
        </w:rPr>
        <w:t xml:space="preserve"> стосовно</w:t>
      </w:r>
      <w:r w:rsidR="003225AE" w:rsidRPr="006C2D42">
        <w:rPr>
          <w:sz w:val="28"/>
          <w:szCs w:val="28"/>
        </w:rPr>
        <w:t xml:space="preserve"> зауважень та пропозицій суб’єктів господарювання</w:t>
      </w:r>
      <w:r w:rsidR="007D71CB">
        <w:rPr>
          <w:sz w:val="28"/>
          <w:szCs w:val="28"/>
        </w:rPr>
        <w:t xml:space="preserve"> </w:t>
      </w:r>
      <w:r w:rsidR="00537FD3" w:rsidRPr="006C2D42">
        <w:rPr>
          <w:color w:val="000000"/>
          <w:sz w:val="28"/>
          <w:szCs w:val="28"/>
        </w:rPr>
        <w:t>–</w:t>
      </w:r>
      <w:r w:rsidR="007D71CB">
        <w:rPr>
          <w:color w:val="000000"/>
          <w:sz w:val="28"/>
          <w:szCs w:val="28"/>
        </w:rPr>
        <w:t xml:space="preserve"> </w:t>
      </w:r>
      <w:r w:rsidR="003225AE" w:rsidRPr="006C2D42">
        <w:rPr>
          <w:sz w:val="28"/>
          <w:szCs w:val="28"/>
        </w:rPr>
        <w:t xml:space="preserve">учасників торговельних операцій з дорогоцінним камінням, які надійшли за результатами використання </w:t>
      </w:r>
      <w:r w:rsidR="00537FD3" w:rsidRPr="006C2D42">
        <w:rPr>
          <w:sz w:val="28"/>
          <w:szCs w:val="28"/>
        </w:rPr>
        <w:t xml:space="preserve">ними </w:t>
      </w:r>
      <w:r w:rsidR="003225AE" w:rsidRPr="006C2D42">
        <w:rPr>
          <w:sz w:val="28"/>
          <w:szCs w:val="28"/>
        </w:rPr>
        <w:t>атестат</w:t>
      </w:r>
      <w:r w:rsidR="00537FD3" w:rsidRPr="006C2D42">
        <w:rPr>
          <w:sz w:val="28"/>
          <w:szCs w:val="28"/>
        </w:rPr>
        <w:t>ів</w:t>
      </w:r>
      <w:r w:rsidR="003225AE" w:rsidRPr="006C2D42">
        <w:rPr>
          <w:sz w:val="28"/>
          <w:szCs w:val="28"/>
        </w:rPr>
        <w:t xml:space="preserve"> на торгові партії оброблених або необроблених алмазів</w:t>
      </w:r>
      <w:r>
        <w:rPr>
          <w:sz w:val="28"/>
          <w:szCs w:val="28"/>
        </w:rPr>
        <w:t xml:space="preserve">, а також </w:t>
      </w:r>
      <w:r w:rsidR="003225AE" w:rsidRPr="006C2D42">
        <w:rPr>
          <w:sz w:val="28"/>
          <w:szCs w:val="28"/>
        </w:rPr>
        <w:t xml:space="preserve">інформації </w:t>
      </w:r>
      <w:r w:rsidR="007D71CB">
        <w:rPr>
          <w:sz w:val="28"/>
          <w:szCs w:val="28"/>
        </w:rPr>
        <w:t>щодо кількості бланків зазначених атестатів, виданих ДГЦУ суб’єктам господарювання.</w:t>
      </w:r>
    </w:p>
    <w:p w:rsidR="003225AE" w:rsidRPr="007D71CB" w:rsidRDefault="003225AE" w:rsidP="00D719F4">
      <w:pPr>
        <w:spacing w:before="120" w:after="120"/>
        <w:ind w:right="181" w:firstLine="567"/>
        <w:jc w:val="both"/>
        <w:rPr>
          <w:i/>
          <w:sz w:val="28"/>
          <w:szCs w:val="28"/>
        </w:rPr>
      </w:pPr>
      <w:r w:rsidRPr="007D71CB">
        <w:rPr>
          <w:i/>
          <w:sz w:val="28"/>
          <w:szCs w:val="28"/>
        </w:rPr>
        <w:lastRenderedPageBreak/>
        <w:t>Кількісні та якісні значення показників результативності акта</w:t>
      </w:r>
    </w:p>
    <w:p w:rsidR="00EF31A1" w:rsidRPr="00BD3DAE" w:rsidRDefault="007D71CB" w:rsidP="00D719F4">
      <w:pPr>
        <w:ind w:firstLine="567"/>
        <w:jc w:val="both"/>
        <w:rPr>
          <w:sz w:val="28"/>
          <w:szCs w:val="28"/>
        </w:rPr>
      </w:pPr>
      <w:r w:rsidRPr="00D719F4">
        <w:rPr>
          <w:sz w:val="28"/>
          <w:szCs w:val="28"/>
        </w:rPr>
        <w:t>Д</w:t>
      </w:r>
      <w:r w:rsidR="00EF31A1" w:rsidRPr="00D719F4">
        <w:rPr>
          <w:sz w:val="28"/>
          <w:szCs w:val="28"/>
        </w:rPr>
        <w:t xml:space="preserve">о кількісних показників результативності </w:t>
      </w:r>
      <w:r w:rsidR="00EF31A1" w:rsidRPr="006C2D42">
        <w:rPr>
          <w:sz w:val="28"/>
          <w:szCs w:val="28"/>
        </w:rPr>
        <w:t>регуляторного акта, відносно якого здійсню</w:t>
      </w:r>
      <w:r w:rsidR="006848FE" w:rsidRPr="006C2D42">
        <w:rPr>
          <w:sz w:val="28"/>
          <w:szCs w:val="28"/>
        </w:rPr>
        <w:t>валось</w:t>
      </w:r>
      <w:r w:rsidR="00EF31A1" w:rsidRPr="006C2D42">
        <w:rPr>
          <w:sz w:val="28"/>
          <w:szCs w:val="28"/>
        </w:rPr>
        <w:t xml:space="preserve"> періодичне відстеження, </w:t>
      </w:r>
      <w:r w:rsidR="00D719F4">
        <w:rPr>
          <w:sz w:val="28"/>
          <w:szCs w:val="28"/>
        </w:rPr>
        <w:t>на</w:t>
      </w:r>
      <w:r w:rsidR="007D5E6E">
        <w:rPr>
          <w:sz w:val="28"/>
          <w:szCs w:val="28"/>
        </w:rPr>
        <w:t>л</w:t>
      </w:r>
      <w:r w:rsidR="00D719F4">
        <w:rPr>
          <w:sz w:val="28"/>
          <w:szCs w:val="28"/>
        </w:rPr>
        <w:t>ежить</w:t>
      </w:r>
      <w:r w:rsidR="00EF31A1" w:rsidRPr="006C2D42">
        <w:rPr>
          <w:sz w:val="28"/>
          <w:szCs w:val="28"/>
        </w:rPr>
        <w:t xml:space="preserve"> </w:t>
      </w:r>
      <w:r w:rsidR="00EF31A1" w:rsidRPr="00D719F4">
        <w:rPr>
          <w:sz w:val="28"/>
          <w:szCs w:val="28"/>
        </w:rPr>
        <w:t>кількість бланків атестатів</w:t>
      </w:r>
      <w:r w:rsidR="00EF31A1" w:rsidRPr="006C2D42">
        <w:rPr>
          <w:i/>
          <w:sz w:val="28"/>
          <w:szCs w:val="28"/>
        </w:rPr>
        <w:t xml:space="preserve"> </w:t>
      </w:r>
      <w:r w:rsidR="00EF31A1" w:rsidRPr="006C2D42">
        <w:rPr>
          <w:sz w:val="28"/>
          <w:szCs w:val="28"/>
        </w:rPr>
        <w:t>на торгові партії оброблених або необроблених алмазів, видани</w:t>
      </w:r>
      <w:r>
        <w:rPr>
          <w:sz w:val="28"/>
          <w:szCs w:val="28"/>
        </w:rPr>
        <w:t>х ДГЦУ суб’єктам господарювання</w:t>
      </w:r>
      <w:r w:rsidR="00BD3DAE">
        <w:rPr>
          <w:sz w:val="28"/>
          <w:szCs w:val="28"/>
        </w:rPr>
        <w:t xml:space="preserve">. </w:t>
      </w:r>
      <w:r w:rsidR="00BD3DAE" w:rsidRPr="00BD3DAE">
        <w:rPr>
          <w:sz w:val="28"/>
          <w:szCs w:val="28"/>
        </w:rPr>
        <w:t>Вимоги до складання суб’єктами господарювання атестата на торгову партію оброблених або необроблених алмазів та його форма встановлені Правилами атестації торгових партій природного каміння, затверджени</w:t>
      </w:r>
      <w:r w:rsidR="00BD3DAE">
        <w:rPr>
          <w:sz w:val="28"/>
          <w:szCs w:val="28"/>
        </w:rPr>
        <w:t>ми</w:t>
      </w:r>
      <w:r w:rsidR="00BD3DAE" w:rsidRPr="00BD3DAE">
        <w:rPr>
          <w:sz w:val="28"/>
          <w:szCs w:val="28"/>
        </w:rPr>
        <w:t xml:space="preserve"> наказом Мінфіну від 06.12.2000 № 313</w:t>
      </w:r>
      <w:r w:rsidR="00EF31A1" w:rsidRPr="00BD3DAE">
        <w:rPr>
          <w:sz w:val="28"/>
          <w:szCs w:val="28"/>
        </w:rPr>
        <w:t>.</w:t>
      </w:r>
    </w:p>
    <w:p w:rsidR="00C70155" w:rsidRPr="006C2D42" w:rsidRDefault="00EF31A1" w:rsidP="00D719F4">
      <w:pPr>
        <w:ind w:firstLine="567"/>
        <w:jc w:val="both"/>
        <w:rPr>
          <w:sz w:val="28"/>
          <w:szCs w:val="28"/>
          <w:lang w:val="ru-RU"/>
        </w:rPr>
      </w:pPr>
      <w:r w:rsidRPr="006C2D42">
        <w:rPr>
          <w:sz w:val="28"/>
          <w:szCs w:val="28"/>
          <w:lang w:val="ru-RU"/>
        </w:rPr>
        <w:t>Кількіс</w:t>
      </w:r>
      <w:r w:rsidR="00F965D8">
        <w:rPr>
          <w:sz w:val="28"/>
          <w:szCs w:val="28"/>
          <w:lang w:val="ru-RU"/>
        </w:rPr>
        <w:t>ть</w:t>
      </w:r>
      <w:r w:rsidRPr="006C2D42">
        <w:rPr>
          <w:sz w:val="28"/>
          <w:szCs w:val="28"/>
          <w:lang w:val="ru-RU"/>
        </w:rPr>
        <w:t xml:space="preserve"> виданих бланків атестатів</w:t>
      </w:r>
      <w:r w:rsidR="00741FD2" w:rsidRPr="006C2D42">
        <w:rPr>
          <w:i/>
          <w:sz w:val="28"/>
          <w:szCs w:val="28"/>
          <w:lang w:val="ru-RU"/>
        </w:rPr>
        <w:t xml:space="preserve"> </w:t>
      </w:r>
      <w:r w:rsidR="00741FD2" w:rsidRPr="006C2D42">
        <w:rPr>
          <w:sz w:val="28"/>
          <w:szCs w:val="28"/>
          <w:lang w:val="ru-RU"/>
        </w:rPr>
        <w:t>станов</w:t>
      </w:r>
      <w:r w:rsidR="00F965D8">
        <w:rPr>
          <w:sz w:val="28"/>
          <w:szCs w:val="28"/>
          <w:lang w:val="ru-RU"/>
        </w:rPr>
        <w:t>и</w:t>
      </w:r>
      <w:r w:rsidR="00741FD2" w:rsidRPr="006C2D42">
        <w:rPr>
          <w:sz w:val="28"/>
          <w:szCs w:val="28"/>
          <w:lang w:val="ru-RU"/>
        </w:rPr>
        <w:t>ть</w:t>
      </w:r>
      <w:r w:rsidRPr="006C2D42">
        <w:rPr>
          <w:sz w:val="28"/>
          <w:szCs w:val="28"/>
          <w:lang w:val="ru-RU"/>
        </w:rPr>
        <w:t>:</w:t>
      </w:r>
    </w:p>
    <w:p w:rsidR="00C70155" w:rsidRPr="006C2D42" w:rsidRDefault="00C70155" w:rsidP="00D719F4">
      <w:pPr>
        <w:ind w:firstLine="567"/>
        <w:jc w:val="both"/>
        <w:rPr>
          <w:sz w:val="28"/>
          <w:szCs w:val="28"/>
          <w:lang w:val="ru-RU"/>
        </w:rPr>
      </w:pPr>
      <w:r w:rsidRPr="006C2D42">
        <w:rPr>
          <w:sz w:val="28"/>
          <w:szCs w:val="28"/>
          <w:lang w:val="ru-RU"/>
        </w:rPr>
        <w:t>у 20</w:t>
      </w:r>
      <w:r w:rsidR="007D71CB">
        <w:rPr>
          <w:sz w:val="28"/>
          <w:szCs w:val="28"/>
          <w:lang w:val="ru-RU"/>
        </w:rPr>
        <w:t>17</w:t>
      </w:r>
      <w:r w:rsidRPr="006C2D42">
        <w:rPr>
          <w:sz w:val="28"/>
          <w:szCs w:val="28"/>
          <w:lang w:val="ru-RU"/>
        </w:rPr>
        <w:t xml:space="preserve"> році – </w:t>
      </w:r>
      <w:r w:rsidR="00F03D8B">
        <w:rPr>
          <w:sz w:val="28"/>
          <w:szCs w:val="28"/>
          <w:lang w:val="ru-RU"/>
        </w:rPr>
        <w:t>490</w:t>
      </w:r>
      <w:r w:rsidRPr="006C2D42">
        <w:rPr>
          <w:sz w:val="28"/>
          <w:szCs w:val="28"/>
          <w:lang w:val="ru-RU"/>
        </w:rPr>
        <w:t xml:space="preserve"> шт.,</w:t>
      </w:r>
    </w:p>
    <w:p w:rsidR="00C70155" w:rsidRPr="006C2D42" w:rsidRDefault="00EF31A1" w:rsidP="00D719F4">
      <w:pPr>
        <w:ind w:firstLine="567"/>
        <w:jc w:val="both"/>
        <w:rPr>
          <w:sz w:val="28"/>
          <w:szCs w:val="28"/>
          <w:lang w:val="ru-RU"/>
        </w:rPr>
      </w:pPr>
      <w:r w:rsidRPr="006C2D42">
        <w:rPr>
          <w:sz w:val="28"/>
          <w:szCs w:val="28"/>
          <w:lang w:val="ru-RU"/>
        </w:rPr>
        <w:t>у 20</w:t>
      </w:r>
      <w:r w:rsidR="007D71CB">
        <w:rPr>
          <w:sz w:val="28"/>
          <w:szCs w:val="28"/>
          <w:lang w:val="ru-RU"/>
        </w:rPr>
        <w:t>18</w:t>
      </w:r>
      <w:r w:rsidRPr="006C2D42">
        <w:rPr>
          <w:sz w:val="28"/>
          <w:szCs w:val="28"/>
          <w:lang w:val="ru-RU"/>
        </w:rPr>
        <w:t xml:space="preserve"> році – </w:t>
      </w:r>
      <w:r w:rsidR="00F03D8B">
        <w:rPr>
          <w:sz w:val="28"/>
          <w:szCs w:val="28"/>
          <w:lang w:val="ru-RU"/>
        </w:rPr>
        <w:t>250</w:t>
      </w:r>
      <w:r w:rsidRPr="006C2D42">
        <w:rPr>
          <w:sz w:val="28"/>
          <w:szCs w:val="28"/>
          <w:lang w:val="ru-RU"/>
        </w:rPr>
        <w:t xml:space="preserve"> шт.,</w:t>
      </w:r>
    </w:p>
    <w:p w:rsidR="00EF31A1" w:rsidRPr="006C2D42" w:rsidRDefault="00EF31A1" w:rsidP="00D719F4">
      <w:pPr>
        <w:ind w:firstLine="567"/>
        <w:jc w:val="both"/>
        <w:rPr>
          <w:sz w:val="28"/>
          <w:szCs w:val="28"/>
          <w:lang w:val="ru-RU"/>
        </w:rPr>
      </w:pPr>
      <w:r w:rsidRPr="006C2D42">
        <w:rPr>
          <w:sz w:val="28"/>
          <w:szCs w:val="28"/>
          <w:lang w:val="ru-RU"/>
        </w:rPr>
        <w:t>у 20</w:t>
      </w:r>
      <w:r w:rsidR="007D71CB">
        <w:rPr>
          <w:sz w:val="28"/>
          <w:szCs w:val="28"/>
          <w:lang w:val="ru-RU"/>
        </w:rPr>
        <w:t>19</w:t>
      </w:r>
      <w:r w:rsidRPr="006C2D42">
        <w:rPr>
          <w:sz w:val="28"/>
          <w:szCs w:val="28"/>
          <w:lang w:val="ru-RU"/>
        </w:rPr>
        <w:t xml:space="preserve"> році</w:t>
      </w:r>
      <w:r w:rsidR="0011004A" w:rsidRPr="006C2D42">
        <w:rPr>
          <w:sz w:val="28"/>
          <w:szCs w:val="28"/>
          <w:lang w:val="ru-RU"/>
        </w:rPr>
        <w:t xml:space="preserve"> </w:t>
      </w:r>
      <w:r w:rsidRPr="006C2D42">
        <w:rPr>
          <w:sz w:val="28"/>
          <w:szCs w:val="28"/>
          <w:lang w:val="ru-RU"/>
        </w:rPr>
        <w:t xml:space="preserve">– </w:t>
      </w:r>
      <w:r w:rsidR="00F03D8B">
        <w:rPr>
          <w:sz w:val="28"/>
          <w:szCs w:val="28"/>
          <w:lang w:val="ru-RU"/>
        </w:rPr>
        <w:t>150</w:t>
      </w:r>
      <w:r w:rsidRPr="006C2D42">
        <w:rPr>
          <w:sz w:val="28"/>
          <w:szCs w:val="28"/>
          <w:lang w:val="ru-RU"/>
        </w:rPr>
        <w:t xml:space="preserve"> шт.</w:t>
      </w:r>
      <w:r w:rsidR="0011004A" w:rsidRPr="006C2D42">
        <w:rPr>
          <w:sz w:val="28"/>
          <w:szCs w:val="28"/>
          <w:lang w:val="ru-RU"/>
        </w:rPr>
        <w:t xml:space="preserve"> </w:t>
      </w:r>
    </w:p>
    <w:p w:rsidR="00EF31A1" w:rsidRPr="006C2D42" w:rsidRDefault="007D71CB" w:rsidP="00D719F4">
      <w:pPr>
        <w:ind w:firstLine="567"/>
        <w:jc w:val="both"/>
        <w:rPr>
          <w:sz w:val="28"/>
          <w:szCs w:val="28"/>
          <w:lang w:val="ru-RU"/>
        </w:rPr>
      </w:pPr>
      <w:r w:rsidRPr="00D719F4">
        <w:rPr>
          <w:sz w:val="28"/>
          <w:szCs w:val="28"/>
          <w:lang w:val="ru-RU"/>
        </w:rPr>
        <w:t>Д</w:t>
      </w:r>
      <w:r w:rsidR="00EF31A1" w:rsidRPr="00D719F4">
        <w:rPr>
          <w:sz w:val="28"/>
          <w:szCs w:val="28"/>
          <w:lang w:val="ru-RU"/>
        </w:rPr>
        <w:t>о якісних показників результативності</w:t>
      </w:r>
      <w:r w:rsidR="00F965D8" w:rsidRPr="00D719F4">
        <w:rPr>
          <w:sz w:val="28"/>
          <w:szCs w:val="28"/>
          <w:lang w:val="ru-RU"/>
        </w:rPr>
        <w:t xml:space="preserve"> </w:t>
      </w:r>
      <w:r w:rsidR="00F965D8">
        <w:rPr>
          <w:sz w:val="28"/>
          <w:szCs w:val="28"/>
          <w:lang w:val="ru-RU"/>
        </w:rPr>
        <w:t xml:space="preserve">регуляторного акта </w:t>
      </w:r>
      <w:r w:rsidR="00D719F4">
        <w:rPr>
          <w:sz w:val="28"/>
          <w:szCs w:val="28"/>
          <w:lang w:val="ru-RU"/>
        </w:rPr>
        <w:t>належать:</w:t>
      </w:r>
    </w:p>
    <w:p w:rsidR="00D719F4" w:rsidRPr="00FD7BB7" w:rsidRDefault="00D719F4" w:rsidP="00D719F4">
      <w:pPr>
        <w:pStyle w:val="a5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D7BB7">
        <w:rPr>
          <w:sz w:val="28"/>
          <w:szCs w:val="28"/>
        </w:rPr>
        <w:t xml:space="preserve">івень поінформованості суб’єктів господарювання щодо основних положень регуляторного акта, який є високим з огляду на розміщення його на сайті Верховної Ради України в розділі "Законодавство України" та всеукраїнській мережі "ЛІГА ЗАКОН"; </w:t>
      </w:r>
    </w:p>
    <w:p w:rsidR="00F20A77" w:rsidRPr="006C2D42" w:rsidRDefault="00EF31A1" w:rsidP="00D719F4">
      <w:pPr>
        <w:ind w:firstLine="567"/>
        <w:jc w:val="both"/>
        <w:rPr>
          <w:sz w:val="28"/>
          <w:szCs w:val="28"/>
        </w:rPr>
      </w:pPr>
      <w:r w:rsidRPr="006C2D42">
        <w:rPr>
          <w:sz w:val="28"/>
          <w:szCs w:val="28"/>
        </w:rPr>
        <w:t>створення прозорих умов здійснення торговельних операцій з дорогоцінним камінням;</w:t>
      </w:r>
    </w:p>
    <w:p w:rsidR="00EF31A1" w:rsidRDefault="00EF31A1" w:rsidP="00D719F4">
      <w:pPr>
        <w:ind w:firstLine="567"/>
        <w:jc w:val="both"/>
        <w:rPr>
          <w:sz w:val="28"/>
          <w:szCs w:val="28"/>
        </w:rPr>
      </w:pPr>
      <w:r w:rsidRPr="006C2D42">
        <w:rPr>
          <w:sz w:val="28"/>
          <w:szCs w:val="28"/>
        </w:rPr>
        <w:t>можливість контролю діяльності суб’єктів господарювання при здійсненні торгових операцій з алмазами та легалізація цього виду бізнесу на території України.</w:t>
      </w:r>
    </w:p>
    <w:p w:rsidR="00EF31A1" w:rsidRPr="006C2D42" w:rsidRDefault="00EF31A1" w:rsidP="00D719F4">
      <w:pPr>
        <w:ind w:firstLine="567"/>
        <w:jc w:val="both"/>
        <w:rPr>
          <w:sz w:val="28"/>
          <w:szCs w:val="28"/>
        </w:rPr>
      </w:pPr>
      <w:r w:rsidRPr="006C2D42">
        <w:rPr>
          <w:sz w:val="28"/>
          <w:szCs w:val="28"/>
        </w:rPr>
        <w:t xml:space="preserve">Зауважень та пропозицій суб’єктів господарювання щодо </w:t>
      </w:r>
      <w:r w:rsidR="00F33A8B">
        <w:rPr>
          <w:sz w:val="28"/>
          <w:szCs w:val="28"/>
        </w:rPr>
        <w:t>норм</w:t>
      </w:r>
      <w:r w:rsidRPr="006C2D42">
        <w:rPr>
          <w:sz w:val="28"/>
          <w:szCs w:val="28"/>
        </w:rPr>
        <w:t xml:space="preserve"> постанов</w:t>
      </w:r>
      <w:r w:rsidR="00F33A8B">
        <w:rPr>
          <w:sz w:val="28"/>
          <w:szCs w:val="28"/>
        </w:rPr>
        <w:t>и</w:t>
      </w:r>
      <w:r w:rsidRPr="006C2D42">
        <w:rPr>
          <w:sz w:val="28"/>
          <w:szCs w:val="28"/>
        </w:rPr>
        <w:t xml:space="preserve"> Кабінету Міністрів України </w:t>
      </w:r>
      <w:r w:rsidR="00D719F4" w:rsidRPr="006C2D42">
        <w:rPr>
          <w:sz w:val="28"/>
          <w:szCs w:val="28"/>
        </w:rPr>
        <w:t>від 21.02.2007 № 286</w:t>
      </w:r>
      <w:r w:rsidRPr="006C2D42">
        <w:rPr>
          <w:sz w:val="28"/>
          <w:szCs w:val="28"/>
        </w:rPr>
        <w:t>, а також щодо використання атестатів на торгові партії оброблених або необроблених алмазів до</w:t>
      </w:r>
      <w:r w:rsidR="00546D11" w:rsidRPr="006C2D42">
        <w:rPr>
          <w:sz w:val="28"/>
          <w:szCs w:val="28"/>
        </w:rPr>
        <w:t xml:space="preserve"> Міністерства фінансів </w:t>
      </w:r>
      <w:r w:rsidR="00D719F4">
        <w:rPr>
          <w:sz w:val="28"/>
          <w:szCs w:val="28"/>
        </w:rPr>
        <w:t xml:space="preserve">України </w:t>
      </w:r>
      <w:r w:rsidR="00546D11" w:rsidRPr="006C2D42">
        <w:rPr>
          <w:sz w:val="28"/>
          <w:szCs w:val="28"/>
        </w:rPr>
        <w:t xml:space="preserve">та </w:t>
      </w:r>
      <w:r w:rsidRPr="006C2D42">
        <w:rPr>
          <w:sz w:val="28"/>
          <w:szCs w:val="28"/>
        </w:rPr>
        <w:t>ДГЦУ не надходил</w:t>
      </w:r>
      <w:r w:rsidR="00F33A8B">
        <w:rPr>
          <w:sz w:val="28"/>
          <w:szCs w:val="28"/>
        </w:rPr>
        <w:t>о</w:t>
      </w:r>
      <w:r w:rsidRPr="006C2D42">
        <w:rPr>
          <w:sz w:val="28"/>
          <w:szCs w:val="28"/>
        </w:rPr>
        <w:t>.</w:t>
      </w:r>
    </w:p>
    <w:p w:rsidR="003225AE" w:rsidRPr="00D719F4" w:rsidRDefault="003225AE" w:rsidP="00D719F4">
      <w:pPr>
        <w:tabs>
          <w:tab w:val="left" w:pos="567"/>
        </w:tabs>
        <w:spacing w:before="120" w:after="120"/>
        <w:ind w:firstLine="567"/>
        <w:jc w:val="both"/>
        <w:rPr>
          <w:i/>
          <w:sz w:val="28"/>
          <w:szCs w:val="28"/>
        </w:rPr>
      </w:pPr>
      <w:r w:rsidRPr="00D719F4">
        <w:rPr>
          <w:i/>
          <w:sz w:val="28"/>
          <w:szCs w:val="28"/>
        </w:rPr>
        <w:t>Оцінка результатів реалізації регуляторного акта та ступеня досягнення визначених цілей</w:t>
      </w:r>
    </w:p>
    <w:p w:rsidR="003225AE" w:rsidRPr="006C2D42" w:rsidRDefault="00D719F4" w:rsidP="00D719F4">
      <w:pPr>
        <w:pStyle w:val="a3"/>
        <w:ind w:firstLine="567"/>
        <w:rPr>
          <w:b w:val="0"/>
          <w:i w:val="0"/>
          <w:szCs w:val="28"/>
        </w:rPr>
      </w:pPr>
      <w:r>
        <w:rPr>
          <w:b w:val="0"/>
          <w:bCs w:val="0"/>
          <w:i w:val="0"/>
          <w:szCs w:val="28"/>
        </w:rPr>
        <w:t>З</w:t>
      </w:r>
      <w:r w:rsidR="003225AE" w:rsidRPr="006C2D42">
        <w:rPr>
          <w:b w:val="0"/>
          <w:bCs w:val="0"/>
          <w:i w:val="0"/>
          <w:szCs w:val="28"/>
        </w:rPr>
        <w:t>а результатами п</w:t>
      </w:r>
      <w:r w:rsidR="009E17BF" w:rsidRPr="006C2D42">
        <w:rPr>
          <w:b w:val="0"/>
          <w:bCs w:val="0"/>
          <w:i w:val="0"/>
          <w:szCs w:val="28"/>
        </w:rPr>
        <w:t>еріодичного</w:t>
      </w:r>
      <w:r w:rsidR="003225AE" w:rsidRPr="006C2D42">
        <w:rPr>
          <w:b w:val="0"/>
          <w:bCs w:val="0"/>
          <w:i w:val="0"/>
          <w:szCs w:val="28"/>
        </w:rPr>
        <w:t xml:space="preserve"> відстеження результативності </w:t>
      </w:r>
      <w:r w:rsidR="003225AE" w:rsidRPr="006C2D42">
        <w:rPr>
          <w:b w:val="0"/>
          <w:i w:val="0"/>
          <w:szCs w:val="28"/>
        </w:rPr>
        <w:t xml:space="preserve">постанови Кабінету Міністрів України від 21.02.2007 № 286 </w:t>
      </w:r>
      <w:r w:rsidR="003225AE" w:rsidRPr="006C2D42">
        <w:rPr>
          <w:b w:val="0"/>
          <w:bCs w:val="0"/>
          <w:i w:val="0"/>
          <w:szCs w:val="28"/>
        </w:rPr>
        <w:t>можна зробити висновок</w:t>
      </w:r>
      <w:r w:rsidR="003225AE" w:rsidRPr="006C2D42">
        <w:rPr>
          <w:b w:val="0"/>
          <w:i w:val="0"/>
          <w:szCs w:val="28"/>
        </w:rPr>
        <w:t xml:space="preserve"> про те, що шляхом впровадження цього нормативного акта вдалося досягти визначених цілей</w:t>
      </w:r>
      <w:r w:rsidR="00882D03" w:rsidRPr="006C2D42">
        <w:rPr>
          <w:b w:val="0"/>
          <w:i w:val="0"/>
          <w:szCs w:val="28"/>
        </w:rPr>
        <w:t>, оскільки його п</w:t>
      </w:r>
      <w:r w:rsidR="003225AE" w:rsidRPr="006C2D42">
        <w:rPr>
          <w:b w:val="0"/>
          <w:i w:val="0"/>
          <w:szCs w:val="28"/>
        </w:rPr>
        <w:t xml:space="preserve">рийняття сприяло створенню прозорої системи відносин </w:t>
      </w:r>
      <w:r w:rsidR="00882D03" w:rsidRPr="006C2D42">
        <w:rPr>
          <w:b w:val="0"/>
          <w:i w:val="0"/>
          <w:szCs w:val="28"/>
        </w:rPr>
        <w:t xml:space="preserve">у сфері обігу алмазів в </w:t>
      </w:r>
      <w:r w:rsidR="00F33A8B">
        <w:rPr>
          <w:b w:val="0"/>
          <w:i w:val="0"/>
          <w:szCs w:val="28"/>
        </w:rPr>
        <w:t>У</w:t>
      </w:r>
      <w:r w:rsidR="00882D03" w:rsidRPr="006C2D42">
        <w:rPr>
          <w:b w:val="0"/>
          <w:i w:val="0"/>
          <w:szCs w:val="28"/>
        </w:rPr>
        <w:t>країні.</w:t>
      </w:r>
    </w:p>
    <w:p w:rsidR="006C2D42" w:rsidRDefault="006C2D42" w:rsidP="00D719F4">
      <w:pPr>
        <w:ind w:firstLine="567"/>
        <w:rPr>
          <w:b/>
          <w:sz w:val="28"/>
          <w:szCs w:val="28"/>
        </w:rPr>
      </w:pPr>
    </w:p>
    <w:p w:rsidR="006C2D42" w:rsidRDefault="006C2D42" w:rsidP="00D719F4">
      <w:pPr>
        <w:ind w:firstLine="567"/>
        <w:rPr>
          <w:b/>
          <w:sz w:val="28"/>
          <w:szCs w:val="28"/>
        </w:rPr>
      </w:pPr>
    </w:p>
    <w:p w:rsidR="00D36811" w:rsidRDefault="00D719F4" w:rsidP="00D719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Міністра фінансів </w:t>
      </w:r>
      <w:r w:rsidR="00882D03" w:rsidRPr="006C2D42">
        <w:rPr>
          <w:b/>
          <w:sz w:val="28"/>
          <w:szCs w:val="28"/>
        </w:rPr>
        <w:t>України</w:t>
      </w:r>
      <w:r w:rsidR="00882D03" w:rsidRPr="006C2D42">
        <w:rPr>
          <w:b/>
          <w:sz w:val="28"/>
          <w:szCs w:val="28"/>
        </w:rPr>
        <w:tab/>
      </w:r>
    </w:p>
    <w:p w:rsidR="00D719F4" w:rsidRDefault="00D36811" w:rsidP="00D719F4">
      <w:pPr>
        <w:rPr>
          <w:b/>
          <w:sz w:val="28"/>
          <w:szCs w:val="28"/>
        </w:rPr>
      </w:pPr>
      <w:r w:rsidRPr="00D36811">
        <w:rPr>
          <w:b/>
          <w:sz w:val="28"/>
          <w:szCs w:val="28"/>
        </w:rPr>
        <w:t xml:space="preserve">з питань </w:t>
      </w:r>
      <w:r>
        <w:rPr>
          <w:b/>
          <w:sz w:val="28"/>
          <w:szCs w:val="28"/>
        </w:rPr>
        <w:t>є</w:t>
      </w:r>
      <w:r w:rsidRPr="00D36811">
        <w:rPr>
          <w:b/>
          <w:sz w:val="28"/>
          <w:szCs w:val="28"/>
        </w:rPr>
        <w:t>вропе</w:t>
      </w:r>
      <w:r>
        <w:rPr>
          <w:b/>
          <w:sz w:val="28"/>
          <w:szCs w:val="28"/>
        </w:rPr>
        <w:t>й</w:t>
      </w:r>
      <w:r w:rsidRPr="00D36811">
        <w:rPr>
          <w:b/>
          <w:sz w:val="28"/>
          <w:szCs w:val="28"/>
        </w:rPr>
        <w:t>сько</w:t>
      </w:r>
      <w:r>
        <w:rPr>
          <w:b/>
          <w:sz w:val="28"/>
          <w:szCs w:val="28"/>
        </w:rPr>
        <w:t>ї інтеграції</w:t>
      </w:r>
      <w:r w:rsidR="00882D03" w:rsidRPr="006C2D42">
        <w:rPr>
          <w:b/>
          <w:sz w:val="28"/>
          <w:szCs w:val="28"/>
        </w:rPr>
        <w:tab/>
      </w:r>
      <w:r w:rsidR="00D719F4">
        <w:rPr>
          <w:b/>
          <w:sz w:val="28"/>
          <w:szCs w:val="28"/>
        </w:rPr>
        <w:tab/>
      </w:r>
      <w:r w:rsidR="00D719F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D719F4">
        <w:rPr>
          <w:b/>
          <w:sz w:val="28"/>
          <w:szCs w:val="28"/>
        </w:rPr>
        <w:t>Юрій ГЕЛЕТІЙ</w:t>
      </w:r>
    </w:p>
    <w:sectPr w:rsidR="00D719F4" w:rsidSect="006C2D42">
      <w:headerReference w:type="default" r:id="rId7"/>
      <w:pgSz w:w="11906" w:h="16838"/>
      <w:pgMar w:top="993" w:right="62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81D" w:rsidRDefault="00F9081D" w:rsidP="00BF5B06">
      <w:r>
        <w:separator/>
      </w:r>
    </w:p>
  </w:endnote>
  <w:endnote w:type="continuationSeparator" w:id="0">
    <w:p w:rsidR="00F9081D" w:rsidRDefault="00F9081D" w:rsidP="00BF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81D" w:rsidRDefault="00F9081D" w:rsidP="00BF5B06">
      <w:r>
        <w:separator/>
      </w:r>
    </w:p>
  </w:footnote>
  <w:footnote w:type="continuationSeparator" w:id="0">
    <w:p w:rsidR="00F9081D" w:rsidRDefault="00F9081D" w:rsidP="00BF5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331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E665E" w:rsidRPr="006247CD" w:rsidRDefault="00BF5B06">
        <w:pPr>
          <w:pStyle w:val="a7"/>
          <w:jc w:val="center"/>
          <w:rPr>
            <w:sz w:val="28"/>
            <w:szCs w:val="28"/>
          </w:rPr>
        </w:pPr>
        <w:r w:rsidRPr="006247CD">
          <w:rPr>
            <w:sz w:val="28"/>
            <w:szCs w:val="28"/>
          </w:rPr>
          <w:fldChar w:fldCharType="begin"/>
        </w:r>
        <w:r w:rsidR="00E63428" w:rsidRPr="006247CD">
          <w:rPr>
            <w:sz w:val="28"/>
            <w:szCs w:val="28"/>
          </w:rPr>
          <w:instrText xml:space="preserve"> PAGE   \* MERGEFORMAT </w:instrText>
        </w:r>
        <w:r w:rsidRPr="006247CD">
          <w:rPr>
            <w:sz w:val="28"/>
            <w:szCs w:val="28"/>
          </w:rPr>
          <w:fldChar w:fldCharType="separate"/>
        </w:r>
        <w:r w:rsidR="00275421">
          <w:rPr>
            <w:noProof/>
            <w:sz w:val="28"/>
            <w:szCs w:val="28"/>
          </w:rPr>
          <w:t>2</w:t>
        </w:r>
        <w:r w:rsidRPr="006247C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51D79"/>
    <w:multiLevelType w:val="hybridMultilevel"/>
    <w:tmpl w:val="C2361714"/>
    <w:lvl w:ilvl="0" w:tplc="03E6D3BE">
      <w:start w:val="48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AE"/>
    <w:rsid w:val="00016AD9"/>
    <w:rsid w:val="000747F8"/>
    <w:rsid w:val="000D3021"/>
    <w:rsid w:val="000F20C2"/>
    <w:rsid w:val="0011004A"/>
    <w:rsid w:val="00113604"/>
    <w:rsid w:val="00171178"/>
    <w:rsid w:val="0017663D"/>
    <w:rsid w:val="002421C6"/>
    <w:rsid w:val="00275421"/>
    <w:rsid w:val="002C2460"/>
    <w:rsid w:val="00301B8B"/>
    <w:rsid w:val="003075AA"/>
    <w:rsid w:val="003225AE"/>
    <w:rsid w:val="00356B6D"/>
    <w:rsid w:val="003F4C34"/>
    <w:rsid w:val="00486D6B"/>
    <w:rsid w:val="00502C5C"/>
    <w:rsid w:val="00516CAD"/>
    <w:rsid w:val="00537FD3"/>
    <w:rsid w:val="00546D11"/>
    <w:rsid w:val="00565BFF"/>
    <w:rsid w:val="005E4DEA"/>
    <w:rsid w:val="005F5C14"/>
    <w:rsid w:val="00614654"/>
    <w:rsid w:val="006247CD"/>
    <w:rsid w:val="006848FE"/>
    <w:rsid w:val="00695A0A"/>
    <w:rsid w:val="006C2D42"/>
    <w:rsid w:val="00741FD2"/>
    <w:rsid w:val="0078491C"/>
    <w:rsid w:val="007D5E6E"/>
    <w:rsid w:val="007D71CB"/>
    <w:rsid w:val="00882D03"/>
    <w:rsid w:val="00904F06"/>
    <w:rsid w:val="0090677F"/>
    <w:rsid w:val="009D2C9F"/>
    <w:rsid w:val="009E17BF"/>
    <w:rsid w:val="009F589E"/>
    <w:rsid w:val="00A34C5F"/>
    <w:rsid w:val="00A401AA"/>
    <w:rsid w:val="00A74B47"/>
    <w:rsid w:val="00AC7D27"/>
    <w:rsid w:val="00AF3D33"/>
    <w:rsid w:val="00B130DC"/>
    <w:rsid w:val="00B425F6"/>
    <w:rsid w:val="00B82EB6"/>
    <w:rsid w:val="00BB768E"/>
    <w:rsid w:val="00BB7BCB"/>
    <w:rsid w:val="00BD3DAE"/>
    <w:rsid w:val="00BE3B34"/>
    <w:rsid w:val="00BF5542"/>
    <w:rsid w:val="00BF5B06"/>
    <w:rsid w:val="00BF6621"/>
    <w:rsid w:val="00C27531"/>
    <w:rsid w:val="00C70155"/>
    <w:rsid w:val="00CD7A6B"/>
    <w:rsid w:val="00D36811"/>
    <w:rsid w:val="00D50703"/>
    <w:rsid w:val="00D719F4"/>
    <w:rsid w:val="00D8013C"/>
    <w:rsid w:val="00D84EF4"/>
    <w:rsid w:val="00DB6EFC"/>
    <w:rsid w:val="00DF7058"/>
    <w:rsid w:val="00E50950"/>
    <w:rsid w:val="00E63428"/>
    <w:rsid w:val="00E931E3"/>
    <w:rsid w:val="00EA692F"/>
    <w:rsid w:val="00EF31A1"/>
    <w:rsid w:val="00F03D8B"/>
    <w:rsid w:val="00F20A77"/>
    <w:rsid w:val="00F33A8B"/>
    <w:rsid w:val="00F64E18"/>
    <w:rsid w:val="00F768A4"/>
    <w:rsid w:val="00F90617"/>
    <w:rsid w:val="00F9081D"/>
    <w:rsid w:val="00F965D8"/>
    <w:rsid w:val="00FC025E"/>
    <w:rsid w:val="00F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A9A60-DF2B-43BB-8C04-19FD40EE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5AE"/>
    <w:pPr>
      <w:jc w:val="both"/>
    </w:pPr>
    <w:rPr>
      <w:b/>
      <w:bCs/>
      <w:i/>
      <w:iCs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3225A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3225A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225A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3225A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25A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List Paragraph"/>
    <w:basedOn w:val="a"/>
    <w:uiPriority w:val="34"/>
    <w:qFormat/>
    <w:rsid w:val="003225AE"/>
    <w:pPr>
      <w:ind w:left="720"/>
      <w:contextualSpacing/>
    </w:pPr>
    <w:rPr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E634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3428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1">
    <w:name w:val="Абзац списку1"/>
    <w:basedOn w:val="a"/>
    <w:rsid w:val="00EF31A1"/>
    <w:pPr>
      <w:ind w:left="720"/>
    </w:pPr>
    <w:rPr>
      <w:rFonts w:eastAsia="Calibri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6247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47CD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e">
    <w:name w:val="Hyperlink"/>
    <w:basedOn w:val="a0"/>
    <w:uiPriority w:val="99"/>
    <w:unhideWhenUsed/>
    <w:rsid w:val="00904F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2649</Words>
  <Characters>1511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</cp:revision>
  <cp:lastPrinted>2014-12-23T14:09:00Z</cp:lastPrinted>
  <dcterms:created xsi:type="dcterms:W3CDTF">2020-03-25T14:03:00Z</dcterms:created>
  <dcterms:modified xsi:type="dcterms:W3CDTF">2020-03-25T14:03:00Z</dcterms:modified>
</cp:coreProperties>
</file>