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FD" w:rsidRPr="009D22DB" w:rsidRDefault="00EB1EFD" w:rsidP="00EB1EFD">
      <w:pPr>
        <w:tabs>
          <w:tab w:val="left" w:pos="567"/>
        </w:tabs>
        <w:jc w:val="center"/>
        <w:rPr>
          <w:b/>
          <w:bCs/>
          <w:sz w:val="32"/>
          <w:szCs w:val="32"/>
          <w:lang w:val="uk-UA"/>
        </w:rPr>
      </w:pPr>
      <w:bookmarkStart w:id="0" w:name="_GoBack"/>
      <w:bookmarkEnd w:id="0"/>
      <w:r w:rsidRPr="009D22DB">
        <w:rPr>
          <w:b/>
          <w:bCs/>
          <w:sz w:val="32"/>
          <w:szCs w:val="32"/>
          <w:lang w:val="uk-UA"/>
        </w:rPr>
        <w:t>Звіт</w:t>
      </w:r>
    </w:p>
    <w:p w:rsidR="00EB1EFD" w:rsidRPr="009D22DB" w:rsidRDefault="00EB1EFD" w:rsidP="00EB1EFD">
      <w:pPr>
        <w:jc w:val="center"/>
        <w:rPr>
          <w:b/>
          <w:bCs/>
          <w:sz w:val="28"/>
          <w:szCs w:val="28"/>
          <w:lang w:val="uk-UA"/>
        </w:rPr>
      </w:pPr>
      <w:r w:rsidRPr="009D22DB">
        <w:rPr>
          <w:b/>
          <w:bCs/>
          <w:sz w:val="28"/>
          <w:szCs w:val="28"/>
          <w:lang w:val="uk-UA"/>
        </w:rPr>
        <w:t xml:space="preserve">про повторне відстеження результативності </w:t>
      </w:r>
    </w:p>
    <w:p w:rsidR="00EB1EFD" w:rsidRPr="009D22DB" w:rsidRDefault="00EB1EFD" w:rsidP="00EB1EFD">
      <w:pPr>
        <w:jc w:val="center"/>
        <w:rPr>
          <w:b/>
          <w:bCs/>
          <w:sz w:val="28"/>
          <w:szCs w:val="28"/>
          <w:lang w:val="uk-UA"/>
        </w:rPr>
      </w:pPr>
      <w:r w:rsidRPr="009D22DB">
        <w:rPr>
          <w:b/>
          <w:bCs/>
          <w:sz w:val="28"/>
          <w:szCs w:val="28"/>
          <w:lang w:val="uk-UA"/>
        </w:rPr>
        <w:t>постанови Кабінету Міністрів України від 19 липня 2017 року № 536</w:t>
      </w:r>
    </w:p>
    <w:p w:rsidR="00EB1EFD" w:rsidRPr="009D22DB" w:rsidRDefault="00EB1EFD" w:rsidP="00EB1EFD">
      <w:pPr>
        <w:jc w:val="center"/>
        <w:rPr>
          <w:b/>
          <w:bCs/>
          <w:sz w:val="28"/>
          <w:szCs w:val="28"/>
          <w:lang w:val="uk-UA"/>
        </w:rPr>
      </w:pPr>
      <w:r w:rsidRPr="009D22DB">
        <w:rPr>
          <w:b/>
          <w:bCs/>
          <w:sz w:val="28"/>
          <w:szCs w:val="28"/>
          <w:lang w:val="uk-UA"/>
        </w:rPr>
        <w:t>„Про внесення змін до Порядку електронного адміністрування податку на додану вартість та визнання такою, що втратила чинність, постанови Кабінету Міністрів України від 25 січня 2012 р. № 73”</w:t>
      </w:r>
    </w:p>
    <w:p w:rsidR="00EB1EFD" w:rsidRPr="009D22DB" w:rsidRDefault="00EB1EFD" w:rsidP="00EB1EFD">
      <w:pPr>
        <w:jc w:val="center"/>
        <w:rPr>
          <w:b/>
          <w:bCs/>
          <w:sz w:val="28"/>
          <w:szCs w:val="28"/>
          <w:lang w:val="uk-UA"/>
        </w:rPr>
      </w:pPr>
    </w:p>
    <w:p w:rsidR="00EB1EFD" w:rsidRPr="009D22DB" w:rsidRDefault="00EB1EFD" w:rsidP="00EB1EFD">
      <w:pPr>
        <w:spacing w:before="120"/>
        <w:ind w:left="720"/>
        <w:jc w:val="center"/>
        <w:rPr>
          <w:b/>
          <w:bCs/>
          <w:sz w:val="28"/>
          <w:szCs w:val="28"/>
          <w:lang w:val="uk-UA"/>
        </w:rPr>
      </w:pPr>
      <w:r w:rsidRPr="009D22DB">
        <w:rPr>
          <w:b/>
          <w:bCs/>
          <w:sz w:val="28"/>
          <w:szCs w:val="28"/>
          <w:lang w:val="uk-UA"/>
        </w:rPr>
        <w:t xml:space="preserve">1. Вид та назва регуляторного </w:t>
      </w:r>
      <w:proofErr w:type="spellStart"/>
      <w:r w:rsidRPr="009D22DB">
        <w:rPr>
          <w:b/>
          <w:bCs/>
          <w:sz w:val="28"/>
          <w:szCs w:val="28"/>
          <w:lang w:val="uk-UA"/>
        </w:rPr>
        <w:t>акта</w:t>
      </w:r>
      <w:proofErr w:type="spellEnd"/>
    </w:p>
    <w:p w:rsidR="00EB1EFD" w:rsidRPr="009D22DB" w:rsidRDefault="00EB1EFD" w:rsidP="00EB1EFD">
      <w:pPr>
        <w:spacing w:before="120"/>
        <w:ind w:firstLine="567"/>
        <w:jc w:val="both"/>
        <w:rPr>
          <w:bCs/>
          <w:sz w:val="28"/>
          <w:szCs w:val="28"/>
          <w:lang w:val="uk-UA"/>
        </w:rPr>
      </w:pPr>
      <w:r w:rsidRPr="009D22DB">
        <w:rPr>
          <w:bCs/>
          <w:sz w:val="28"/>
          <w:szCs w:val="28"/>
          <w:lang w:val="uk-UA"/>
        </w:rPr>
        <w:t>Постанова Кабінету Міністрів України від 19 липня 2017 року № 536 „Про внесення змін до Порядку електронного адміністрування податку на додану вартість та визнання такою, що втратила чинність, постанови Кабінету Міністрів України від 25 січня 2012 р. № 73” (далі – постанова № 536).</w:t>
      </w:r>
    </w:p>
    <w:p w:rsidR="00EB1EFD" w:rsidRPr="009D22DB" w:rsidRDefault="00EB1EFD" w:rsidP="00EB1EFD">
      <w:pPr>
        <w:spacing w:before="120"/>
        <w:ind w:left="720"/>
        <w:jc w:val="center"/>
        <w:rPr>
          <w:b/>
          <w:bCs/>
          <w:sz w:val="28"/>
          <w:szCs w:val="28"/>
          <w:lang w:val="uk-UA"/>
        </w:rPr>
      </w:pPr>
      <w:r w:rsidRPr="009D22DB">
        <w:rPr>
          <w:b/>
          <w:bCs/>
          <w:sz w:val="28"/>
          <w:szCs w:val="28"/>
          <w:lang w:val="uk-UA"/>
        </w:rPr>
        <w:t xml:space="preserve">2. Назва виконавця заходів з повторного відстеження результативності регуляторного </w:t>
      </w:r>
      <w:proofErr w:type="spellStart"/>
      <w:r w:rsidRPr="009D22DB">
        <w:rPr>
          <w:b/>
          <w:bCs/>
          <w:sz w:val="28"/>
          <w:szCs w:val="28"/>
          <w:lang w:val="uk-UA"/>
        </w:rPr>
        <w:t>акта</w:t>
      </w:r>
      <w:proofErr w:type="spellEnd"/>
    </w:p>
    <w:p w:rsidR="00EB1EFD" w:rsidRPr="009D22DB" w:rsidRDefault="00EB1EFD" w:rsidP="00EB1EFD">
      <w:pPr>
        <w:spacing w:before="120"/>
        <w:ind w:firstLine="567"/>
        <w:jc w:val="both"/>
        <w:rPr>
          <w:bCs/>
          <w:sz w:val="28"/>
          <w:szCs w:val="28"/>
          <w:lang w:val="uk-UA"/>
        </w:rPr>
      </w:pPr>
      <w:r w:rsidRPr="009D22DB">
        <w:rPr>
          <w:bCs/>
          <w:sz w:val="28"/>
          <w:szCs w:val="28"/>
          <w:lang w:val="uk-UA"/>
        </w:rPr>
        <w:t>Міністерство фінансів України.</w:t>
      </w:r>
    </w:p>
    <w:p w:rsidR="00EB1EFD" w:rsidRPr="009D22DB" w:rsidRDefault="00EB1EFD" w:rsidP="00EB1EFD">
      <w:pPr>
        <w:spacing w:before="120"/>
        <w:ind w:left="720"/>
        <w:jc w:val="center"/>
        <w:rPr>
          <w:b/>
          <w:bCs/>
          <w:sz w:val="28"/>
          <w:szCs w:val="28"/>
          <w:lang w:val="uk-UA"/>
        </w:rPr>
      </w:pPr>
      <w:r w:rsidRPr="009D22DB">
        <w:rPr>
          <w:b/>
          <w:bCs/>
          <w:sz w:val="28"/>
          <w:szCs w:val="28"/>
          <w:lang w:val="uk-UA"/>
        </w:rPr>
        <w:t xml:space="preserve">3. Цілі прийняття </w:t>
      </w:r>
      <w:proofErr w:type="spellStart"/>
      <w:r w:rsidRPr="009D22DB">
        <w:rPr>
          <w:b/>
          <w:bCs/>
          <w:sz w:val="28"/>
          <w:szCs w:val="28"/>
          <w:lang w:val="uk-UA"/>
        </w:rPr>
        <w:t>акта</w:t>
      </w:r>
      <w:proofErr w:type="spellEnd"/>
    </w:p>
    <w:p w:rsidR="00EB1EFD" w:rsidRPr="009D22DB" w:rsidRDefault="00EB1EFD" w:rsidP="00EB1EFD">
      <w:pPr>
        <w:spacing w:before="120"/>
        <w:ind w:firstLine="567"/>
        <w:jc w:val="both"/>
        <w:rPr>
          <w:sz w:val="28"/>
          <w:szCs w:val="28"/>
          <w:lang w:val="uk-UA"/>
        </w:rPr>
      </w:pPr>
      <w:r w:rsidRPr="009D22DB">
        <w:rPr>
          <w:sz w:val="28"/>
          <w:szCs w:val="28"/>
          <w:lang w:val="uk-UA" w:eastAsia="uk-UA"/>
        </w:rPr>
        <w:t>Постанову № 536 розроблено відповідно до вимог Податкового кодексу України (далі – Кодекс) з урахуванням змін, внесених законами</w:t>
      </w:r>
      <w:r w:rsidRPr="009D22DB">
        <w:rPr>
          <w:sz w:val="28"/>
          <w:szCs w:val="28"/>
          <w:lang w:val="uk-UA"/>
        </w:rPr>
        <w:t xml:space="preserve"> України</w:t>
      </w:r>
      <w:r w:rsidRPr="009D22DB">
        <w:rPr>
          <w:sz w:val="28"/>
          <w:szCs w:val="28"/>
          <w:lang w:val="uk-UA" w:eastAsia="uk-UA"/>
        </w:rPr>
        <w:t xml:space="preserve"> від            24 грудня 2015 року № 909-VII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r w:rsidRPr="009D22DB">
        <w:rPr>
          <w:sz w:val="28"/>
          <w:szCs w:val="28"/>
          <w:lang w:val="uk-UA"/>
        </w:rPr>
        <w:t xml:space="preserve">, </w:t>
      </w:r>
      <w:r w:rsidRPr="009D22DB">
        <w:rPr>
          <w:bCs/>
          <w:sz w:val="28"/>
          <w:szCs w:val="28"/>
          <w:lang w:val="uk-UA"/>
        </w:rPr>
        <w:t>від 20 грудня 2016 року № 1791-VIІI „</w:t>
      </w:r>
      <w:r w:rsidRPr="009D22DB">
        <w:rPr>
          <w:sz w:val="28"/>
          <w:szCs w:val="28"/>
          <w:lang w:val="uk-UA"/>
        </w:rPr>
        <w:t>Про внесення змін до Податкового кодексу України щодо забезпечення збалансованості бюджетних надходжень у 2017 році</w:t>
      </w:r>
      <w:r w:rsidRPr="009D22DB">
        <w:rPr>
          <w:bCs/>
          <w:sz w:val="28"/>
          <w:szCs w:val="28"/>
          <w:lang w:val="uk-UA"/>
        </w:rPr>
        <w:t>” та від             21 грудня 2016 року № 1797-VIІI</w:t>
      </w:r>
      <w:r w:rsidRPr="009D22DB">
        <w:rPr>
          <w:bCs/>
          <w:i/>
          <w:sz w:val="28"/>
          <w:szCs w:val="28"/>
          <w:lang w:val="uk-UA"/>
        </w:rPr>
        <w:t xml:space="preserve"> </w:t>
      </w:r>
      <w:r w:rsidRPr="009D22DB">
        <w:rPr>
          <w:bCs/>
          <w:sz w:val="28"/>
          <w:szCs w:val="28"/>
          <w:lang w:val="uk-UA"/>
        </w:rPr>
        <w:t>„</w:t>
      </w:r>
      <w:r w:rsidRPr="009D22DB">
        <w:rPr>
          <w:sz w:val="28"/>
          <w:szCs w:val="28"/>
          <w:lang w:val="uk-UA"/>
        </w:rPr>
        <w:t>Про внесення змін до Податкового кодексу України (щодо покращення інвестиційного клімату України)</w:t>
      </w:r>
      <w:r w:rsidRPr="009D22DB">
        <w:rPr>
          <w:bCs/>
          <w:sz w:val="28"/>
          <w:szCs w:val="28"/>
          <w:lang w:val="uk-UA"/>
        </w:rPr>
        <w:t>” (далі –             Закон № 1797).</w:t>
      </w:r>
    </w:p>
    <w:p w:rsidR="00EB1EFD" w:rsidRPr="009D22DB" w:rsidRDefault="00EB1EFD" w:rsidP="00EB1EFD">
      <w:pPr>
        <w:ind w:firstLine="539"/>
        <w:jc w:val="both"/>
        <w:rPr>
          <w:bCs/>
          <w:sz w:val="28"/>
          <w:szCs w:val="28"/>
          <w:lang w:val="uk-UA"/>
        </w:rPr>
      </w:pPr>
      <w:r w:rsidRPr="009D22DB">
        <w:rPr>
          <w:sz w:val="28"/>
          <w:szCs w:val="28"/>
          <w:lang w:val="uk-UA"/>
        </w:rPr>
        <w:t xml:space="preserve">Законом № </w:t>
      </w:r>
      <w:r w:rsidRPr="009D22DB">
        <w:rPr>
          <w:bCs/>
          <w:sz w:val="28"/>
          <w:szCs w:val="28"/>
          <w:lang w:val="uk-UA"/>
        </w:rPr>
        <w:t xml:space="preserve">1797 удосконалено податкове законодавство, зокрема </w:t>
      </w:r>
      <w:proofErr w:type="spellStart"/>
      <w:r w:rsidRPr="009D22DB">
        <w:rPr>
          <w:bCs/>
          <w:sz w:val="28"/>
          <w:szCs w:val="28"/>
          <w:lang w:val="uk-UA"/>
        </w:rPr>
        <w:t>внесено</w:t>
      </w:r>
      <w:proofErr w:type="spellEnd"/>
      <w:r w:rsidRPr="009D22DB">
        <w:rPr>
          <w:bCs/>
          <w:sz w:val="28"/>
          <w:szCs w:val="28"/>
          <w:lang w:val="uk-UA"/>
        </w:rPr>
        <w:t xml:space="preserve"> зміни до Кодексу в частині оподаткування податком на додану вартість (далі – ПДВ), а саме:</w:t>
      </w:r>
    </w:p>
    <w:p w:rsidR="00EB1EFD" w:rsidRPr="009D22DB" w:rsidRDefault="00EB1EFD" w:rsidP="00EB1EFD">
      <w:pPr>
        <w:ind w:firstLine="539"/>
        <w:jc w:val="both"/>
        <w:rPr>
          <w:sz w:val="28"/>
          <w:szCs w:val="28"/>
          <w:lang w:val="uk-UA"/>
        </w:rPr>
      </w:pPr>
      <w:r w:rsidRPr="009D22DB">
        <w:rPr>
          <w:sz w:val="28"/>
          <w:szCs w:val="28"/>
          <w:lang w:val="uk-UA"/>
        </w:rPr>
        <w:t>урегульовано питання повернення з бюджету зайво зарахованих коштів на електронний рахунок;</w:t>
      </w:r>
    </w:p>
    <w:p w:rsidR="00EB1EFD" w:rsidRPr="009D22DB" w:rsidRDefault="00EB1EFD" w:rsidP="00EB1EFD">
      <w:pPr>
        <w:ind w:firstLine="539"/>
        <w:jc w:val="both"/>
        <w:rPr>
          <w:bCs/>
          <w:sz w:val="28"/>
          <w:szCs w:val="28"/>
          <w:lang w:val="uk-UA"/>
        </w:rPr>
      </w:pPr>
      <w:r w:rsidRPr="009D22DB">
        <w:rPr>
          <w:bCs/>
          <w:sz w:val="28"/>
          <w:szCs w:val="28"/>
          <w:lang w:val="uk-UA"/>
        </w:rPr>
        <w:t>надано право</w:t>
      </w:r>
      <w:r w:rsidRPr="009D22DB">
        <w:rPr>
          <w:sz w:val="28"/>
          <w:szCs w:val="28"/>
          <w:lang w:val="uk-UA"/>
        </w:rPr>
        <w:t xml:space="preserve"> платникам ПДВ</w:t>
      </w:r>
      <w:r w:rsidRPr="009D22DB">
        <w:rPr>
          <w:bCs/>
          <w:sz w:val="28"/>
          <w:szCs w:val="28"/>
          <w:lang w:val="uk-UA"/>
        </w:rPr>
        <w:t xml:space="preserve"> реєструвати </w:t>
      </w:r>
      <w:r w:rsidRPr="009D22DB">
        <w:rPr>
          <w:sz w:val="28"/>
          <w:szCs w:val="28"/>
          <w:lang w:val="uk-UA"/>
        </w:rPr>
        <w:t>податкові накладні/розрахунки коригування в Єдиному реєстрі податкових накладних (далі – ЄРПН) на суму показника ∑</w:t>
      </w:r>
      <w:r w:rsidRPr="009D22DB">
        <w:rPr>
          <w:sz w:val="28"/>
          <w:szCs w:val="28"/>
          <w:vertAlign w:val="subscript"/>
          <w:lang w:val="uk-UA"/>
        </w:rPr>
        <w:t>Перевищ</w:t>
      </w:r>
      <w:r w:rsidRPr="009D22DB">
        <w:rPr>
          <w:sz w:val="28"/>
          <w:szCs w:val="28"/>
          <w:lang w:val="uk-UA"/>
        </w:rPr>
        <w:t>, зменшеного на суму податкових зобов’язань та збільшеного на значення показника ∑</w:t>
      </w:r>
      <w:proofErr w:type="spellStart"/>
      <w:r w:rsidRPr="009D22DB">
        <w:rPr>
          <w:sz w:val="28"/>
          <w:szCs w:val="28"/>
          <w:vertAlign w:val="subscript"/>
          <w:lang w:val="uk-UA"/>
        </w:rPr>
        <w:t>ПопРах</w:t>
      </w:r>
      <w:proofErr w:type="spellEnd"/>
      <w:r w:rsidRPr="009D22DB">
        <w:rPr>
          <w:sz w:val="28"/>
          <w:szCs w:val="28"/>
          <w:lang w:val="uk-UA"/>
        </w:rPr>
        <w:t>;</w:t>
      </w:r>
    </w:p>
    <w:p w:rsidR="00EB1EFD" w:rsidRPr="009D22DB" w:rsidRDefault="00EB1EFD" w:rsidP="00EB1EFD">
      <w:pPr>
        <w:ind w:firstLine="539"/>
        <w:jc w:val="both"/>
        <w:rPr>
          <w:bCs/>
          <w:sz w:val="28"/>
          <w:szCs w:val="28"/>
          <w:lang w:val="uk-UA"/>
        </w:rPr>
      </w:pPr>
      <w:r w:rsidRPr="009D22DB">
        <w:rPr>
          <w:sz w:val="28"/>
          <w:szCs w:val="28"/>
          <w:lang w:val="uk-UA"/>
        </w:rPr>
        <w:t>передбачено сплату до бюджету податкових зобов’язань за уточнюючими розрахунками до податкових декларацій з ПДВ через електронні рахунки тощо.</w:t>
      </w:r>
    </w:p>
    <w:p w:rsidR="00EB1EFD" w:rsidRPr="009D22DB" w:rsidRDefault="00EB1EFD" w:rsidP="00EB1EFD">
      <w:pPr>
        <w:ind w:firstLine="567"/>
        <w:jc w:val="both"/>
        <w:rPr>
          <w:sz w:val="28"/>
          <w:szCs w:val="28"/>
          <w:lang w:val="uk-UA"/>
        </w:rPr>
      </w:pPr>
      <w:r w:rsidRPr="009D22DB">
        <w:rPr>
          <w:sz w:val="28"/>
          <w:szCs w:val="28"/>
          <w:lang w:val="uk-UA"/>
        </w:rPr>
        <w:t>Враховуючи зазначене, виникла необхідність внесення змін до чинного Порядку електронного адміністрування податку на додану вартість, затвердженого постановою Кабінету Міністрів України від 16 жовтня 2014 року  № 569 (зі змінами).</w:t>
      </w:r>
    </w:p>
    <w:p w:rsidR="00EB1EFD" w:rsidRPr="009D22DB" w:rsidRDefault="00EB1EFD" w:rsidP="00EB1EFD">
      <w:pPr>
        <w:spacing w:before="120"/>
        <w:jc w:val="center"/>
        <w:rPr>
          <w:b/>
          <w:bCs/>
          <w:sz w:val="28"/>
          <w:szCs w:val="28"/>
          <w:lang w:val="uk-UA"/>
        </w:rPr>
      </w:pPr>
      <w:r w:rsidRPr="009D22DB">
        <w:rPr>
          <w:b/>
          <w:bCs/>
          <w:sz w:val="28"/>
          <w:szCs w:val="28"/>
          <w:lang w:val="uk-UA"/>
        </w:rPr>
        <w:lastRenderedPageBreak/>
        <w:t xml:space="preserve">4. Строк виконання заходів з повторного відстеження результативності регуляторного </w:t>
      </w:r>
      <w:proofErr w:type="spellStart"/>
      <w:r w:rsidRPr="009D22DB">
        <w:rPr>
          <w:b/>
          <w:bCs/>
          <w:sz w:val="28"/>
          <w:szCs w:val="28"/>
          <w:lang w:val="uk-UA"/>
        </w:rPr>
        <w:t>акта</w:t>
      </w:r>
      <w:proofErr w:type="spellEnd"/>
    </w:p>
    <w:p w:rsidR="00EB1EFD" w:rsidRPr="009D22DB" w:rsidRDefault="00EB1EFD" w:rsidP="00EB1EFD">
      <w:pPr>
        <w:spacing w:before="120"/>
        <w:ind w:firstLine="567"/>
        <w:rPr>
          <w:bCs/>
          <w:sz w:val="28"/>
          <w:szCs w:val="28"/>
          <w:lang w:val="uk-UA"/>
        </w:rPr>
      </w:pPr>
      <w:r w:rsidRPr="009D22DB">
        <w:rPr>
          <w:bCs/>
          <w:sz w:val="28"/>
          <w:szCs w:val="28"/>
          <w:lang w:val="uk-UA"/>
        </w:rPr>
        <w:t xml:space="preserve">Заходи з повторного відстеження проводилися протягом квітня </w:t>
      </w:r>
      <w:r w:rsidRPr="009D22DB">
        <w:rPr>
          <w:sz w:val="28"/>
          <w:szCs w:val="28"/>
          <w:lang w:val="uk-UA"/>
        </w:rPr>
        <w:t>–</w:t>
      </w:r>
      <w:r w:rsidRPr="009D22DB">
        <w:rPr>
          <w:bCs/>
          <w:sz w:val="28"/>
          <w:szCs w:val="28"/>
          <w:lang w:val="uk-UA"/>
        </w:rPr>
        <w:t xml:space="preserve"> травня 2019 року.</w:t>
      </w:r>
    </w:p>
    <w:p w:rsidR="00EB1EFD" w:rsidRPr="009D22DB" w:rsidRDefault="00EB1EFD" w:rsidP="00EB1EFD">
      <w:pPr>
        <w:spacing w:before="120"/>
        <w:jc w:val="center"/>
        <w:rPr>
          <w:b/>
          <w:bCs/>
          <w:sz w:val="28"/>
          <w:szCs w:val="28"/>
          <w:lang w:val="uk-UA"/>
        </w:rPr>
      </w:pPr>
      <w:r w:rsidRPr="009D22DB">
        <w:rPr>
          <w:b/>
          <w:bCs/>
          <w:sz w:val="28"/>
          <w:szCs w:val="28"/>
          <w:lang w:val="uk-UA"/>
        </w:rPr>
        <w:t>5. Тип відстеження</w:t>
      </w:r>
    </w:p>
    <w:p w:rsidR="00EB1EFD" w:rsidRPr="009D22DB" w:rsidRDefault="00EB1EFD" w:rsidP="00EB1EFD">
      <w:pPr>
        <w:spacing w:before="120"/>
        <w:ind w:firstLine="567"/>
        <w:rPr>
          <w:bCs/>
          <w:sz w:val="28"/>
          <w:szCs w:val="28"/>
          <w:lang w:val="uk-UA"/>
        </w:rPr>
      </w:pPr>
      <w:r w:rsidRPr="009D22DB">
        <w:rPr>
          <w:bCs/>
          <w:sz w:val="28"/>
          <w:szCs w:val="28"/>
          <w:lang w:val="uk-UA"/>
        </w:rPr>
        <w:t>Повторне відстеження.</w:t>
      </w:r>
    </w:p>
    <w:p w:rsidR="00EB1EFD" w:rsidRPr="009D22DB" w:rsidRDefault="00EB1EFD" w:rsidP="00EB1EFD">
      <w:pPr>
        <w:spacing w:before="120"/>
        <w:jc w:val="center"/>
        <w:rPr>
          <w:b/>
          <w:bCs/>
          <w:sz w:val="28"/>
          <w:szCs w:val="28"/>
          <w:lang w:val="uk-UA"/>
        </w:rPr>
      </w:pPr>
      <w:r w:rsidRPr="009D22DB">
        <w:rPr>
          <w:b/>
          <w:bCs/>
          <w:sz w:val="28"/>
          <w:szCs w:val="28"/>
          <w:lang w:val="uk-UA"/>
        </w:rPr>
        <w:t xml:space="preserve">6. Методи одержання результатів відстеження </w:t>
      </w:r>
    </w:p>
    <w:p w:rsidR="00EB1EFD" w:rsidRPr="009D22DB" w:rsidRDefault="00EB1EFD" w:rsidP="00EB1EFD">
      <w:pPr>
        <w:spacing w:before="120"/>
        <w:ind w:firstLine="567"/>
        <w:jc w:val="both"/>
        <w:rPr>
          <w:bCs/>
          <w:sz w:val="28"/>
          <w:szCs w:val="28"/>
          <w:lang w:val="uk-UA"/>
        </w:rPr>
      </w:pPr>
      <w:r w:rsidRPr="009D22DB">
        <w:rPr>
          <w:bCs/>
          <w:sz w:val="28"/>
          <w:szCs w:val="28"/>
          <w:lang w:val="uk-UA"/>
        </w:rPr>
        <w:t>Для проведення повторного відстеження результативності постанови                  № 536 використовувався статистичний метод одержання результатів відстеження.</w:t>
      </w:r>
    </w:p>
    <w:p w:rsidR="00EB1EFD" w:rsidRPr="009D22DB" w:rsidRDefault="00EB1EFD" w:rsidP="00EB1EFD">
      <w:pPr>
        <w:spacing w:before="120"/>
        <w:jc w:val="center"/>
        <w:rPr>
          <w:b/>
          <w:bCs/>
          <w:sz w:val="28"/>
          <w:szCs w:val="28"/>
          <w:lang w:val="uk-UA"/>
        </w:rPr>
      </w:pPr>
      <w:r w:rsidRPr="009D22DB">
        <w:rPr>
          <w:b/>
          <w:bCs/>
          <w:sz w:val="28"/>
          <w:szCs w:val="28"/>
          <w:lang w:val="uk-UA"/>
        </w:rPr>
        <w:t xml:space="preserve">7. Дані та припущення, на основі яких проводилось </w:t>
      </w:r>
      <w:r w:rsidRPr="009D22DB">
        <w:rPr>
          <w:b/>
          <w:sz w:val="28"/>
          <w:szCs w:val="28"/>
          <w:lang w:val="uk-UA"/>
        </w:rPr>
        <w:t xml:space="preserve">повторне </w:t>
      </w:r>
      <w:r w:rsidRPr="009D22DB">
        <w:rPr>
          <w:b/>
          <w:bCs/>
          <w:sz w:val="28"/>
          <w:szCs w:val="28"/>
          <w:lang w:val="uk-UA"/>
        </w:rPr>
        <w:t xml:space="preserve">відстеження результативності регуляторного </w:t>
      </w:r>
      <w:proofErr w:type="spellStart"/>
      <w:r w:rsidRPr="009D22DB">
        <w:rPr>
          <w:b/>
          <w:bCs/>
          <w:sz w:val="28"/>
          <w:szCs w:val="28"/>
          <w:lang w:val="uk-UA"/>
        </w:rPr>
        <w:t>акта</w:t>
      </w:r>
      <w:proofErr w:type="spellEnd"/>
      <w:r w:rsidRPr="009D22DB">
        <w:rPr>
          <w:b/>
          <w:bCs/>
          <w:sz w:val="28"/>
          <w:szCs w:val="28"/>
          <w:lang w:val="uk-UA"/>
        </w:rPr>
        <w:t>, та способи одержання даних</w:t>
      </w:r>
    </w:p>
    <w:p w:rsidR="00EB1EFD" w:rsidRPr="009D22DB" w:rsidRDefault="00EB1EFD" w:rsidP="00EB1EFD">
      <w:pPr>
        <w:spacing w:before="120"/>
        <w:ind w:firstLine="567"/>
        <w:jc w:val="both"/>
        <w:rPr>
          <w:sz w:val="28"/>
          <w:szCs w:val="28"/>
          <w:lang w:val="uk-UA"/>
        </w:rPr>
      </w:pPr>
      <w:r w:rsidRPr="009D22DB">
        <w:rPr>
          <w:bCs/>
          <w:sz w:val="28"/>
          <w:szCs w:val="28"/>
          <w:lang w:val="uk-UA"/>
        </w:rPr>
        <w:t xml:space="preserve">Збір статистичних даних проводився Державною фіскальною службою України шляхом здійснення аналізу офіційних даних, отриманих з Реєстру </w:t>
      </w:r>
      <w:r w:rsidRPr="009D22DB">
        <w:rPr>
          <w:bCs/>
          <w:sz w:val="28"/>
          <w:szCs w:val="28"/>
          <w:lang w:val="uk-UA"/>
        </w:rPr>
        <w:br/>
      </w:r>
      <w:r w:rsidRPr="009D22DB">
        <w:rPr>
          <w:sz w:val="28"/>
          <w:szCs w:val="28"/>
          <w:lang w:val="uk-UA"/>
        </w:rPr>
        <w:t xml:space="preserve">платників ПДВ, Єдиного банку даних про платників податків – юридичних осіб та Реєстру </w:t>
      </w:r>
      <w:proofErr w:type="spellStart"/>
      <w:r w:rsidRPr="009D22DB">
        <w:rPr>
          <w:sz w:val="28"/>
          <w:szCs w:val="28"/>
          <w:lang w:val="uk-UA"/>
        </w:rPr>
        <w:t>самозайнятих</w:t>
      </w:r>
      <w:proofErr w:type="spellEnd"/>
      <w:r w:rsidRPr="009D22DB">
        <w:rPr>
          <w:sz w:val="28"/>
          <w:szCs w:val="28"/>
          <w:lang w:val="uk-UA"/>
        </w:rPr>
        <w:t xml:space="preserve"> осіб, ЄРПН, інших баз даних ДФС.</w:t>
      </w:r>
    </w:p>
    <w:p w:rsidR="00EB1EFD" w:rsidRPr="009D22DB" w:rsidRDefault="00EB1EFD" w:rsidP="00EB1EFD">
      <w:pPr>
        <w:spacing w:before="120"/>
        <w:jc w:val="center"/>
        <w:rPr>
          <w:b/>
          <w:bCs/>
          <w:sz w:val="28"/>
          <w:szCs w:val="28"/>
          <w:lang w:val="uk-UA"/>
        </w:rPr>
      </w:pPr>
      <w:r w:rsidRPr="009D22DB">
        <w:rPr>
          <w:b/>
          <w:bCs/>
          <w:sz w:val="28"/>
          <w:szCs w:val="28"/>
          <w:lang w:val="uk-UA"/>
        </w:rPr>
        <w:t xml:space="preserve">8. Кількісні та якісні значення показників результативності </w:t>
      </w:r>
      <w:proofErr w:type="spellStart"/>
      <w:r w:rsidRPr="009D22DB">
        <w:rPr>
          <w:b/>
          <w:bCs/>
          <w:sz w:val="28"/>
          <w:szCs w:val="28"/>
          <w:lang w:val="uk-UA"/>
        </w:rPr>
        <w:t>акта</w:t>
      </w:r>
      <w:proofErr w:type="spellEnd"/>
    </w:p>
    <w:p w:rsidR="00EB1EFD" w:rsidRPr="009D22DB" w:rsidRDefault="00EB1EFD" w:rsidP="00EB1EFD">
      <w:pPr>
        <w:ind w:firstLine="567"/>
        <w:jc w:val="both"/>
        <w:rPr>
          <w:sz w:val="28"/>
          <w:szCs w:val="28"/>
          <w:lang w:val="uk-UA"/>
        </w:rPr>
      </w:pPr>
      <w:r w:rsidRPr="009D22DB">
        <w:rPr>
          <w:sz w:val="28"/>
          <w:szCs w:val="28"/>
          <w:lang w:val="uk-UA"/>
        </w:rPr>
        <w:t>Аналіз показників проводився за результатами здійснення контролюючими органами контролю за правильністю дотримання відповідних норм Кодексу, моніторингу звернень, що надходили до ДФС, як платників податків, так і податкових органів, з питань, урегульованих цією постановою.</w:t>
      </w:r>
    </w:p>
    <w:p w:rsidR="00EB1EFD" w:rsidRPr="009D22DB" w:rsidRDefault="00EB1EFD" w:rsidP="00EB1EFD">
      <w:pPr>
        <w:ind w:firstLine="567"/>
        <w:jc w:val="both"/>
        <w:rPr>
          <w:sz w:val="28"/>
          <w:szCs w:val="28"/>
          <w:highlight w:val="yellow"/>
          <w:lang w:val="uk-UA"/>
        </w:rPr>
      </w:pPr>
    </w:p>
    <w:tbl>
      <w:tblPr>
        <w:tblpPr w:leftFromText="180" w:rightFromText="180" w:vertAnchor="text" w:tblpY="1"/>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464"/>
        <w:gridCol w:w="1464"/>
        <w:gridCol w:w="1306"/>
        <w:gridCol w:w="1345"/>
      </w:tblGrid>
      <w:tr w:rsidR="00EB1EFD" w:rsidRPr="009D22DB" w:rsidTr="00304E05">
        <w:tc>
          <w:tcPr>
            <w:tcW w:w="4275" w:type="dxa"/>
            <w:vMerge w:val="restart"/>
            <w:shd w:val="clear" w:color="auto" w:fill="auto"/>
            <w:vAlign w:val="center"/>
          </w:tcPr>
          <w:p w:rsidR="00EB1EFD" w:rsidRPr="009D22DB" w:rsidRDefault="00EB1EFD" w:rsidP="00304E05">
            <w:pPr>
              <w:jc w:val="center"/>
              <w:rPr>
                <w:b/>
                <w:bCs/>
                <w:sz w:val="20"/>
                <w:szCs w:val="22"/>
                <w:lang w:val="uk-UA"/>
              </w:rPr>
            </w:pPr>
            <w:r w:rsidRPr="009D22DB">
              <w:rPr>
                <w:b/>
                <w:sz w:val="20"/>
                <w:szCs w:val="22"/>
                <w:lang w:val="uk-UA"/>
              </w:rPr>
              <w:t>Показник результативності</w:t>
            </w:r>
          </w:p>
        </w:tc>
        <w:tc>
          <w:tcPr>
            <w:tcW w:w="5579" w:type="dxa"/>
            <w:gridSpan w:val="4"/>
          </w:tcPr>
          <w:p w:rsidR="00EB1EFD" w:rsidRPr="009D22DB" w:rsidRDefault="00EB1EFD" w:rsidP="00304E05">
            <w:pPr>
              <w:jc w:val="center"/>
              <w:rPr>
                <w:b/>
                <w:bCs/>
                <w:sz w:val="20"/>
                <w:szCs w:val="22"/>
                <w:lang w:val="uk-UA"/>
              </w:rPr>
            </w:pPr>
            <w:r w:rsidRPr="009D22DB">
              <w:rPr>
                <w:b/>
                <w:bCs/>
                <w:sz w:val="20"/>
                <w:szCs w:val="22"/>
                <w:lang w:val="uk-UA"/>
              </w:rPr>
              <w:t>Період</w:t>
            </w:r>
          </w:p>
        </w:tc>
      </w:tr>
      <w:tr w:rsidR="00EB1EFD" w:rsidRPr="009D22DB" w:rsidTr="00304E05">
        <w:trPr>
          <w:trHeight w:val="739"/>
        </w:trPr>
        <w:tc>
          <w:tcPr>
            <w:tcW w:w="4275" w:type="dxa"/>
            <w:vMerge/>
            <w:shd w:val="clear" w:color="auto" w:fill="auto"/>
            <w:vAlign w:val="center"/>
          </w:tcPr>
          <w:p w:rsidR="00EB1EFD" w:rsidRPr="009D22DB" w:rsidRDefault="00EB1EFD" w:rsidP="00304E05">
            <w:pPr>
              <w:jc w:val="center"/>
              <w:rPr>
                <w:b/>
                <w:bCs/>
                <w:sz w:val="20"/>
                <w:szCs w:val="22"/>
                <w:lang w:val="uk-UA"/>
              </w:rPr>
            </w:pPr>
          </w:p>
        </w:tc>
        <w:tc>
          <w:tcPr>
            <w:tcW w:w="1464" w:type="dxa"/>
            <w:vAlign w:val="center"/>
          </w:tcPr>
          <w:p w:rsidR="00EB1EFD" w:rsidRPr="009D22DB" w:rsidRDefault="00EB1EFD" w:rsidP="00304E05">
            <w:pPr>
              <w:jc w:val="center"/>
              <w:rPr>
                <w:bCs/>
                <w:sz w:val="20"/>
                <w:szCs w:val="22"/>
                <w:lang w:val="uk-UA"/>
              </w:rPr>
            </w:pPr>
            <w:r w:rsidRPr="009D22DB">
              <w:rPr>
                <w:b/>
                <w:bCs/>
                <w:sz w:val="20"/>
                <w:szCs w:val="22"/>
              </w:rPr>
              <w:t>201</w:t>
            </w:r>
            <w:r w:rsidRPr="009D22DB">
              <w:rPr>
                <w:b/>
                <w:bCs/>
                <w:sz w:val="20"/>
                <w:szCs w:val="22"/>
                <w:lang w:val="uk-UA"/>
              </w:rPr>
              <w:t>7 рік</w:t>
            </w:r>
          </w:p>
          <w:p w:rsidR="00EB1EFD" w:rsidRPr="009D22DB" w:rsidRDefault="00EB1EFD" w:rsidP="00304E05">
            <w:pPr>
              <w:jc w:val="center"/>
              <w:rPr>
                <w:b/>
                <w:bCs/>
                <w:sz w:val="20"/>
                <w:szCs w:val="22"/>
                <w:lang w:val="uk-UA"/>
              </w:rPr>
            </w:pPr>
            <w:r w:rsidRPr="009D22DB">
              <w:rPr>
                <w:bCs/>
                <w:sz w:val="20"/>
                <w:szCs w:val="22"/>
              </w:rPr>
              <w:t>станом на 01.01.201</w:t>
            </w:r>
            <w:r w:rsidRPr="009D22DB">
              <w:rPr>
                <w:bCs/>
                <w:sz w:val="20"/>
                <w:szCs w:val="22"/>
                <w:lang w:val="uk-UA"/>
              </w:rPr>
              <w:t>8</w:t>
            </w:r>
          </w:p>
        </w:tc>
        <w:tc>
          <w:tcPr>
            <w:tcW w:w="1464" w:type="dxa"/>
            <w:vAlign w:val="center"/>
          </w:tcPr>
          <w:p w:rsidR="00EB1EFD" w:rsidRPr="009D22DB" w:rsidRDefault="00EB1EFD" w:rsidP="00304E05">
            <w:pPr>
              <w:jc w:val="center"/>
              <w:rPr>
                <w:b/>
                <w:bCs/>
                <w:sz w:val="20"/>
                <w:szCs w:val="22"/>
                <w:lang w:val="uk-UA"/>
              </w:rPr>
            </w:pPr>
            <w:r w:rsidRPr="009D22DB">
              <w:rPr>
                <w:b/>
                <w:bCs/>
                <w:sz w:val="20"/>
                <w:szCs w:val="22"/>
              </w:rPr>
              <w:t>201</w:t>
            </w:r>
            <w:r w:rsidRPr="009D22DB">
              <w:rPr>
                <w:b/>
                <w:bCs/>
                <w:sz w:val="20"/>
                <w:szCs w:val="22"/>
                <w:lang w:val="uk-UA"/>
              </w:rPr>
              <w:t>8 рік</w:t>
            </w:r>
          </w:p>
          <w:p w:rsidR="00EB1EFD" w:rsidRPr="009D22DB" w:rsidRDefault="00EB1EFD" w:rsidP="00304E05">
            <w:pPr>
              <w:jc w:val="center"/>
              <w:rPr>
                <w:b/>
                <w:bCs/>
                <w:sz w:val="20"/>
                <w:szCs w:val="22"/>
                <w:lang w:val="uk-UA"/>
              </w:rPr>
            </w:pPr>
            <w:r w:rsidRPr="009D22DB">
              <w:rPr>
                <w:bCs/>
                <w:sz w:val="20"/>
                <w:szCs w:val="22"/>
              </w:rPr>
              <w:t>станом на 01.01.201</w:t>
            </w:r>
            <w:r w:rsidRPr="009D22DB">
              <w:rPr>
                <w:bCs/>
                <w:sz w:val="20"/>
                <w:szCs w:val="22"/>
                <w:lang w:val="uk-UA"/>
              </w:rPr>
              <w:t>9</w:t>
            </w:r>
          </w:p>
        </w:tc>
        <w:tc>
          <w:tcPr>
            <w:tcW w:w="1306" w:type="dxa"/>
            <w:shd w:val="clear" w:color="auto" w:fill="auto"/>
            <w:vAlign w:val="center"/>
          </w:tcPr>
          <w:p w:rsidR="00EB1EFD" w:rsidRPr="009D22DB" w:rsidRDefault="00EB1EFD" w:rsidP="00304E05">
            <w:pPr>
              <w:jc w:val="center"/>
              <w:rPr>
                <w:bCs/>
                <w:sz w:val="20"/>
                <w:szCs w:val="22"/>
                <w:lang w:val="uk-UA"/>
              </w:rPr>
            </w:pPr>
            <w:r w:rsidRPr="009D22DB">
              <w:rPr>
                <w:b/>
                <w:bCs/>
                <w:sz w:val="20"/>
                <w:szCs w:val="22"/>
                <w:lang w:val="uk-UA"/>
              </w:rPr>
              <w:t>2018 рік</w:t>
            </w:r>
          </w:p>
          <w:p w:rsidR="00EB1EFD" w:rsidRPr="009D22DB" w:rsidRDefault="00EB1EFD" w:rsidP="00304E05">
            <w:pPr>
              <w:jc w:val="center"/>
              <w:rPr>
                <w:b/>
                <w:bCs/>
                <w:sz w:val="20"/>
                <w:szCs w:val="22"/>
                <w:lang w:val="uk-UA"/>
              </w:rPr>
            </w:pPr>
            <w:r w:rsidRPr="009D22DB">
              <w:rPr>
                <w:bCs/>
                <w:sz w:val="20"/>
                <w:szCs w:val="22"/>
                <w:lang w:val="uk-UA"/>
              </w:rPr>
              <w:t>станом на 01.04.2018</w:t>
            </w:r>
          </w:p>
        </w:tc>
        <w:tc>
          <w:tcPr>
            <w:tcW w:w="1345" w:type="dxa"/>
            <w:shd w:val="clear" w:color="auto" w:fill="auto"/>
            <w:vAlign w:val="center"/>
          </w:tcPr>
          <w:p w:rsidR="00EB1EFD" w:rsidRPr="009D22DB" w:rsidRDefault="00EB1EFD" w:rsidP="00304E05">
            <w:pPr>
              <w:jc w:val="center"/>
              <w:rPr>
                <w:b/>
                <w:bCs/>
                <w:sz w:val="20"/>
                <w:szCs w:val="22"/>
                <w:lang w:val="uk-UA"/>
              </w:rPr>
            </w:pPr>
            <w:r w:rsidRPr="009D22DB">
              <w:rPr>
                <w:b/>
                <w:bCs/>
                <w:sz w:val="20"/>
                <w:szCs w:val="22"/>
                <w:lang w:val="uk-UA"/>
              </w:rPr>
              <w:t>2019 рік</w:t>
            </w:r>
          </w:p>
          <w:p w:rsidR="00EB1EFD" w:rsidRPr="009D22DB" w:rsidRDefault="00EB1EFD" w:rsidP="00304E05">
            <w:pPr>
              <w:jc w:val="center"/>
              <w:rPr>
                <w:b/>
                <w:bCs/>
                <w:sz w:val="20"/>
                <w:szCs w:val="22"/>
                <w:lang w:val="uk-UA"/>
              </w:rPr>
            </w:pPr>
            <w:r w:rsidRPr="009D22DB">
              <w:rPr>
                <w:bCs/>
                <w:sz w:val="20"/>
                <w:szCs w:val="22"/>
                <w:lang w:val="uk-UA"/>
              </w:rPr>
              <w:t>станом на 01.04.2019</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 xml:space="preserve">Кількість зареєстрованих платників ПДВ, у </w:t>
            </w:r>
            <w:proofErr w:type="spellStart"/>
            <w:r w:rsidRPr="009D22DB">
              <w:rPr>
                <w:sz w:val="20"/>
                <w:szCs w:val="22"/>
                <w:lang w:val="uk-UA"/>
              </w:rPr>
              <w:t>т.ч</w:t>
            </w:r>
            <w:proofErr w:type="spellEnd"/>
            <w:r w:rsidRPr="009D22DB">
              <w:rPr>
                <w:sz w:val="20"/>
                <w:szCs w:val="22"/>
                <w:lang w:val="uk-UA"/>
              </w:rPr>
              <w:t xml:space="preserve">.: </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249 352</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272 382</w:t>
            </w:r>
          </w:p>
        </w:tc>
        <w:tc>
          <w:tcPr>
            <w:tcW w:w="1306"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250 079</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276 244</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юридичних осіб</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229 966</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251 951</w:t>
            </w:r>
          </w:p>
        </w:tc>
        <w:tc>
          <w:tcPr>
            <w:tcW w:w="1306"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230 373</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255 413</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фізичних осіб - підприємців</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19 386</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20 431</w:t>
            </w:r>
          </w:p>
        </w:tc>
        <w:tc>
          <w:tcPr>
            <w:tcW w:w="1306"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19 706</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20 831</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 xml:space="preserve">Загальна сума збору ПДВ до Державного бюджету України (млн грн), в розрізі: </w:t>
            </w:r>
          </w:p>
        </w:tc>
        <w:tc>
          <w:tcPr>
            <w:tcW w:w="1464" w:type="dxa"/>
          </w:tcPr>
          <w:p w:rsidR="00EB1EFD" w:rsidRPr="009D22DB" w:rsidRDefault="00EB1EFD" w:rsidP="00304E05">
            <w:pPr>
              <w:jc w:val="center"/>
              <w:rPr>
                <w:bCs/>
                <w:sz w:val="20"/>
                <w:szCs w:val="22"/>
                <w:lang w:val="uk-UA"/>
              </w:rPr>
            </w:pPr>
            <w:r w:rsidRPr="009D22DB">
              <w:rPr>
                <w:bCs/>
                <w:sz w:val="20"/>
                <w:szCs w:val="22"/>
              </w:rPr>
              <w:t>180</w:t>
            </w:r>
            <w:r w:rsidRPr="009D22DB">
              <w:rPr>
                <w:bCs/>
                <w:sz w:val="20"/>
                <w:szCs w:val="22"/>
                <w:lang w:val="en-US"/>
              </w:rPr>
              <w:t> </w:t>
            </w:r>
            <w:r w:rsidRPr="009D22DB">
              <w:rPr>
                <w:bCs/>
                <w:sz w:val="20"/>
                <w:szCs w:val="22"/>
              </w:rPr>
              <w:t>173</w:t>
            </w:r>
            <w:r w:rsidRPr="009D22DB">
              <w:rPr>
                <w:bCs/>
                <w:sz w:val="20"/>
                <w:szCs w:val="22"/>
                <w:lang w:val="uk-UA"/>
              </w:rPr>
              <w:t>,</w:t>
            </w:r>
            <w:r w:rsidRPr="009D22DB">
              <w:rPr>
                <w:bCs/>
                <w:sz w:val="20"/>
                <w:szCs w:val="22"/>
                <w:lang w:val="en-US"/>
              </w:rPr>
              <w:t> </w:t>
            </w:r>
            <w:r w:rsidRPr="009D22DB">
              <w:rPr>
                <w:bCs/>
                <w:sz w:val="20"/>
                <w:szCs w:val="22"/>
              </w:rPr>
              <w:t>00</w:t>
            </w:r>
          </w:p>
        </w:tc>
        <w:tc>
          <w:tcPr>
            <w:tcW w:w="1464" w:type="dxa"/>
          </w:tcPr>
          <w:p w:rsidR="00EB1EFD" w:rsidRPr="009D22DB" w:rsidRDefault="00EB1EFD" w:rsidP="00304E05">
            <w:pPr>
              <w:jc w:val="center"/>
              <w:rPr>
                <w:bCs/>
                <w:sz w:val="20"/>
                <w:szCs w:val="22"/>
                <w:lang w:val="uk-UA"/>
              </w:rPr>
            </w:pPr>
            <w:r w:rsidRPr="009D22DB">
              <w:rPr>
                <w:bCs/>
                <w:sz w:val="20"/>
                <w:szCs w:val="22"/>
                <w:lang w:val="uk-UA"/>
              </w:rPr>
              <w:t>210 790, 85</w:t>
            </w:r>
          </w:p>
        </w:tc>
        <w:tc>
          <w:tcPr>
            <w:tcW w:w="1306" w:type="dxa"/>
            <w:shd w:val="clear" w:color="auto" w:fill="auto"/>
          </w:tcPr>
          <w:p w:rsidR="00EB1EFD" w:rsidRPr="009D22DB" w:rsidRDefault="00EB1EFD" w:rsidP="00304E05">
            <w:pPr>
              <w:jc w:val="center"/>
              <w:rPr>
                <w:bCs/>
                <w:sz w:val="20"/>
                <w:szCs w:val="22"/>
                <w:lang w:val="uk-UA"/>
              </w:rPr>
            </w:pPr>
            <w:r w:rsidRPr="009D22DB">
              <w:rPr>
                <w:bCs/>
                <w:sz w:val="20"/>
                <w:szCs w:val="22"/>
                <w:lang w:val="uk-UA"/>
              </w:rPr>
              <w:t>52 773,01</w:t>
            </w:r>
          </w:p>
        </w:tc>
        <w:tc>
          <w:tcPr>
            <w:tcW w:w="1345" w:type="dxa"/>
            <w:shd w:val="clear" w:color="auto" w:fill="auto"/>
          </w:tcPr>
          <w:p w:rsidR="00EB1EFD" w:rsidRPr="009D22DB" w:rsidRDefault="00EB1EFD" w:rsidP="00304E05">
            <w:pPr>
              <w:jc w:val="center"/>
              <w:rPr>
                <w:bCs/>
                <w:sz w:val="20"/>
                <w:szCs w:val="22"/>
                <w:lang w:val="uk-UA"/>
              </w:rPr>
            </w:pPr>
            <w:r w:rsidRPr="009D22DB">
              <w:rPr>
                <w:bCs/>
                <w:sz w:val="20"/>
                <w:szCs w:val="22"/>
                <w:lang w:val="uk-UA"/>
              </w:rPr>
              <w:t>61 167,89</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юридичних осіб</w:t>
            </w:r>
          </w:p>
        </w:tc>
        <w:tc>
          <w:tcPr>
            <w:tcW w:w="1464" w:type="dxa"/>
          </w:tcPr>
          <w:p w:rsidR="00EB1EFD" w:rsidRPr="009D22DB" w:rsidRDefault="00EB1EFD" w:rsidP="00304E05">
            <w:pPr>
              <w:jc w:val="center"/>
              <w:rPr>
                <w:bCs/>
                <w:sz w:val="20"/>
                <w:szCs w:val="22"/>
                <w:lang w:val="uk-UA"/>
              </w:rPr>
            </w:pPr>
            <w:r w:rsidRPr="009D22DB">
              <w:rPr>
                <w:bCs/>
                <w:sz w:val="20"/>
                <w:szCs w:val="22"/>
                <w:lang w:val="uk-UA"/>
              </w:rPr>
              <w:t>178 447,37</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208 571,67</w:t>
            </w:r>
          </w:p>
        </w:tc>
        <w:tc>
          <w:tcPr>
            <w:tcW w:w="1306" w:type="dxa"/>
            <w:shd w:val="clear" w:color="auto" w:fill="auto"/>
          </w:tcPr>
          <w:p w:rsidR="00EB1EFD" w:rsidRPr="009D22DB" w:rsidRDefault="00EB1EFD" w:rsidP="00304E05">
            <w:pPr>
              <w:jc w:val="center"/>
              <w:rPr>
                <w:bCs/>
                <w:sz w:val="20"/>
                <w:szCs w:val="22"/>
                <w:lang w:val="uk-UA"/>
              </w:rPr>
            </w:pPr>
            <w:r w:rsidRPr="009D22DB">
              <w:rPr>
                <w:bCs/>
                <w:sz w:val="20"/>
                <w:szCs w:val="22"/>
                <w:lang w:val="uk-UA"/>
              </w:rPr>
              <w:t>52 302,59</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60 604,14</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фізичних осіб - підприємців</w:t>
            </w:r>
          </w:p>
        </w:tc>
        <w:tc>
          <w:tcPr>
            <w:tcW w:w="1464" w:type="dxa"/>
          </w:tcPr>
          <w:p w:rsidR="00EB1EFD" w:rsidRPr="009D22DB" w:rsidRDefault="00EB1EFD" w:rsidP="00304E05">
            <w:pPr>
              <w:jc w:val="center"/>
              <w:rPr>
                <w:bCs/>
                <w:sz w:val="20"/>
                <w:szCs w:val="22"/>
                <w:lang w:val="uk-UA"/>
              </w:rPr>
            </w:pPr>
            <w:r w:rsidRPr="009D22DB">
              <w:rPr>
                <w:bCs/>
                <w:sz w:val="20"/>
                <w:szCs w:val="22"/>
                <w:lang w:val="uk-UA"/>
              </w:rPr>
              <w:t>1 725,63</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2 219,18</w:t>
            </w:r>
          </w:p>
        </w:tc>
        <w:tc>
          <w:tcPr>
            <w:tcW w:w="1306" w:type="dxa"/>
            <w:shd w:val="clear" w:color="auto" w:fill="auto"/>
          </w:tcPr>
          <w:p w:rsidR="00EB1EFD" w:rsidRPr="009D22DB" w:rsidRDefault="00EB1EFD" w:rsidP="00304E05">
            <w:pPr>
              <w:jc w:val="center"/>
              <w:rPr>
                <w:bCs/>
                <w:sz w:val="20"/>
                <w:szCs w:val="22"/>
                <w:lang w:val="uk-UA"/>
              </w:rPr>
            </w:pPr>
            <w:r w:rsidRPr="009D22DB">
              <w:rPr>
                <w:bCs/>
                <w:sz w:val="20"/>
                <w:szCs w:val="22"/>
                <w:lang w:val="uk-UA"/>
              </w:rPr>
              <w:t>470,42</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563,75</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Сума перерахованих на електронний рахунок суб’єктів господарювання – платників ПДВ зайво зарахованих до бюджету коштів (млн грн) у розрізі:</w:t>
            </w:r>
          </w:p>
        </w:tc>
        <w:tc>
          <w:tcPr>
            <w:tcW w:w="1464" w:type="dxa"/>
          </w:tcPr>
          <w:p w:rsidR="00EB1EFD" w:rsidRPr="009D22DB" w:rsidRDefault="00EB1EFD" w:rsidP="00304E05">
            <w:pPr>
              <w:jc w:val="center"/>
              <w:rPr>
                <w:bCs/>
                <w:sz w:val="20"/>
                <w:szCs w:val="22"/>
                <w:lang w:val="uk-UA"/>
              </w:rPr>
            </w:pPr>
            <w:r w:rsidRPr="009D22DB">
              <w:rPr>
                <w:bCs/>
                <w:sz w:val="20"/>
                <w:szCs w:val="22"/>
                <w:lang w:val="uk-UA"/>
              </w:rPr>
              <w:t>488,83</w:t>
            </w:r>
          </w:p>
        </w:tc>
        <w:tc>
          <w:tcPr>
            <w:tcW w:w="1464" w:type="dxa"/>
          </w:tcPr>
          <w:p w:rsidR="00EB1EFD" w:rsidRPr="009D22DB" w:rsidRDefault="00EB1EFD" w:rsidP="00304E05">
            <w:pPr>
              <w:jc w:val="center"/>
              <w:rPr>
                <w:bCs/>
                <w:sz w:val="20"/>
                <w:szCs w:val="22"/>
                <w:lang w:val="uk-UA"/>
              </w:rPr>
            </w:pPr>
            <w:r w:rsidRPr="009D22DB">
              <w:rPr>
                <w:bCs/>
                <w:sz w:val="20"/>
                <w:szCs w:val="22"/>
                <w:lang w:val="uk-UA"/>
              </w:rPr>
              <w:t>857,70</w:t>
            </w:r>
          </w:p>
        </w:tc>
        <w:tc>
          <w:tcPr>
            <w:tcW w:w="1306" w:type="dxa"/>
            <w:shd w:val="clear" w:color="auto" w:fill="auto"/>
          </w:tcPr>
          <w:p w:rsidR="00EB1EFD" w:rsidRPr="009D22DB" w:rsidRDefault="00EB1EFD" w:rsidP="00304E05">
            <w:pPr>
              <w:jc w:val="center"/>
              <w:rPr>
                <w:bCs/>
                <w:sz w:val="20"/>
                <w:szCs w:val="22"/>
                <w:lang w:val="uk-UA"/>
              </w:rPr>
            </w:pPr>
            <w:r w:rsidRPr="009D22DB">
              <w:rPr>
                <w:bCs/>
                <w:sz w:val="20"/>
                <w:szCs w:val="22"/>
                <w:lang w:val="uk-UA"/>
              </w:rPr>
              <w:t>188,90</w:t>
            </w:r>
          </w:p>
        </w:tc>
        <w:tc>
          <w:tcPr>
            <w:tcW w:w="1345" w:type="dxa"/>
            <w:shd w:val="clear" w:color="auto" w:fill="auto"/>
          </w:tcPr>
          <w:p w:rsidR="00EB1EFD" w:rsidRPr="009D22DB" w:rsidRDefault="00EB1EFD" w:rsidP="00304E05">
            <w:pPr>
              <w:jc w:val="center"/>
              <w:rPr>
                <w:bCs/>
                <w:sz w:val="20"/>
                <w:szCs w:val="22"/>
                <w:lang w:val="uk-UA"/>
              </w:rPr>
            </w:pPr>
            <w:r w:rsidRPr="009D22DB">
              <w:rPr>
                <w:bCs/>
                <w:sz w:val="20"/>
                <w:szCs w:val="22"/>
                <w:lang w:val="uk-UA"/>
              </w:rPr>
              <w:t>386,48</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юридичних осіб</w:t>
            </w:r>
          </w:p>
        </w:tc>
        <w:tc>
          <w:tcPr>
            <w:tcW w:w="1464" w:type="dxa"/>
          </w:tcPr>
          <w:p w:rsidR="00EB1EFD" w:rsidRPr="009D22DB" w:rsidRDefault="00EB1EFD" w:rsidP="00304E05">
            <w:pPr>
              <w:jc w:val="center"/>
              <w:rPr>
                <w:bCs/>
                <w:sz w:val="20"/>
                <w:szCs w:val="22"/>
                <w:lang w:val="uk-UA"/>
              </w:rPr>
            </w:pPr>
            <w:r w:rsidRPr="009D22DB">
              <w:rPr>
                <w:bCs/>
                <w:sz w:val="20"/>
                <w:szCs w:val="22"/>
                <w:lang w:val="uk-UA"/>
              </w:rPr>
              <w:t>486,08</w:t>
            </w:r>
          </w:p>
        </w:tc>
        <w:tc>
          <w:tcPr>
            <w:tcW w:w="1464" w:type="dxa"/>
          </w:tcPr>
          <w:p w:rsidR="00EB1EFD" w:rsidRPr="009D22DB" w:rsidRDefault="00EB1EFD" w:rsidP="00304E05">
            <w:pPr>
              <w:jc w:val="center"/>
              <w:rPr>
                <w:bCs/>
                <w:sz w:val="20"/>
                <w:szCs w:val="22"/>
                <w:lang w:val="uk-UA"/>
              </w:rPr>
            </w:pPr>
            <w:r w:rsidRPr="009D22DB">
              <w:rPr>
                <w:bCs/>
                <w:sz w:val="20"/>
                <w:szCs w:val="22"/>
                <w:lang w:val="uk-UA"/>
              </w:rPr>
              <w:t>852,35</w:t>
            </w:r>
          </w:p>
        </w:tc>
        <w:tc>
          <w:tcPr>
            <w:tcW w:w="1306" w:type="dxa"/>
            <w:shd w:val="clear" w:color="auto" w:fill="auto"/>
          </w:tcPr>
          <w:p w:rsidR="00EB1EFD" w:rsidRPr="009D22DB" w:rsidRDefault="00EB1EFD" w:rsidP="00304E05">
            <w:pPr>
              <w:jc w:val="center"/>
              <w:rPr>
                <w:bCs/>
                <w:sz w:val="20"/>
                <w:szCs w:val="22"/>
                <w:lang w:val="uk-UA"/>
              </w:rPr>
            </w:pPr>
            <w:r w:rsidRPr="009D22DB">
              <w:rPr>
                <w:bCs/>
                <w:sz w:val="20"/>
                <w:szCs w:val="22"/>
                <w:lang w:val="uk-UA"/>
              </w:rPr>
              <w:t>188,18</w:t>
            </w:r>
          </w:p>
        </w:tc>
        <w:tc>
          <w:tcPr>
            <w:tcW w:w="1345" w:type="dxa"/>
            <w:shd w:val="clear" w:color="auto" w:fill="auto"/>
          </w:tcPr>
          <w:p w:rsidR="00EB1EFD" w:rsidRPr="009D22DB" w:rsidRDefault="00EB1EFD" w:rsidP="00304E05">
            <w:pPr>
              <w:jc w:val="center"/>
              <w:rPr>
                <w:bCs/>
                <w:sz w:val="20"/>
                <w:szCs w:val="22"/>
                <w:lang w:val="uk-UA"/>
              </w:rPr>
            </w:pPr>
            <w:r w:rsidRPr="009D22DB">
              <w:rPr>
                <w:bCs/>
                <w:sz w:val="20"/>
                <w:szCs w:val="22"/>
                <w:lang w:val="uk-UA"/>
              </w:rPr>
              <w:t>384,51</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фізичних осіб - підприємців</w:t>
            </w:r>
          </w:p>
        </w:tc>
        <w:tc>
          <w:tcPr>
            <w:tcW w:w="1464" w:type="dxa"/>
          </w:tcPr>
          <w:p w:rsidR="00EB1EFD" w:rsidRPr="009D22DB" w:rsidRDefault="00EB1EFD" w:rsidP="00304E05">
            <w:pPr>
              <w:jc w:val="center"/>
              <w:rPr>
                <w:bCs/>
                <w:sz w:val="20"/>
                <w:szCs w:val="22"/>
                <w:lang w:val="uk-UA"/>
              </w:rPr>
            </w:pPr>
            <w:r w:rsidRPr="009D22DB">
              <w:rPr>
                <w:bCs/>
                <w:sz w:val="20"/>
                <w:szCs w:val="22"/>
                <w:lang w:val="uk-UA"/>
              </w:rPr>
              <w:t>2,75</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5,35</w:t>
            </w:r>
          </w:p>
        </w:tc>
        <w:tc>
          <w:tcPr>
            <w:tcW w:w="1306" w:type="dxa"/>
            <w:shd w:val="clear" w:color="auto" w:fill="auto"/>
          </w:tcPr>
          <w:p w:rsidR="00EB1EFD" w:rsidRPr="009D22DB" w:rsidRDefault="00EB1EFD" w:rsidP="00304E05">
            <w:pPr>
              <w:jc w:val="center"/>
              <w:rPr>
                <w:bCs/>
                <w:sz w:val="20"/>
                <w:szCs w:val="22"/>
                <w:lang w:val="uk-UA"/>
              </w:rPr>
            </w:pPr>
            <w:r w:rsidRPr="009D22DB">
              <w:rPr>
                <w:bCs/>
                <w:sz w:val="20"/>
                <w:szCs w:val="22"/>
                <w:lang w:val="uk-UA"/>
              </w:rPr>
              <w:t>0,72</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1,97</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Кількість податкових накладних/розрахунків коригування, зареєстрованих в ЄРПН, на суму перевищення (∑</w:t>
            </w:r>
            <w:r w:rsidRPr="009D22DB">
              <w:rPr>
                <w:sz w:val="20"/>
                <w:szCs w:val="22"/>
                <w:vertAlign w:val="subscript"/>
                <w:lang w:val="uk-UA"/>
              </w:rPr>
              <w:t>Перевищ</w:t>
            </w:r>
            <w:r w:rsidRPr="009D22DB">
              <w:rPr>
                <w:sz w:val="20"/>
                <w:szCs w:val="22"/>
                <w:lang w:val="uk-UA"/>
              </w:rPr>
              <w:t>) у Порядку, визначеному абзацом першим пункту 200</w:t>
            </w:r>
            <w:r w:rsidRPr="009D22DB">
              <w:rPr>
                <w:sz w:val="20"/>
                <w:szCs w:val="22"/>
                <w:vertAlign w:val="superscript"/>
                <w:lang w:val="uk-UA"/>
              </w:rPr>
              <w:t>1</w:t>
            </w:r>
            <w:r w:rsidRPr="009D22DB">
              <w:rPr>
                <w:sz w:val="20"/>
                <w:szCs w:val="22"/>
                <w:lang w:val="uk-UA"/>
              </w:rPr>
              <w:t>.9 статті 200</w:t>
            </w:r>
            <w:r w:rsidRPr="009D22DB">
              <w:rPr>
                <w:sz w:val="20"/>
                <w:szCs w:val="22"/>
                <w:vertAlign w:val="superscript"/>
                <w:lang w:val="uk-UA"/>
              </w:rPr>
              <w:t xml:space="preserve">1 </w:t>
            </w:r>
            <w:r w:rsidRPr="009D22DB">
              <w:rPr>
                <w:sz w:val="20"/>
                <w:szCs w:val="22"/>
                <w:lang w:val="uk-UA"/>
              </w:rPr>
              <w:t>Кодексу</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t>-</w:t>
            </w:r>
          </w:p>
        </w:tc>
        <w:tc>
          <w:tcPr>
            <w:tcW w:w="1464"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225020*</w:t>
            </w:r>
          </w:p>
        </w:tc>
        <w:tc>
          <w:tcPr>
            <w:tcW w:w="1306" w:type="dxa"/>
            <w:shd w:val="clear" w:color="auto" w:fill="auto"/>
            <w:vAlign w:val="center"/>
          </w:tcPr>
          <w:p w:rsidR="00EB1EFD" w:rsidRPr="009D22DB" w:rsidRDefault="00EB1EFD" w:rsidP="00304E05">
            <w:pPr>
              <w:jc w:val="center"/>
              <w:rPr>
                <w:bCs/>
                <w:sz w:val="20"/>
                <w:szCs w:val="22"/>
                <w:lang w:val="uk-UA"/>
              </w:rPr>
            </w:pPr>
          </w:p>
          <w:p w:rsidR="00EB1EFD" w:rsidRPr="009D22DB" w:rsidRDefault="00EB1EFD" w:rsidP="00304E05">
            <w:pPr>
              <w:jc w:val="center"/>
              <w:rPr>
                <w:bCs/>
                <w:sz w:val="20"/>
                <w:szCs w:val="22"/>
                <w:lang w:val="uk-UA"/>
              </w:rPr>
            </w:pPr>
            <w:r w:rsidRPr="009D22DB">
              <w:rPr>
                <w:bCs/>
                <w:sz w:val="20"/>
                <w:szCs w:val="22"/>
                <w:lang w:val="uk-UA"/>
              </w:rPr>
              <w:t>-</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757 527*</w:t>
            </w:r>
          </w:p>
        </w:tc>
      </w:tr>
      <w:tr w:rsidR="00EB1EFD" w:rsidRPr="009D22DB" w:rsidTr="00304E05">
        <w:tc>
          <w:tcPr>
            <w:tcW w:w="4275" w:type="dxa"/>
            <w:shd w:val="clear" w:color="auto" w:fill="auto"/>
          </w:tcPr>
          <w:p w:rsidR="00EB1EFD" w:rsidRPr="009D22DB" w:rsidRDefault="00EB1EFD" w:rsidP="00304E05">
            <w:pPr>
              <w:pStyle w:val="a3"/>
              <w:spacing w:before="0" w:beforeAutospacing="0" w:after="0" w:afterAutospacing="0"/>
              <w:jc w:val="both"/>
              <w:rPr>
                <w:sz w:val="20"/>
                <w:szCs w:val="22"/>
                <w:lang w:val="uk-UA"/>
              </w:rPr>
            </w:pPr>
            <w:r w:rsidRPr="009D22DB">
              <w:rPr>
                <w:sz w:val="20"/>
                <w:szCs w:val="22"/>
                <w:lang w:val="uk-UA"/>
              </w:rPr>
              <w:t xml:space="preserve">Сума ПДВ, зазначена в податкових накладних/розрахунках коригування, зареєстрованих в ЄРПН, на суму перевищення (∑ </w:t>
            </w:r>
            <w:r w:rsidRPr="009D22DB">
              <w:rPr>
                <w:sz w:val="20"/>
                <w:szCs w:val="22"/>
                <w:vertAlign w:val="subscript"/>
                <w:lang w:val="uk-UA"/>
              </w:rPr>
              <w:t>Перевищ</w:t>
            </w:r>
            <w:r w:rsidRPr="009D22DB">
              <w:rPr>
                <w:sz w:val="20"/>
                <w:szCs w:val="22"/>
                <w:lang w:val="uk-UA"/>
              </w:rPr>
              <w:t xml:space="preserve">) у Порядку, визначеному абзацом </w:t>
            </w:r>
            <w:r w:rsidRPr="009D22DB">
              <w:rPr>
                <w:sz w:val="20"/>
                <w:szCs w:val="22"/>
                <w:lang w:val="uk-UA"/>
              </w:rPr>
              <w:lastRenderedPageBreak/>
              <w:t>першим пункту 200</w:t>
            </w:r>
            <w:r w:rsidRPr="009D22DB">
              <w:rPr>
                <w:sz w:val="20"/>
                <w:szCs w:val="22"/>
                <w:vertAlign w:val="superscript"/>
                <w:lang w:val="uk-UA"/>
              </w:rPr>
              <w:t>1</w:t>
            </w:r>
            <w:r w:rsidRPr="009D22DB">
              <w:rPr>
                <w:sz w:val="20"/>
                <w:szCs w:val="22"/>
                <w:lang w:val="uk-UA"/>
              </w:rPr>
              <w:t>.9 статті 200</w:t>
            </w:r>
            <w:r w:rsidRPr="009D22DB">
              <w:rPr>
                <w:sz w:val="20"/>
                <w:szCs w:val="22"/>
                <w:vertAlign w:val="superscript"/>
                <w:lang w:val="uk-UA"/>
              </w:rPr>
              <w:t xml:space="preserve">1 </w:t>
            </w:r>
            <w:r w:rsidRPr="009D22DB">
              <w:rPr>
                <w:sz w:val="20"/>
                <w:szCs w:val="22"/>
                <w:lang w:val="uk-UA"/>
              </w:rPr>
              <w:t>Кодексу (млн грн)</w:t>
            </w:r>
          </w:p>
        </w:tc>
        <w:tc>
          <w:tcPr>
            <w:tcW w:w="1464" w:type="dxa"/>
            <w:vAlign w:val="center"/>
          </w:tcPr>
          <w:p w:rsidR="00EB1EFD" w:rsidRPr="009D22DB" w:rsidRDefault="00EB1EFD" w:rsidP="00304E05">
            <w:pPr>
              <w:jc w:val="center"/>
              <w:rPr>
                <w:bCs/>
                <w:sz w:val="20"/>
                <w:szCs w:val="22"/>
                <w:lang w:val="uk-UA"/>
              </w:rPr>
            </w:pPr>
            <w:r w:rsidRPr="009D22DB">
              <w:rPr>
                <w:bCs/>
                <w:sz w:val="20"/>
                <w:szCs w:val="22"/>
                <w:lang w:val="uk-UA"/>
              </w:rPr>
              <w:lastRenderedPageBreak/>
              <w:t>-</w:t>
            </w:r>
          </w:p>
        </w:tc>
        <w:tc>
          <w:tcPr>
            <w:tcW w:w="1464"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1136,34*</w:t>
            </w:r>
          </w:p>
        </w:tc>
        <w:tc>
          <w:tcPr>
            <w:tcW w:w="1306"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w:t>
            </w:r>
          </w:p>
        </w:tc>
        <w:tc>
          <w:tcPr>
            <w:tcW w:w="1345" w:type="dxa"/>
            <w:shd w:val="clear" w:color="auto" w:fill="auto"/>
            <w:vAlign w:val="center"/>
          </w:tcPr>
          <w:p w:rsidR="00EB1EFD" w:rsidRPr="009D22DB" w:rsidRDefault="00EB1EFD" w:rsidP="00304E05">
            <w:pPr>
              <w:jc w:val="center"/>
              <w:rPr>
                <w:bCs/>
                <w:sz w:val="20"/>
                <w:szCs w:val="22"/>
                <w:lang w:val="uk-UA"/>
              </w:rPr>
            </w:pPr>
            <w:r w:rsidRPr="009D22DB">
              <w:rPr>
                <w:bCs/>
                <w:sz w:val="20"/>
                <w:szCs w:val="22"/>
                <w:lang w:val="uk-UA"/>
              </w:rPr>
              <w:t>4 462,28*</w:t>
            </w:r>
          </w:p>
        </w:tc>
      </w:tr>
    </w:tbl>
    <w:p w:rsidR="00EB1EFD" w:rsidRPr="009D22DB" w:rsidRDefault="00EB1EFD" w:rsidP="00EB1EFD">
      <w:pPr>
        <w:pStyle w:val="a3"/>
        <w:spacing w:before="0" w:beforeAutospacing="0" w:after="0" w:afterAutospacing="0"/>
        <w:jc w:val="both"/>
        <w:rPr>
          <w:sz w:val="20"/>
          <w:szCs w:val="20"/>
          <w:lang w:val="uk-UA"/>
        </w:rPr>
      </w:pPr>
      <w:r w:rsidRPr="009D22DB">
        <w:rPr>
          <w:sz w:val="20"/>
          <w:szCs w:val="20"/>
          <w:lang w:val="uk-UA"/>
        </w:rPr>
        <w:t>* Дані сформовано наростаючим підсумком</w:t>
      </w:r>
    </w:p>
    <w:p w:rsidR="00EB1EFD" w:rsidRPr="009D22DB" w:rsidRDefault="00EB1EFD" w:rsidP="00EB1EFD">
      <w:pPr>
        <w:pStyle w:val="a3"/>
        <w:spacing w:before="0" w:beforeAutospacing="0" w:after="0" w:afterAutospacing="0"/>
        <w:jc w:val="both"/>
        <w:rPr>
          <w:sz w:val="16"/>
          <w:szCs w:val="16"/>
          <w:lang w:val="uk-UA"/>
        </w:rPr>
      </w:pP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За результатами аналізу даних таблиці у 2018 році до державного бюджету надійшло 210 790,85 млн грн ПДВ, що</w:t>
      </w:r>
      <w:r w:rsidRPr="009D22DB">
        <w:rPr>
          <w:bCs/>
          <w:sz w:val="20"/>
          <w:szCs w:val="22"/>
          <w:lang w:val="uk-UA"/>
        </w:rPr>
        <w:t xml:space="preserve"> </w:t>
      </w:r>
      <w:r w:rsidRPr="009D22DB">
        <w:rPr>
          <w:sz w:val="28"/>
          <w:szCs w:val="28"/>
          <w:lang w:val="uk-UA"/>
        </w:rPr>
        <w:t>на 30 617, 85 млн грн ПДВ,                                або на 17%, більше порівняно з 2017 роком, з яких 30 124,30 млн грн перераховано юридичними особами та 493,55 млн грн – фізичними особами – підприємцями.</w:t>
      </w: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Така тенденція щодо збільшення надходжень до державного бюджету прослідковується також у І кварталі 2019 року, а саме: станом на 01.04.2019 до державного бюджету надійшло 61 167,89 млн грн ПДВ, що</w:t>
      </w:r>
      <w:r w:rsidRPr="009D22DB">
        <w:rPr>
          <w:bCs/>
          <w:sz w:val="20"/>
          <w:szCs w:val="22"/>
          <w:lang w:val="uk-UA"/>
        </w:rPr>
        <w:t xml:space="preserve"> </w:t>
      </w:r>
      <w:r w:rsidRPr="009D22DB">
        <w:rPr>
          <w:sz w:val="28"/>
          <w:szCs w:val="28"/>
          <w:lang w:val="uk-UA"/>
        </w:rPr>
        <w:t>на 8 394,88 млн грн ПДВ, або на 16 %, більше порівняно з І кварталом 2018 року, з яких 8 301,55 млн грн перераховано юридичними особами та 93,33 млн грн – фізичними особами – підприємцями.</w:t>
      </w:r>
    </w:p>
    <w:p w:rsidR="00EB1EFD" w:rsidRPr="009D22DB" w:rsidRDefault="00EB1EFD" w:rsidP="00EB1EFD">
      <w:pPr>
        <w:pStyle w:val="a3"/>
        <w:spacing w:before="0" w:beforeAutospacing="0" w:after="0" w:afterAutospacing="0"/>
        <w:ind w:firstLine="567"/>
        <w:jc w:val="both"/>
        <w:rPr>
          <w:sz w:val="28"/>
          <w:szCs w:val="28"/>
        </w:rPr>
      </w:pPr>
      <w:r w:rsidRPr="009D22DB">
        <w:rPr>
          <w:sz w:val="28"/>
          <w:szCs w:val="28"/>
          <w:lang w:val="en-US"/>
        </w:rPr>
        <w:t>C</w:t>
      </w:r>
      <w:proofErr w:type="spellStart"/>
      <w:r w:rsidRPr="009D22DB">
        <w:rPr>
          <w:sz w:val="28"/>
          <w:szCs w:val="28"/>
          <w:lang w:val="uk-UA"/>
        </w:rPr>
        <w:t>таном</w:t>
      </w:r>
      <w:proofErr w:type="spellEnd"/>
      <w:r w:rsidRPr="009D22DB">
        <w:rPr>
          <w:sz w:val="28"/>
          <w:szCs w:val="28"/>
          <w:lang w:val="uk-UA"/>
        </w:rPr>
        <w:t xml:space="preserve"> на 01.01.2019 кількість зареєстрованих платників </w:t>
      </w:r>
      <w:proofErr w:type="gramStart"/>
      <w:r w:rsidRPr="009D22DB">
        <w:rPr>
          <w:sz w:val="28"/>
          <w:szCs w:val="28"/>
          <w:lang w:val="uk-UA"/>
        </w:rPr>
        <w:t>ПДВ</w:t>
      </w:r>
      <w:r w:rsidRPr="009D22DB">
        <w:rPr>
          <w:sz w:val="28"/>
          <w:szCs w:val="28"/>
        </w:rPr>
        <w:t xml:space="preserve"> </w:t>
      </w:r>
      <w:r w:rsidRPr="009D22DB">
        <w:rPr>
          <w:sz w:val="28"/>
          <w:szCs w:val="28"/>
          <w:lang w:val="uk-UA"/>
        </w:rPr>
        <w:t xml:space="preserve"> збільшилась</w:t>
      </w:r>
      <w:proofErr w:type="gramEnd"/>
      <w:r w:rsidRPr="009D22DB">
        <w:rPr>
          <w:sz w:val="28"/>
          <w:szCs w:val="28"/>
          <w:lang w:val="uk-UA"/>
        </w:rPr>
        <w:t xml:space="preserve"> порівняно з відповідним періодом минулого року (станом на 01.01.2018) на 23 030 платників, або на 9 %, з них: 21 985 – юридичні особи та 1 045 – фізичні особи – підприємці.</w:t>
      </w: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Крім того, тенденція щодо збільшення кількості зареєстрованих платників ПДВ прослідковується також у І кварталі 2019 року, а саме: станом на 01.04.2019 кількість зареєстрованих платників ПДВ збільшилась порівняно з відповідним періодом минулого року (станом на 01.04.2018) на 26 165 платників, або на 10 %, з них: 25 040 – юридичні особи та 1 125 – фізичні особи – підприємці.</w:t>
      </w: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Водночас майже у два рази збільшилася сума коштів, повернутих ДФС суб’єктам господарювання – платникам ПДВ на їхні електронні рахунки у зв’язку  із зайвим перерахуванням до державного бюджету</w:t>
      </w:r>
      <w:r w:rsidRPr="001C4C45">
        <w:rPr>
          <w:sz w:val="28"/>
          <w:szCs w:val="28"/>
          <w:lang w:val="uk-UA"/>
        </w:rPr>
        <w:t>.</w:t>
      </w:r>
      <w:r w:rsidRPr="009D22DB">
        <w:rPr>
          <w:sz w:val="28"/>
          <w:szCs w:val="28"/>
          <w:lang w:val="uk-UA"/>
        </w:rPr>
        <w:t xml:space="preserve"> Так, зокрема, за 2017 рік вказана сума становила 488,83 млн грн (з них юридичним особам –                        486,08 млн грн та фізичним особам – підприємцям – 2,75 млн грн), а в                   2018 році така сума становила 857,70 млн грн (з них юридичним особам – 852,35 млн грн, а фізичним </w:t>
      </w:r>
      <w:r>
        <w:rPr>
          <w:sz w:val="28"/>
          <w:szCs w:val="28"/>
          <w:lang w:val="uk-UA"/>
        </w:rPr>
        <w:t>о</w:t>
      </w:r>
      <w:r w:rsidRPr="009D22DB">
        <w:rPr>
          <w:sz w:val="28"/>
          <w:szCs w:val="28"/>
          <w:lang w:val="uk-UA"/>
        </w:rPr>
        <w:t>собам – підприємцям – 5,35 млн гривень).                      За І квартал 201</w:t>
      </w:r>
      <w:r w:rsidRPr="009D22DB">
        <w:rPr>
          <w:sz w:val="28"/>
          <w:szCs w:val="28"/>
        </w:rPr>
        <w:t>8</w:t>
      </w:r>
      <w:r w:rsidRPr="009D22DB">
        <w:rPr>
          <w:sz w:val="28"/>
          <w:szCs w:val="28"/>
          <w:lang w:val="uk-UA"/>
        </w:rPr>
        <w:t xml:space="preserve"> року</w:t>
      </w:r>
      <w:r w:rsidRPr="009D22DB">
        <w:rPr>
          <w:sz w:val="28"/>
          <w:szCs w:val="28"/>
        </w:rPr>
        <w:t xml:space="preserve"> (</w:t>
      </w:r>
      <w:r w:rsidRPr="009D22DB">
        <w:rPr>
          <w:sz w:val="28"/>
          <w:szCs w:val="28"/>
          <w:lang w:val="uk-UA"/>
        </w:rPr>
        <w:t>станом на 01.04.201</w:t>
      </w:r>
      <w:r w:rsidRPr="009D22DB">
        <w:rPr>
          <w:sz w:val="28"/>
          <w:szCs w:val="28"/>
        </w:rPr>
        <w:t>8)</w:t>
      </w:r>
      <w:r w:rsidRPr="009D22DB">
        <w:rPr>
          <w:sz w:val="28"/>
          <w:szCs w:val="28"/>
          <w:lang w:val="uk-UA"/>
        </w:rPr>
        <w:t xml:space="preserve"> сума коштів, повернутих ДФС суб’єктам господарювання – платникам ПДВ на їхні електронні рахунки у зв’язку  із зайвим перерахуванням до державного бюджету, становила                     188,90 млн грн (з них юридичним особам – 188,18 млн грн, а фізичним особам – підприємцям – 0,72 млн грн), а за І квартал 2019 року</w:t>
      </w:r>
      <w:r w:rsidRPr="009D22DB">
        <w:rPr>
          <w:sz w:val="28"/>
          <w:szCs w:val="28"/>
        </w:rPr>
        <w:t xml:space="preserve"> (</w:t>
      </w:r>
      <w:r w:rsidRPr="009D22DB">
        <w:rPr>
          <w:sz w:val="28"/>
          <w:szCs w:val="28"/>
          <w:lang w:val="uk-UA"/>
        </w:rPr>
        <w:t>станом на 01.04.2019</w:t>
      </w:r>
      <w:r w:rsidRPr="009D22DB">
        <w:rPr>
          <w:sz w:val="28"/>
          <w:szCs w:val="28"/>
        </w:rPr>
        <w:t>)</w:t>
      </w:r>
      <w:r w:rsidRPr="009D22DB">
        <w:rPr>
          <w:sz w:val="28"/>
          <w:szCs w:val="28"/>
          <w:lang w:val="uk-UA"/>
        </w:rPr>
        <w:t xml:space="preserve"> зазначена сума становила 386,48 млн грн (з них юридичним особам –                      384,51 млн грн, а фізичним особам – підприємцям – 1,97 млн гривень).</w:t>
      </w: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 xml:space="preserve"> Станом на 01.04.2019 платниками податку зареєстровано в ЄРПН 757 527 податкових накладних/розрахунків коригування на суму перевищення (∑</w:t>
      </w:r>
      <w:r w:rsidRPr="009D22DB">
        <w:rPr>
          <w:sz w:val="28"/>
          <w:szCs w:val="28"/>
          <w:vertAlign w:val="subscript"/>
          <w:lang w:val="uk-UA"/>
        </w:rPr>
        <w:t>Перевищ</w:t>
      </w:r>
      <w:r w:rsidRPr="009D22DB">
        <w:rPr>
          <w:sz w:val="28"/>
          <w:szCs w:val="28"/>
          <w:lang w:val="uk-UA"/>
        </w:rPr>
        <w:t>), в порядку, визначеному абзацом першим пункту 200</w:t>
      </w:r>
      <w:r w:rsidRPr="009D22DB">
        <w:rPr>
          <w:sz w:val="28"/>
          <w:szCs w:val="28"/>
          <w:vertAlign w:val="superscript"/>
          <w:lang w:val="uk-UA"/>
        </w:rPr>
        <w:t>1</w:t>
      </w:r>
      <w:r w:rsidRPr="009D22DB">
        <w:rPr>
          <w:sz w:val="28"/>
          <w:szCs w:val="28"/>
          <w:lang w:val="uk-UA"/>
        </w:rPr>
        <w:t>.9 статті 200</w:t>
      </w:r>
      <w:r w:rsidRPr="009D22DB">
        <w:rPr>
          <w:sz w:val="28"/>
          <w:szCs w:val="28"/>
          <w:vertAlign w:val="superscript"/>
          <w:lang w:val="uk-UA"/>
        </w:rPr>
        <w:t>1</w:t>
      </w:r>
      <w:r w:rsidRPr="009D22DB">
        <w:rPr>
          <w:sz w:val="28"/>
          <w:szCs w:val="28"/>
          <w:lang w:val="uk-UA"/>
        </w:rPr>
        <w:t xml:space="preserve"> Кодексу, на суму ПДВ у розмірі 4 462,28 млн грн, з них протягом                         І кварталу 2019 року – 532507 податкових накладних/розрахунків коригування на суму ПДВ 3 325,94 млн гривень.</w:t>
      </w: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 xml:space="preserve">Отже, поряд із позитивною динамікою збільшення кількості зареєстрованих платників ПДВ і сум ПДВ, сплачених платниками до державного бюджету, </w:t>
      </w:r>
      <w:r w:rsidRPr="009D22DB">
        <w:rPr>
          <w:sz w:val="28"/>
          <w:szCs w:val="28"/>
          <w:lang w:val="uk-UA"/>
        </w:rPr>
        <w:lastRenderedPageBreak/>
        <w:t>спостерігається позитивна динаміка реєстрації платниками податку податкових накладних/розрахунків коригування на суму перевищення (∑</w:t>
      </w:r>
      <w:r w:rsidRPr="009D22DB">
        <w:rPr>
          <w:sz w:val="28"/>
          <w:szCs w:val="28"/>
          <w:vertAlign w:val="subscript"/>
          <w:lang w:val="uk-UA"/>
        </w:rPr>
        <w:t>Перевищ</w:t>
      </w:r>
      <w:r w:rsidRPr="009D22DB">
        <w:rPr>
          <w:sz w:val="28"/>
          <w:szCs w:val="28"/>
          <w:lang w:val="uk-UA"/>
        </w:rPr>
        <w:t>) в порядку, визначеному абзацом першим пункту 200</w:t>
      </w:r>
      <w:r w:rsidRPr="009D22DB">
        <w:rPr>
          <w:sz w:val="28"/>
          <w:szCs w:val="28"/>
          <w:vertAlign w:val="superscript"/>
          <w:lang w:val="uk-UA"/>
        </w:rPr>
        <w:t>1</w:t>
      </w:r>
      <w:r w:rsidRPr="009D22DB">
        <w:rPr>
          <w:sz w:val="28"/>
          <w:szCs w:val="28"/>
          <w:lang w:val="uk-UA"/>
        </w:rPr>
        <w:t>.9 статті 200</w:t>
      </w:r>
      <w:r w:rsidRPr="009D22DB">
        <w:rPr>
          <w:sz w:val="28"/>
          <w:szCs w:val="28"/>
          <w:vertAlign w:val="superscript"/>
          <w:lang w:val="uk-UA"/>
        </w:rPr>
        <w:t>1</w:t>
      </w:r>
      <w:r w:rsidRPr="009D22DB">
        <w:rPr>
          <w:sz w:val="28"/>
          <w:szCs w:val="28"/>
          <w:lang w:val="uk-UA"/>
        </w:rPr>
        <w:t xml:space="preserve"> Кодексу.</w:t>
      </w:r>
    </w:p>
    <w:p w:rsidR="00EB1EFD" w:rsidRPr="009D22DB" w:rsidRDefault="00EB1EFD" w:rsidP="00EB1EFD">
      <w:pPr>
        <w:spacing w:before="120"/>
        <w:ind w:firstLine="567"/>
        <w:jc w:val="center"/>
        <w:rPr>
          <w:sz w:val="28"/>
          <w:szCs w:val="28"/>
          <w:lang w:val="uk-UA"/>
        </w:rPr>
      </w:pPr>
      <w:r w:rsidRPr="009D22DB">
        <w:rPr>
          <w:b/>
          <w:bCs/>
          <w:sz w:val="28"/>
          <w:szCs w:val="28"/>
          <w:lang w:val="uk-UA"/>
        </w:rPr>
        <w:t xml:space="preserve">9. Оцінка результатів реалізації регуляторного </w:t>
      </w:r>
      <w:proofErr w:type="spellStart"/>
      <w:r w:rsidRPr="009D22DB">
        <w:rPr>
          <w:b/>
          <w:bCs/>
          <w:sz w:val="28"/>
          <w:szCs w:val="28"/>
          <w:lang w:val="uk-UA"/>
        </w:rPr>
        <w:t>акта</w:t>
      </w:r>
      <w:proofErr w:type="spellEnd"/>
      <w:r w:rsidRPr="009D22DB">
        <w:rPr>
          <w:b/>
          <w:bCs/>
          <w:sz w:val="28"/>
          <w:szCs w:val="28"/>
          <w:lang w:val="uk-UA"/>
        </w:rPr>
        <w:t xml:space="preserve"> та ступеня досягнення визначених цілей</w:t>
      </w:r>
    </w:p>
    <w:p w:rsidR="00EB1EFD" w:rsidRPr="009D22DB" w:rsidRDefault="00EB1EFD" w:rsidP="00EB1EFD">
      <w:pPr>
        <w:ind w:firstLine="567"/>
        <w:jc w:val="both"/>
        <w:rPr>
          <w:sz w:val="6"/>
          <w:szCs w:val="6"/>
          <w:lang w:val="uk-UA"/>
        </w:rPr>
      </w:pP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Враховуючи тенденцію збільшення кількості платників ПДВ та надходжень сум ПДВ до державного бюджету, врегулювання питання реєстрації платниками податку податкових накладних/розрахунків коригування на суму показника ∑</w:t>
      </w:r>
      <w:r w:rsidRPr="009D22DB">
        <w:rPr>
          <w:sz w:val="28"/>
          <w:szCs w:val="28"/>
          <w:vertAlign w:val="subscript"/>
          <w:lang w:val="uk-UA"/>
        </w:rPr>
        <w:t>Перевищ</w:t>
      </w:r>
      <w:r w:rsidRPr="009D22DB">
        <w:rPr>
          <w:sz w:val="28"/>
          <w:szCs w:val="28"/>
          <w:lang w:val="uk-UA"/>
        </w:rPr>
        <w:t xml:space="preserve"> в порядку, визначеному абзацом першим                       пункту 200</w:t>
      </w:r>
      <w:r w:rsidRPr="009D22DB">
        <w:rPr>
          <w:sz w:val="28"/>
          <w:szCs w:val="28"/>
          <w:vertAlign w:val="superscript"/>
          <w:lang w:val="uk-UA"/>
        </w:rPr>
        <w:t>1</w:t>
      </w:r>
      <w:r w:rsidRPr="009D22DB">
        <w:rPr>
          <w:sz w:val="28"/>
          <w:szCs w:val="28"/>
          <w:lang w:val="uk-UA"/>
        </w:rPr>
        <w:t>.9 статті 200</w:t>
      </w:r>
      <w:r w:rsidRPr="009D22DB">
        <w:rPr>
          <w:sz w:val="28"/>
          <w:szCs w:val="28"/>
          <w:vertAlign w:val="superscript"/>
          <w:lang w:val="uk-UA"/>
        </w:rPr>
        <w:t>1</w:t>
      </w:r>
      <w:r w:rsidRPr="009D22DB">
        <w:rPr>
          <w:sz w:val="28"/>
          <w:szCs w:val="28"/>
          <w:lang w:val="uk-UA"/>
        </w:rPr>
        <w:t xml:space="preserve"> Кодексу, та позитивну динаміку повернення з бюджету платникам ПДВ зайво зарахованих на електронний рахунок коштів, зазначаємо, що рівень поінформованості зареєстрованих платниками ПДВ суб’єктів господарювання щодо основних положень постанови № 536 та рівень дотримання її вимог є високими.</w:t>
      </w: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На підставі результатів повторного відстеження результативності постанови № 536 можна зробити висновок про досягнення цілей, визначених нормами абзацу першого пункту 200</w:t>
      </w:r>
      <w:r w:rsidRPr="009D22DB">
        <w:rPr>
          <w:sz w:val="28"/>
          <w:szCs w:val="28"/>
          <w:vertAlign w:val="superscript"/>
          <w:lang w:val="uk-UA"/>
        </w:rPr>
        <w:t>1</w:t>
      </w:r>
      <w:r w:rsidRPr="009D22DB">
        <w:rPr>
          <w:sz w:val="28"/>
          <w:szCs w:val="28"/>
          <w:lang w:val="uk-UA"/>
        </w:rPr>
        <w:t>.9 статті 200</w:t>
      </w:r>
      <w:r w:rsidRPr="009D22DB">
        <w:rPr>
          <w:sz w:val="28"/>
          <w:szCs w:val="28"/>
          <w:vertAlign w:val="superscript"/>
          <w:lang w:val="uk-UA"/>
        </w:rPr>
        <w:t>1</w:t>
      </w:r>
      <w:r w:rsidRPr="009D22DB">
        <w:rPr>
          <w:sz w:val="28"/>
          <w:szCs w:val="28"/>
          <w:lang w:val="uk-UA"/>
        </w:rPr>
        <w:t xml:space="preserve"> Кодексу та постанови № 536, в частині врегулювання питань реєстрації платниками податку податкових накладних/розрахунків коригування на суму показника ∑</w:t>
      </w:r>
      <w:r w:rsidRPr="009D22DB">
        <w:rPr>
          <w:sz w:val="28"/>
          <w:szCs w:val="28"/>
          <w:vertAlign w:val="subscript"/>
          <w:lang w:val="uk-UA"/>
        </w:rPr>
        <w:t>Перевищ</w:t>
      </w:r>
      <w:r w:rsidRPr="009D22DB">
        <w:rPr>
          <w:sz w:val="28"/>
          <w:szCs w:val="28"/>
          <w:lang w:val="uk-UA"/>
        </w:rPr>
        <w:t xml:space="preserve"> в порядку, визначеному абзацом першим пункту 200</w:t>
      </w:r>
      <w:r w:rsidRPr="009D22DB">
        <w:rPr>
          <w:sz w:val="28"/>
          <w:szCs w:val="28"/>
          <w:vertAlign w:val="superscript"/>
          <w:lang w:val="uk-UA"/>
        </w:rPr>
        <w:t>1</w:t>
      </w:r>
      <w:r w:rsidRPr="009D22DB">
        <w:rPr>
          <w:sz w:val="28"/>
          <w:szCs w:val="28"/>
          <w:lang w:val="uk-UA"/>
        </w:rPr>
        <w:t>.9 статті 200</w:t>
      </w:r>
      <w:r w:rsidRPr="009D22DB">
        <w:rPr>
          <w:sz w:val="28"/>
          <w:szCs w:val="28"/>
          <w:vertAlign w:val="superscript"/>
          <w:lang w:val="uk-UA"/>
        </w:rPr>
        <w:t>1</w:t>
      </w:r>
      <w:r w:rsidRPr="009D22DB">
        <w:rPr>
          <w:sz w:val="28"/>
          <w:szCs w:val="28"/>
          <w:lang w:val="uk-UA"/>
        </w:rPr>
        <w:t xml:space="preserve"> Кодексу, та повернення з бюджету зайво зарахованих на електронний рахунок коштів.</w:t>
      </w:r>
    </w:p>
    <w:p w:rsidR="00EB1EFD" w:rsidRPr="009D22DB" w:rsidRDefault="00EB1EFD" w:rsidP="00EB1EFD">
      <w:pPr>
        <w:pStyle w:val="a3"/>
        <w:spacing w:before="0" w:beforeAutospacing="0" w:after="0" w:afterAutospacing="0"/>
        <w:ind w:firstLine="567"/>
        <w:jc w:val="both"/>
        <w:rPr>
          <w:sz w:val="28"/>
          <w:szCs w:val="28"/>
          <w:lang w:val="uk-UA"/>
        </w:rPr>
      </w:pPr>
      <w:r w:rsidRPr="009D22DB">
        <w:rPr>
          <w:sz w:val="28"/>
          <w:szCs w:val="28"/>
          <w:lang w:val="uk-UA"/>
        </w:rPr>
        <w:t>Зміни, внесені постановою № 536, до Порядку електронного адміністрування ПДВ забезпечують ефективну взаємодію між контролюючими органами і платниками податку в частині електронного адміністрування ПДВ.</w:t>
      </w:r>
    </w:p>
    <w:p w:rsidR="00EB1EFD" w:rsidRPr="009D22DB" w:rsidRDefault="00EB1EFD" w:rsidP="00EB1EFD">
      <w:pPr>
        <w:pStyle w:val="a3"/>
        <w:spacing w:before="0" w:beforeAutospacing="0" w:after="0" w:afterAutospacing="0"/>
        <w:ind w:firstLine="709"/>
        <w:jc w:val="both"/>
        <w:rPr>
          <w:sz w:val="28"/>
          <w:szCs w:val="28"/>
          <w:lang w:val="uk-UA"/>
        </w:rPr>
      </w:pPr>
    </w:p>
    <w:p w:rsidR="00EB1EFD" w:rsidRPr="009D22DB" w:rsidRDefault="00EB1EFD" w:rsidP="00EB1EFD">
      <w:pPr>
        <w:jc w:val="both"/>
        <w:rPr>
          <w:b/>
          <w:bCs/>
          <w:sz w:val="28"/>
          <w:szCs w:val="28"/>
          <w:lang w:val="uk-UA"/>
        </w:rPr>
      </w:pPr>
    </w:p>
    <w:p w:rsidR="00EB1EFD" w:rsidRPr="009D22DB" w:rsidRDefault="00EB1EFD" w:rsidP="00EB1EFD">
      <w:pPr>
        <w:jc w:val="both"/>
        <w:rPr>
          <w:b/>
          <w:bCs/>
          <w:sz w:val="28"/>
          <w:szCs w:val="28"/>
          <w:lang w:val="uk-UA"/>
        </w:rPr>
      </w:pPr>
      <w:r w:rsidRPr="009D22DB">
        <w:rPr>
          <w:b/>
          <w:bCs/>
          <w:sz w:val="28"/>
          <w:szCs w:val="28"/>
          <w:lang w:val="uk-UA"/>
        </w:rPr>
        <w:t>Міністр фінансів України</w:t>
      </w:r>
      <w:r w:rsidRPr="009D22DB">
        <w:rPr>
          <w:b/>
          <w:bCs/>
          <w:sz w:val="28"/>
          <w:szCs w:val="28"/>
          <w:lang w:val="uk-UA"/>
        </w:rPr>
        <w:tab/>
      </w:r>
      <w:r w:rsidRPr="009D22DB">
        <w:rPr>
          <w:b/>
          <w:bCs/>
          <w:sz w:val="28"/>
          <w:szCs w:val="28"/>
          <w:lang w:val="uk-UA"/>
        </w:rPr>
        <w:tab/>
      </w:r>
      <w:r w:rsidRPr="009D22DB">
        <w:rPr>
          <w:b/>
          <w:bCs/>
          <w:sz w:val="28"/>
          <w:szCs w:val="28"/>
          <w:lang w:val="uk-UA"/>
        </w:rPr>
        <w:tab/>
      </w:r>
      <w:r w:rsidRPr="009D22DB">
        <w:rPr>
          <w:b/>
          <w:bCs/>
          <w:sz w:val="28"/>
          <w:szCs w:val="28"/>
          <w:lang w:val="uk-UA"/>
        </w:rPr>
        <w:tab/>
      </w:r>
      <w:r w:rsidRPr="009D22DB">
        <w:rPr>
          <w:b/>
          <w:bCs/>
          <w:sz w:val="28"/>
          <w:szCs w:val="28"/>
          <w:lang w:val="uk-UA"/>
        </w:rPr>
        <w:tab/>
      </w:r>
      <w:r w:rsidRPr="009D22DB">
        <w:rPr>
          <w:b/>
          <w:bCs/>
          <w:sz w:val="28"/>
          <w:szCs w:val="28"/>
          <w:lang w:val="uk-UA"/>
        </w:rPr>
        <w:tab/>
        <w:t xml:space="preserve">     О. МАРКАРОВА</w:t>
      </w:r>
    </w:p>
    <w:p w:rsidR="00EB1EFD" w:rsidRDefault="00EB1EFD" w:rsidP="00EB1EFD">
      <w:pPr>
        <w:tabs>
          <w:tab w:val="left" w:pos="567"/>
        </w:tabs>
        <w:jc w:val="center"/>
        <w:rPr>
          <w:b/>
          <w:bCs/>
          <w:sz w:val="32"/>
          <w:szCs w:val="32"/>
          <w:lang w:val="uk-UA"/>
        </w:rPr>
      </w:pPr>
    </w:p>
    <w:p w:rsidR="00031860" w:rsidRDefault="00031860"/>
    <w:sectPr w:rsidR="00031860" w:rsidSect="0056778B">
      <w:headerReference w:type="even" r:id="rId4"/>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1EE" w:rsidRDefault="00EB1EFD" w:rsidP="0061679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B11EE" w:rsidRDefault="00EB1E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1EE" w:rsidRDefault="00EB1EFD" w:rsidP="0061679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5B11EE" w:rsidRDefault="00EB1E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FD"/>
    <w:rsid w:val="00031860"/>
    <w:rsid w:val="00EB1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92DE8-7964-45DD-9307-27748832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E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Знак,Обычный (веб) Знак Знак2 Знак Знак Знак,Обычный (веб) Знак Знак2 Знак Знак,Обычный (Web),Знак1 Знак Знак Знак Знак Знак Знак Знак, Знак1 Знак,Зна"/>
    <w:basedOn w:val="a"/>
    <w:link w:val="a4"/>
    <w:rsid w:val="00EB1EFD"/>
    <w:pPr>
      <w:spacing w:before="100" w:beforeAutospacing="1" w:after="100" w:afterAutospacing="1"/>
    </w:pPr>
  </w:style>
  <w:style w:type="paragraph" w:styleId="a5">
    <w:name w:val="header"/>
    <w:basedOn w:val="a"/>
    <w:link w:val="a6"/>
    <w:rsid w:val="00EB1EFD"/>
    <w:pPr>
      <w:tabs>
        <w:tab w:val="center" w:pos="4677"/>
        <w:tab w:val="right" w:pos="9355"/>
      </w:tabs>
    </w:pPr>
  </w:style>
  <w:style w:type="character" w:customStyle="1" w:styleId="a6">
    <w:name w:val="Верхній колонтитул Знак"/>
    <w:basedOn w:val="a0"/>
    <w:link w:val="a5"/>
    <w:rsid w:val="00EB1EFD"/>
    <w:rPr>
      <w:rFonts w:ascii="Times New Roman" w:eastAsia="Times New Roman" w:hAnsi="Times New Roman" w:cs="Times New Roman"/>
      <w:sz w:val="24"/>
      <w:szCs w:val="24"/>
      <w:lang w:val="ru-RU" w:eastAsia="ru-RU"/>
    </w:rPr>
  </w:style>
  <w:style w:type="character" w:styleId="a7">
    <w:name w:val="page number"/>
    <w:basedOn w:val="a0"/>
    <w:rsid w:val="00EB1EFD"/>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Знак Знак,Обычный (веб) Знак Знак2 Знак Знак Знак Знак,Обычный (веб) Знак Знак2 Знак Знак Знак1,Обычный (Web) Знак"/>
    <w:link w:val="a3"/>
    <w:locked/>
    <w:rsid w:val="00EB1EF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5999</Words>
  <Characters>3420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Дехтяренко Оксана Францівна</dc:creator>
  <cp:keywords/>
  <dc:description/>
  <cp:lastModifiedBy>Дехтяренко Оксана Францівна</cp:lastModifiedBy>
  <cp:revision>1</cp:revision>
  <dcterms:created xsi:type="dcterms:W3CDTF">2019-06-10T11:45:00Z</dcterms:created>
  <dcterms:modified xsi:type="dcterms:W3CDTF">2019-06-10T11:46:00Z</dcterms:modified>
</cp:coreProperties>
</file>