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63A" w:rsidRDefault="004F663A" w:rsidP="004F663A">
      <w:pPr>
        <w:jc w:val="center"/>
        <w:rPr>
          <w:b/>
          <w:sz w:val="28"/>
          <w:szCs w:val="28"/>
        </w:rPr>
      </w:pPr>
      <w:r w:rsidRPr="00FE6D44">
        <w:rPr>
          <w:b/>
          <w:sz w:val="28"/>
          <w:szCs w:val="28"/>
        </w:rPr>
        <w:t>Звіт</w:t>
      </w:r>
    </w:p>
    <w:p w:rsidR="004F663A" w:rsidRDefault="004F663A" w:rsidP="004F663A">
      <w:pPr>
        <w:jc w:val="center"/>
        <w:rPr>
          <w:b/>
          <w:sz w:val="28"/>
          <w:szCs w:val="28"/>
        </w:rPr>
      </w:pPr>
      <w:r w:rsidRPr="00A30216">
        <w:rPr>
          <w:b/>
          <w:sz w:val="28"/>
          <w:szCs w:val="28"/>
        </w:rPr>
        <w:t xml:space="preserve">про </w:t>
      </w:r>
      <w:r w:rsidR="00957EEE">
        <w:rPr>
          <w:b/>
          <w:sz w:val="28"/>
          <w:szCs w:val="28"/>
        </w:rPr>
        <w:t>періодич</w:t>
      </w:r>
      <w:r>
        <w:rPr>
          <w:b/>
          <w:sz w:val="28"/>
          <w:szCs w:val="28"/>
        </w:rPr>
        <w:t>не</w:t>
      </w:r>
      <w:r w:rsidRPr="00A30216">
        <w:rPr>
          <w:b/>
          <w:sz w:val="28"/>
          <w:szCs w:val="28"/>
        </w:rPr>
        <w:t xml:space="preserve"> відстеження результативності </w:t>
      </w:r>
    </w:p>
    <w:p w:rsidR="00270CD0" w:rsidRDefault="004F663A" w:rsidP="004F663A">
      <w:pPr>
        <w:tabs>
          <w:tab w:val="left" w:pos="5954"/>
        </w:tabs>
        <w:ind w:firstLine="540"/>
        <w:jc w:val="center"/>
        <w:rPr>
          <w:b/>
          <w:sz w:val="28"/>
          <w:szCs w:val="28"/>
        </w:rPr>
      </w:pPr>
      <w:r w:rsidRPr="00ED4523">
        <w:rPr>
          <w:b/>
          <w:color w:val="000000"/>
          <w:sz w:val="28"/>
          <w:szCs w:val="28"/>
        </w:rPr>
        <w:t>н</w:t>
      </w:r>
      <w:r w:rsidRPr="00F2038E">
        <w:rPr>
          <w:b/>
          <w:color w:val="000000"/>
          <w:sz w:val="28"/>
          <w:szCs w:val="28"/>
        </w:rPr>
        <w:t>аказ</w:t>
      </w:r>
      <w:r w:rsidRPr="00ED4523">
        <w:rPr>
          <w:b/>
          <w:color w:val="000000"/>
          <w:sz w:val="28"/>
          <w:szCs w:val="28"/>
        </w:rPr>
        <w:t xml:space="preserve">у Міністерства фінансів України </w:t>
      </w:r>
      <w:r w:rsidR="00EA6644" w:rsidRPr="00270CD0">
        <w:rPr>
          <w:b/>
          <w:sz w:val="28"/>
          <w:szCs w:val="28"/>
        </w:rPr>
        <w:t>від 18.02.2011 № 210</w:t>
      </w:r>
    </w:p>
    <w:p w:rsidR="004F663A" w:rsidRPr="00270CD0" w:rsidRDefault="00EA6644" w:rsidP="004F663A">
      <w:pPr>
        <w:tabs>
          <w:tab w:val="left" w:pos="5954"/>
        </w:tabs>
        <w:ind w:firstLine="540"/>
        <w:jc w:val="center"/>
        <w:rPr>
          <w:b/>
          <w:color w:val="000000"/>
          <w:sz w:val="28"/>
          <w:szCs w:val="28"/>
        </w:rPr>
      </w:pPr>
      <w:r w:rsidRPr="00270CD0">
        <w:rPr>
          <w:b/>
          <w:sz w:val="28"/>
          <w:szCs w:val="28"/>
        </w:rPr>
        <w:t>«Про внесення змін до деяких наказів Міністерства фінансів України»</w:t>
      </w:r>
    </w:p>
    <w:p w:rsidR="004F663A" w:rsidRPr="00F2038E" w:rsidRDefault="004F663A" w:rsidP="004F663A">
      <w:pPr>
        <w:tabs>
          <w:tab w:val="left" w:pos="5954"/>
        </w:tabs>
        <w:ind w:firstLine="540"/>
        <w:jc w:val="both"/>
        <w:rPr>
          <w:color w:val="000000"/>
          <w:sz w:val="28"/>
          <w:szCs w:val="28"/>
        </w:rPr>
      </w:pPr>
    </w:p>
    <w:p w:rsidR="004F663A" w:rsidRPr="00811800" w:rsidRDefault="004F663A" w:rsidP="004F663A">
      <w:pPr>
        <w:pStyle w:val="a3"/>
        <w:ind w:firstLine="720"/>
        <w:rPr>
          <w:bCs w:val="0"/>
          <w:i w:val="0"/>
          <w:iCs w:val="0"/>
          <w:szCs w:val="28"/>
        </w:rPr>
      </w:pPr>
      <w:r w:rsidRPr="00811800">
        <w:rPr>
          <w:bCs w:val="0"/>
          <w:i w:val="0"/>
          <w:iCs w:val="0"/>
          <w:szCs w:val="28"/>
        </w:rPr>
        <w:t>Вид та назва регуляторного акта, результативність якого відстежується</w:t>
      </w:r>
    </w:p>
    <w:p w:rsidR="004F663A" w:rsidRPr="00DD53C6" w:rsidRDefault="004F663A" w:rsidP="004F663A">
      <w:pPr>
        <w:pStyle w:val="a3"/>
        <w:ind w:firstLine="720"/>
        <w:rPr>
          <w:b w:val="0"/>
          <w:bCs w:val="0"/>
          <w:i w:val="0"/>
          <w:iCs w:val="0"/>
          <w:szCs w:val="28"/>
        </w:rPr>
      </w:pPr>
      <w:r w:rsidRPr="004C3DB4">
        <w:rPr>
          <w:b w:val="0"/>
          <w:i w:val="0"/>
          <w:color w:val="000000"/>
          <w:szCs w:val="28"/>
        </w:rPr>
        <w:t xml:space="preserve">Наказ Міністерства фінансів України </w:t>
      </w:r>
      <w:r w:rsidRPr="009E6FB5">
        <w:rPr>
          <w:b w:val="0"/>
          <w:i w:val="0"/>
          <w:color w:val="000000"/>
          <w:szCs w:val="28"/>
        </w:rPr>
        <w:t xml:space="preserve">від </w:t>
      </w:r>
      <w:r w:rsidR="00270CD0" w:rsidRPr="009E6FB5">
        <w:rPr>
          <w:b w:val="0"/>
          <w:i w:val="0"/>
          <w:color w:val="000000"/>
          <w:szCs w:val="28"/>
        </w:rPr>
        <w:t>18.02.2011</w:t>
      </w:r>
      <w:r w:rsidRPr="009E6FB5">
        <w:rPr>
          <w:b w:val="0"/>
          <w:i w:val="0"/>
          <w:color w:val="000000"/>
          <w:szCs w:val="28"/>
        </w:rPr>
        <w:t xml:space="preserve"> № </w:t>
      </w:r>
      <w:r w:rsidR="00270CD0" w:rsidRPr="009E6FB5">
        <w:rPr>
          <w:b w:val="0"/>
          <w:i w:val="0"/>
          <w:color w:val="000000"/>
          <w:szCs w:val="28"/>
        </w:rPr>
        <w:t xml:space="preserve">210 </w:t>
      </w:r>
      <w:r w:rsidRPr="009E6FB5">
        <w:rPr>
          <w:b w:val="0"/>
          <w:i w:val="0"/>
          <w:color w:val="000000"/>
          <w:szCs w:val="28"/>
        </w:rPr>
        <w:t>«</w:t>
      </w:r>
      <w:r w:rsidR="00270CD0" w:rsidRPr="009E6FB5">
        <w:rPr>
          <w:b w:val="0"/>
          <w:i w:val="0"/>
          <w:szCs w:val="28"/>
        </w:rPr>
        <w:t>Про внесення змін до деяких наказів Міністерства фінансів України</w:t>
      </w:r>
      <w:r w:rsidRPr="009E6FB5">
        <w:rPr>
          <w:b w:val="0"/>
          <w:i w:val="0"/>
          <w:color w:val="000000"/>
          <w:szCs w:val="28"/>
        </w:rPr>
        <w:t>»</w:t>
      </w:r>
      <w:r w:rsidRPr="004C3DB4">
        <w:rPr>
          <w:b w:val="0"/>
          <w:i w:val="0"/>
          <w:color w:val="000000"/>
          <w:szCs w:val="28"/>
        </w:rPr>
        <w:t xml:space="preserve">, зареєстрований у Міністерстві юстиції України </w:t>
      </w:r>
      <w:r w:rsidR="00270CD0">
        <w:rPr>
          <w:b w:val="0"/>
          <w:i w:val="0"/>
          <w:color w:val="000000"/>
          <w:szCs w:val="28"/>
        </w:rPr>
        <w:t>21.04.2011 за № 507/19245</w:t>
      </w:r>
      <w:r w:rsidR="00AF1239">
        <w:rPr>
          <w:b w:val="0"/>
          <w:i w:val="0"/>
          <w:color w:val="000000"/>
          <w:szCs w:val="28"/>
        </w:rPr>
        <w:t xml:space="preserve">        </w:t>
      </w:r>
      <w:r w:rsidR="00DD53C6">
        <w:rPr>
          <w:b w:val="0"/>
          <w:i w:val="0"/>
          <w:color w:val="000000"/>
          <w:szCs w:val="28"/>
        </w:rPr>
        <w:t xml:space="preserve"> </w:t>
      </w:r>
      <w:r w:rsidR="00DD53C6" w:rsidRPr="00DD53C6">
        <w:rPr>
          <w:b w:val="0"/>
          <w:i w:val="0"/>
        </w:rPr>
        <w:t>(далі – наказ)</w:t>
      </w:r>
      <w:r w:rsidR="00270CD0" w:rsidRPr="00DD53C6">
        <w:rPr>
          <w:b w:val="0"/>
          <w:i w:val="0"/>
          <w:color w:val="000000"/>
          <w:szCs w:val="28"/>
        </w:rPr>
        <w:t>.</w:t>
      </w:r>
    </w:p>
    <w:p w:rsidR="004F663A" w:rsidRPr="00DD53C6" w:rsidRDefault="004F663A" w:rsidP="004F663A">
      <w:pPr>
        <w:pStyle w:val="a3"/>
        <w:ind w:firstLine="708"/>
        <w:rPr>
          <w:b w:val="0"/>
          <w:i w:val="0"/>
          <w:szCs w:val="28"/>
        </w:rPr>
      </w:pPr>
    </w:p>
    <w:p w:rsidR="00DD53C6" w:rsidRPr="00DD53C6" w:rsidRDefault="004F663A" w:rsidP="00DD53C6">
      <w:pPr>
        <w:pStyle w:val="ae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DD53C6">
        <w:rPr>
          <w:b/>
          <w:sz w:val="28"/>
          <w:szCs w:val="28"/>
          <w:lang w:val="uk-UA"/>
        </w:rPr>
        <w:t>Назва виконавця заходів з відстеження</w:t>
      </w:r>
      <w:r w:rsidR="00DD53C6" w:rsidRPr="00DD53C6">
        <w:rPr>
          <w:lang w:val="uk-UA"/>
        </w:rPr>
        <w:t xml:space="preserve"> </w:t>
      </w:r>
      <w:r w:rsidR="00DD53C6" w:rsidRPr="00DD53C6">
        <w:rPr>
          <w:b/>
          <w:sz w:val="28"/>
          <w:szCs w:val="28"/>
          <w:lang w:val="uk-UA"/>
        </w:rPr>
        <w:t xml:space="preserve">результативності регуляторного </w:t>
      </w:r>
      <w:proofErr w:type="spellStart"/>
      <w:r w:rsidR="00DD53C6" w:rsidRPr="00DD53C6">
        <w:rPr>
          <w:b/>
          <w:sz w:val="28"/>
          <w:szCs w:val="28"/>
          <w:lang w:val="uk-UA"/>
        </w:rPr>
        <w:t>акта</w:t>
      </w:r>
      <w:proofErr w:type="spellEnd"/>
    </w:p>
    <w:p w:rsidR="004F663A" w:rsidRPr="00DD53C6" w:rsidRDefault="00DD53C6" w:rsidP="00DD53C6">
      <w:pPr>
        <w:pStyle w:val="a3"/>
        <w:ind w:firstLine="708"/>
        <w:rPr>
          <w:b w:val="0"/>
          <w:i w:val="0"/>
          <w:szCs w:val="28"/>
        </w:rPr>
      </w:pPr>
      <w:r>
        <w:rPr>
          <w:i w:val="0"/>
        </w:rPr>
        <w:t xml:space="preserve"> </w:t>
      </w:r>
      <w:r w:rsidR="00957EEE" w:rsidRPr="00DD53C6">
        <w:rPr>
          <w:b w:val="0"/>
          <w:i w:val="0"/>
          <w:szCs w:val="28"/>
        </w:rPr>
        <w:t>Управління державної політики у сфері пробірного нагляду та документів суворої звітності</w:t>
      </w:r>
      <w:r w:rsidR="004F663A" w:rsidRPr="00DD53C6">
        <w:rPr>
          <w:b w:val="0"/>
          <w:i w:val="0"/>
          <w:szCs w:val="28"/>
        </w:rPr>
        <w:t xml:space="preserve"> Міністерства фінансів України.</w:t>
      </w:r>
    </w:p>
    <w:p w:rsidR="004F663A" w:rsidRPr="00DD53C6" w:rsidRDefault="004F663A" w:rsidP="004F663A">
      <w:pPr>
        <w:ind w:firstLine="720"/>
        <w:jc w:val="both"/>
        <w:rPr>
          <w:sz w:val="28"/>
          <w:szCs w:val="28"/>
        </w:rPr>
      </w:pPr>
    </w:p>
    <w:p w:rsidR="004F663A" w:rsidRPr="00811800" w:rsidRDefault="004F663A" w:rsidP="004F663A">
      <w:pPr>
        <w:ind w:firstLine="720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>Цілі прийняття акта</w:t>
      </w:r>
    </w:p>
    <w:p w:rsidR="00DF1FB8" w:rsidRDefault="00572C19" w:rsidP="00270CD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270CD0" w:rsidRPr="00507E5F">
        <w:rPr>
          <w:color w:val="000000"/>
          <w:sz w:val="28"/>
          <w:szCs w:val="28"/>
        </w:rPr>
        <w:t xml:space="preserve">риведення </w:t>
      </w:r>
      <w:r w:rsidR="004B2C4A" w:rsidRPr="00FC4421">
        <w:rPr>
          <w:sz w:val="28"/>
          <w:szCs w:val="28"/>
        </w:rPr>
        <w:t>так</w:t>
      </w:r>
      <w:r w:rsidR="00DF1FB8" w:rsidRPr="00FC4421">
        <w:rPr>
          <w:sz w:val="28"/>
          <w:szCs w:val="28"/>
        </w:rPr>
        <w:t xml:space="preserve">их </w:t>
      </w:r>
      <w:r w:rsidR="00270CD0" w:rsidRPr="00507E5F">
        <w:rPr>
          <w:color w:val="000000"/>
          <w:sz w:val="28"/>
          <w:szCs w:val="28"/>
        </w:rPr>
        <w:t>нормативно-правових акті</w:t>
      </w:r>
      <w:r w:rsidR="00DF1FB8">
        <w:rPr>
          <w:color w:val="000000"/>
          <w:sz w:val="28"/>
          <w:szCs w:val="28"/>
        </w:rPr>
        <w:t>в Міністерства фінансів України:</w:t>
      </w:r>
    </w:p>
    <w:p w:rsidR="00DF1FB8" w:rsidRPr="00507E5F" w:rsidRDefault="00DF1FB8" w:rsidP="00DF1FB8">
      <w:pPr>
        <w:ind w:firstLine="700"/>
        <w:jc w:val="both"/>
        <w:rPr>
          <w:color w:val="000000"/>
          <w:sz w:val="28"/>
          <w:szCs w:val="28"/>
        </w:rPr>
      </w:pPr>
      <w:r w:rsidRPr="00507E5F">
        <w:rPr>
          <w:color w:val="000000"/>
          <w:sz w:val="28"/>
          <w:szCs w:val="28"/>
        </w:rPr>
        <w:t>Поряд</w:t>
      </w:r>
      <w:r w:rsidRPr="00DF1FB8">
        <w:rPr>
          <w:color w:val="000000"/>
          <w:sz w:val="28"/>
          <w:szCs w:val="28"/>
        </w:rPr>
        <w:t>ку</w:t>
      </w:r>
      <w:r w:rsidRPr="00507E5F">
        <w:rPr>
          <w:color w:val="000000"/>
          <w:sz w:val="28"/>
          <w:szCs w:val="28"/>
        </w:rPr>
        <w:t xml:space="preserve"> реалізації ювелірних та інших побутових виробів із золота, срібла, платини і металів платинової групи, дорогоцінних каменів і перлів, а також лому і окремих частин таких виробів, на які накладено арешт, </w:t>
      </w:r>
      <w:r w:rsidRPr="00FC4421">
        <w:rPr>
          <w:sz w:val="28"/>
          <w:szCs w:val="28"/>
        </w:rPr>
        <w:t>затверджен</w:t>
      </w:r>
      <w:r w:rsidR="004B2C4A" w:rsidRPr="00FC4421">
        <w:rPr>
          <w:sz w:val="28"/>
          <w:szCs w:val="28"/>
        </w:rPr>
        <w:t>ого</w:t>
      </w:r>
      <w:r w:rsidRPr="00FC4421">
        <w:rPr>
          <w:sz w:val="28"/>
          <w:szCs w:val="28"/>
        </w:rPr>
        <w:t xml:space="preserve"> н</w:t>
      </w:r>
      <w:r w:rsidRPr="00507E5F">
        <w:rPr>
          <w:color w:val="000000"/>
          <w:sz w:val="28"/>
          <w:szCs w:val="28"/>
        </w:rPr>
        <w:t xml:space="preserve">аказом Міністерства фінансів України від 20.05.2004 № 338, </w:t>
      </w:r>
      <w:r w:rsidRPr="00FC4421">
        <w:rPr>
          <w:sz w:val="28"/>
          <w:szCs w:val="28"/>
        </w:rPr>
        <w:t>зареєстровани</w:t>
      </w:r>
      <w:r w:rsidR="004B2C4A" w:rsidRPr="00FC4421">
        <w:rPr>
          <w:sz w:val="28"/>
          <w:szCs w:val="28"/>
        </w:rPr>
        <w:t>м</w:t>
      </w:r>
      <w:r w:rsidRPr="00FC4421">
        <w:rPr>
          <w:sz w:val="28"/>
          <w:szCs w:val="28"/>
        </w:rPr>
        <w:t xml:space="preserve"> </w:t>
      </w:r>
      <w:r w:rsidRPr="00507E5F">
        <w:rPr>
          <w:color w:val="000000"/>
          <w:sz w:val="28"/>
          <w:szCs w:val="28"/>
        </w:rPr>
        <w:t>у Міністерстві юстиції України 07.10.2004 за № 1285/9884;</w:t>
      </w:r>
    </w:p>
    <w:p w:rsidR="00DF1FB8" w:rsidRPr="00507E5F" w:rsidRDefault="00DF1FB8" w:rsidP="00DF1FB8">
      <w:pPr>
        <w:ind w:firstLine="700"/>
        <w:jc w:val="both"/>
        <w:rPr>
          <w:color w:val="000000"/>
          <w:sz w:val="28"/>
          <w:szCs w:val="28"/>
        </w:rPr>
      </w:pPr>
      <w:r w:rsidRPr="00507E5F">
        <w:rPr>
          <w:color w:val="000000"/>
          <w:sz w:val="28"/>
          <w:szCs w:val="28"/>
        </w:rPr>
        <w:t xml:space="preserve">Правил комісійної торгівлі ювелірними виробами з дорогоцінних металів, дорогоцінного каміння, дорогоцінного каміння органогенного утворення та </w:t>
      </w:r>
      <w:proofErr w:type="spellStart"/>
      <w:r w:rsidRPr="00DF1FB8">
        <w:rPr>
          <w:color w:val="000000"/>
          <w:sz w:val="28"/>
          <w:szCs w:val="28"/>
        </w:rPr>
        <w:t>напівдорогоцінного</w:t>
      </w:r>
      <w:proofErr w:type="spellEnd"/>
      <w:r w:rsidRPr="00507E5F">
        <w:rPr>
          <w:color w:val="000000"/>
          <w:sz w:val="28"/>
          <w:szCs w:val="28"/>
        </w:rPr>
        <w:t xml:space="preserve"> каміння, затверджен</w:t>
      </w:r>
      <w:r w:rsidR="004B2C4A" w:rsidRPr="00FC4421">
        <w:rPr>
          <w:sz w:val="28"/>
          <w:szCs w:val="28"/>
        </w:rPr>
        <w:t>их</w:t>
      </w:r>
      <w:r w:rsidRPr="00FC4421">
        <w:rPr>
          <w:sz w:val="28"/>
          <w:szCs w:val="28"/>
        </w:rPr>
        <w:t xml:space="preserve"> </w:t>
      </w:r>
      <w:r w:rsidRPr="00507E5F">
        <w:rPr>
          <w:color w:val="000000"/>
          <w:sz w:val="28"/>
          <w:szCs w:val="28"/>
        </w:rPr>
        <w:t>наказом Міністерства фінансів України від 27.10.2004 № 678, зареєстрованим у Міністерстві юстиції України 22.11.2004 за № 1466/10065;</w:t>
      </w:r>
    </w:p>
    <w:p w:rsidR="00DF1FB8" w:rsidRPr="00DF1FB8" w:rsidRDefault="00DF1FB8" w:rsidP="00DF1FB8">
      <w:pPr>
        <w:ind w:firstLine="708"/>
        <w:jc w:val="both"/>
        <w:rPr>
          <w:color w:val="000000"/>
          <w:sz w:val="28"/>
          <w:szCs w:val="28"/>
        </w:rPr>
      </w:pPr>
      <w:r w:rsidRPr="00FC4421">
        <w:rPr>
          <w:sz w:val="28"/>
          <w:szCs w:val="28"/>
        </w:rPr>
        <w:t>Форм</w:t>
      </w:r>
      <w:r w:rsidR="0063425D" w:rsidRPr="00FC4421">
        <w:rPr>
          <w:sz w:val="28"/>
          <w:szCs w:val="28"/>
        </w:rPr>
        <w:t>и</w:t>
      </w:r>
      <w:r w:rsidRPr="00FC4421">
        <w:rPr>
          <w:sz w:val="28"/>
          <w:szCs w:val="28"/>
        </w:rPr>
        <w:t xml:space="preserve"> </w:t>
      </w:r>
      <w:r w:rsidRPr="00507E5F">
        <w:rPr>
          <w:color w:val="000000"/>
          <w:sz w:val="28"/>
          <w:szCs w:val="28"/>
        </w:rPr>
        <w:t>№</w:t>
      </w:r>
      <w:r w:rsidR="004B2C4A">
        <w:rPr>
          <w:color w:val="000000"/>
          <w:sz w:val="28"/>
          <w:szCs w:val="28"/>
        </w:rPr>
        <w:t> </w:t>
      </w:r>
      <w:r w:rsidRPr="00507E5F">
        <w:rPr>
          <w:color w:val="000000"/>
          <w:sz w:val="28"/>
          <w:szCs w:val="28"/>
        </w:rPr>
        <w:t>1-СЛ звітності про обсяги дорогоцінних металів і діамантів у ювелірних та побутових виробах, а також у ювелірних та побутових виробах, що стали непридатними чи втратили експлуатаційну цінність, скуплених у населення і не викуплених з-під застави, затверджен</w:t>
      </w:r>
      <w:r w:rsidR="0063425D" w:rsidRPr="00FC4421">
        <w:rPr>
          <w:sz w:val="28"/>
          <w:szCs w:val="28"/>
        </w:rPr>
        <w:t>ої</w:t>
      </w:r>
      <w:r w:rsidRPr="00FC4421">
        <w:rPr>
          <w:sz w:val="28"/>
          <w:szCs w:val="28"/>
        </w:rPr>
        <w:t xml:space="preserve"> </w:t>
      </w:r>
      <w:r w:rsidRPr="00507E5F">
        <w:rPr>
          <w:color w:val="000000"/>
          <w:sz w:val="28"/>
          <w:szCs w:val="28"/>
        </w:rPr>
        <w:t>наказом Міністерства фінансів України від 05.12.2005 № 839, зареєстрованим у Міністерстві юстиції України 03.02.2006 за № 93/11967</w:t>
      </w:r>
      <w:r>
        <w:rPr>
          <w:color w:val="000000"/>
          <w:sz w:val="28"/>
          <w:szCs w:val="28"/>
        </w:rPr>
        <w:t>,</w:t>
      </w:r>
      <w:r w:rsidRPr="00DF1FB8">
        <w:rPr>
          <w:color w:val="000000"/>
          <w:sz w:val="28"/>
          <w:szCs w:val="28"/>
        </w:rPr>
        <w:t xml:space="preserve"> </w:t>
      </w:r>
    </w:p>
    <w:p w:rsidR="004F663A" w:rsidRDefault="00DF1FB8" w:rsidP="00270CD0">
      <w:pPr>
        <w:ind w:firstLine="708"/>
        <w:jc w:val="both"/>
        <w:rPr>
          <w:color w:val="000000"/>
          <w:sz w:val="28"/>
          <w:szCs w:val="28"/>
        </w:rPr>
      </w:pPr>
      <w:r w:rsidRPr="00507E5F">
        <w:rPr>
          <w:color w:val="000000"/>
          <w:sz w:val="28"/>
          <w:szCs w:val="28"/>
        </w:rPr>
        <w:t xml:space="preserve">у відповідність </w:t>
      </w:r>
      <w:r w:rsidR="00270CD0" w:rsidRPr="00507E5F">
        <w:rPr>
          <w:color w:val="000000"/>
          <w:sz w:val="28"/>
          <w:szCs w:val="28"/>
        </w:rPr>
        <w:t>із Законом України від 19.10.2010 №</w:t>
      </w:r>
      <w:r w:rsidR="0063425D">
        <w:rPr>
          <w:color w:val="000000"/>
          <w:sz w:val="28"/>
          <w:szCs w:val="28"/>
        </w:rPr>
        <w:t> </w:t>
      </w:r>
      <w:r w:rsidR="00270CD0" w:rsidRPr="00507E5F">
        <w:rPr>
          <w:color w:val="000000"/>
          <w:sz w:val="28"/>
          <w:szCs w:val="28"/>
        </w:rPr>
        <w:t>2608-</w:t>
      </w:r>
      <w:r w:rsidR="00270CD0" w:rsidRPr="00507E5F">
        <w:rPr>
          <w:color w:val="000000"/>
          <w:sz w:val="28"/>
          <w:szCs w:val="28"/>
          <w:lang w:val="en-US"/>
        </w:rPr>
        <w:t>V</w:t>
      </w:r>
      <w:r w:rsidR="00270CD0" w:rsidRPr="00507E5F">
        <w:rPr>
          <w:color w:val="000000"/>
          <w:sz w:val="28"/>
          <w:szCs w:val="28"/>
        </w:rPr>
        <w:t xml:space="preserve">І </w:t>
      </w:r>
      <w:r w:rsidR="00270CD0" w:rsidRPr="00270CD0">
        <w:rPr>
          <w:color w:val="000000"/>
          <w:sz w:val="28"/>
          <w:szCs w:val="28"/>
        </w:rPr>
        <w:t>“Про</w:t>
      </w:r>
      <w:r w:rsidR="00270CD0" w:rsidRPr="00507E5F">
        <w:rPr>
          <w:color w:val="000000"/>
          <w:sz w:val="28"/>
          <w:szCs w:val="28"/>
        </w:rPr>
        <w:t xml:space="preserve"> внесення змін до деяких законодавчих актів України щодо обмеження державного регулювання господарської </w:t>
      </w:r>
      <w:r w:rsidR="00270CD0" w:rsidRPr="00270CD0">
        <w:rPr>
          <w:color w:val="000000"/>
          <w:sz w:val="28"/>
          <w:szCs w:val="28"/>
        </w:rPr>
        <w:t>діяльності”</w:t>
      </w:r>
      <w:r w:rsidR="00270CD0" w:rsidRPr="00507E5F">
        <w:rPr>
          <w:color w:val="000000"/>
          <w:sz w:val="28"/>
          <w:szCs w:val="28"/>
        </w:rPr>
        <w:t xml:space="preserve">, а саме: вилучення із наказів Міністерства фінансів України положень, в яких зазначається необхідність одержання ліцензії на провадження таких видів господарської діяльності як: виробництво дорогоцінних </w:t>
      </w:r>
      <w:r w:rsidR="009745B2">
        <w:rPr>
          <w:color w:val="000000"/>
          <w:sz w:val="28"/>
          <w:szCs w:val="28"/>
        </w:rPr>
        <w:t>металів і дорогоцінного каміння;</w:t>
      </w:r>
      <w:r w:rsidR="00270CD0" w:rsidRPr="00507E5F">
        <w:rPr>
          <w:color w:val="000000"/>
          <w:sz w:val="28"/>
          <w:szCs w:val="28"/>
        </w:rPr>
        <w:t xml:space="preserve"> </w:t>
      </w:r>
      <w:r w:rsidR="00B04200">
        <w:rPr>
          <w:color w:val="000000"/>
          <w:sz w:val="28"/>
          <w:szCs w:val="28"/>
        </w:rPr>
        <w:t xml:space="preserve"> виготовлення виробів</w:t>
      </w:r>
      <w:r w:rsidR="00B04200" w:rsidRPr="00B144AB">
        <w:rPr>
          <w:color w:val="000000"/>
          <w:sz w:val="28"/>
          <w:szCs w:val="28"/>
        </w:rPr>
        <w:t xml:space="preserve"> </w:t>
      </w:r>
      <w:r w:rsidR="00B04200">
        <w:rPr>
          <w:color w:val="000000"/>
          <w:sz w:val="28"/>
          <w:szCs w:val="28"/>
        </w:rPr>
        <w:t>з дорогоцінних металів і дорогоцінного каміння,</w:t>
      </w:r>
      <w:r w:rsidR="009745B2">
        <w:rPr>
          <w:color w:val="000000"/>
          <w:sz w:val="28"/>
          <w:szCs w:val="28"/>
        </w:rPr>
        <w:t xml:space="preserve"> </w:t>
      </w:r>
      <w:r w:rsidR="00270CD0" w:rsidRPr="00507E5F">
        <w:rPr>
          <w:color w:val="000000"/>
          <w:sz w:val="28"/>
          <w:szCs w:val="28"/>
        </w:rPr>
        <w:t>торгівля виробами з дорогоцінних металів і дорогоцінного каміння.</w:t>
      </w:r>
    </w:p>
    <w:p w:rsidR="00800CC3" w:rsidRPr="00270CD0" w:rsidRDefault="00800CC3" w:rsidP="00270CD0">
      <w:pPr>
        <w:ind w:firstLine="708"/>
        <w:jc w:val="both"/>
        <w:rPr>
          <w:color w:val="000000"/>
          <w:sz w:val="28"/>
          <w:szCs w:val="28"/>
        </w:rPr>
      </w:pPr>
    </w:p>
    <w:p w:rsidR="004F663A" w:rsidRPr="00811800" w:rsidRDefault="004F663A" w:rsidP="004F663A">
      <w:pPr>
        <w:ind w:firstLine="720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>Строк виконання заходів з відстеження</w:t>
      </w:r>
    </w:p>
    <w:p w:rsidR="004F663A" w:rsidRDefault="004F663A" w:rsidP="004F6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DD53C6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572C19">
        <w:rPr>
          <w:sz w:val="28"/>
          <w:szCs w:val="28"/>
        </w:rPr>
        <w:t>травня</w:t>
      </w:r>
      <w:r>
        <w:rPr>
          <w:sz w:val="28"/>
          <w:szCs w:val="28"/>
        </w:rPr>
        <w:t xml:space="preserve"> 201</w:t>
      </w:r>
      <w:r w:rsidR="00DD53C6">
        <w:rPr>
          <w:sz w:val="28"/>
          <w:szCs w:val="28"/>
        </w:rPr>
        <w:t>8</w:t>
      </w:r>
      <w:r>
        <w:rPr>
          <w:sz w:val="28"/>
          <w:szCs w:val="28"/>
        </w:rPr>
        <w:t xml:space="preserve"> року по </w:t>
      </w:r>
      <w:r w:rsidR="00E83BF3">
        <w:rPr>
          <w:sz w:val="28"/>
          <w:szCs w:val="28"/>
        </w:rPr>
        <w:t>08</w:t>
      </w:r>
      <w:r w:rsidR="00572C19">
        <w:rPr>
          <w:sz w:val="28"/>
          <w:szCs w:val="28"/>
        </w:rPr>
        <w:t xml:space="preserve"> червня</w:t>
      </w:r>
      <w:r>
        <w:rPr>
          <w:sz w:val="28"/>
          <w:szCs w:val="28"/>
        </w:rPr>
        <w:t xml:space="preserve"> </w:t>
      </w:r>
      <w:r w:rsidR="00DD53C6">
        <w:rPr>
          <w:sz w:val="28"/>
          <w:szCs w:val="28"/>
        </w:rPr>
        <w:t>2018</w:t>
      </w:r>
      <w:r>
        <w:rPr>
          <w:sz w:val="28"/>
          <w:szCs w:val="28"/>
        </w:rPr>
        <w:t xml:space="preserve"> року</w:t>
      </w:r>
      <w:r w:rsidR="00DD53C6">
        <w:rPr>
          <w:sz w:val="28"/>
          <w:szCs w:val="28"/>
        </w:rPr>
        <w:t>.</w:t>
      </w:r>
    </w:p>
    <w:p w:rsidR="0063425D" w:rsidRDefault="0063425D" w:rsidP="004F663A">
      <w:pPr>
        <w:ind w:firstLine="720"/>
        <w:jc w:val="both"/>
        <w:rPr>
          <w:b/>
          <w:sz w:val="28"/>
          <w:szCs w:val="28"/>
        </w:rPr>
      </w:pPr>
    </w:p>
    <w:p w:rsidR="004F663A" w:rsidRPr="00811800" w:rsidRDefault="004F663A" w:rsidP="004F663A">
      <w:pPr>
        <w:ind w:firstLine="720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>Тип відстеження</w:t>
      </w:r>
    </w:p>
    <w:p w:rsidR="004F663A" w:rsidRDefault="004F663A" w:rsidP="004F66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7EEE">
        <w:rPr>
          <w:sz w:val="28"/>
          <w:szCs w:val="28"/>
        </w:rPr>
        <w:t>еріодич</w:t>
      </w:r>
      <w:r>
        <w:rPr>
          <w:sz w:val="28"/>
          <w:szCs w:val="28"/>
        </w:rPr>
        <w:t xml:space="preserve">не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відстеження</w:t>
      </w:r>
      <w:r w:rsidR="00DD53C6">
        <w:rPr>
          <w:sz w:val="28"/>
          <w:szCs w:val="28"/>
        </w:rPr>
        <w:t>.</w:t>
      </w:r>
    </w:p>
    <w:p w:rsidR="00027359" w:rsidRDefault="00027359" w:rsidP="004F663A">
      <w:pPr>
        <w:ind w:firstLine="720"/>
        <w:jc w:val="both"/>
        <w:rPr>
          <w:sz w:val="28"/>
          <w:szCs w:val="28"/>
        </w:rPr>
      </w:pPr>
    </w:p>
    <w:p w:rsidR="004F663A" w:rsidRPr="00811800" w:rsidRDefault="004F663A" w:rsidP="004F663A">
      <w:pPr>
        <w:ind w:firstLine="720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>Методи одержання результатів відстеження</w:t>
      </w:r>
    </w:p>
    <w:p w:rsidR="00027359" w:rsidRDefault="004F663A" w:rsidP="004F663A">
      <w:pPr>
        <w:ind w:firstLine="539"/>
        <w:jc w:val="both"/>
        <w:rPr>
          <w:color w:val="000000"/>
          <w:sz w:val="28"/>
          <w:szCs w:val="28"/>
        </w:rPr>
      </w:pPr>
      <w:r w:rsidRPr="00B43425">
        <w:rPr>
          <w:sz w:val="28"/>
          <w:szCs w:val="28"/>
        </w:rPr>
        <w:tab/>
        <w:t>Результати п</w:t>
      </w:r>
      <w:r w:rsidR="00563FF7">
        <w:rPr>
          <w:sz w:val="28"/>
          <w:szCs w:val="28"/>
        </w:rPr>
        <w:t>еріодич</w:t>
      </w:r>
      <w:r w:rsidRPr="00B43425">
        <w:rPr>
          <w:sz w:val="28"/>
          <w:szCs w:val="28"/>
        </w:rPr>
        <w:t xml:space="preserve">ного відстеження </w:t>
      </w:r>
      <w:r>
        <w:rPr>
          <w:sz w:val="28"/>
          <w:szCs w:val="28"/>
        </w:rPr>
        <w:t xml:space="preserve">наказу </w:t>
      </w:r>
      <w:r w:rsidRPr="00B43425">
        <w:rPr>
          <w:sz w:val="28"/>
          <w:szCs w:val="28"/>
        </w:rPr>
        <w:t xml:space="preserve">одержані на підставі аналізу </w:t>
      </w:r>
      <w:r w:rsidR="0063425D" w:rsidRPr="00FC4421">
        <w:rPr>
          <w:sz w:val="28"/>
          <w:szCs w:val="28"/>
        </w:rPr>
        <w:t>чинн</w:t>
      </w:r>
      <w:r w:rsidR="002218E5" w:rsidRPr="00FC4421">
        <w:rPr>
          <w:sz w:val="28"/>
          <w:szCs w:val="28"/>
        </w:rPr>
        <w:t>ого законодавства</w:t>
      </w:r>
      <w:r w:rsidR="0063425D" w:rsidRPr="00FC4421">
        <w:rPr>
          <w:sz w:val="28"/>
          <w:szCs w:val="28"/>
        </w:rPr>
        <w:t>,</w:t>
      </w:r>
      <w:r w:rsidR="002218E5" w:rsidRPr="00FC4421">
        <w:rPr>
          <w:sz w:val="28"/>
          <w:szCs w:val="28"/>
        </w:rPr>
        <w:t xml:space="preserve"> </w:t>
      </w:r>
      <w:r w:rsidR="002218E5">
        <w:rPr>
          <w:sz w:val="28"/>
          <w:szCs w:val="28"/>
        </w:rPr>
        <w:t>а також шляхом збору і аналізу пропозицій та зауважень</w:t>
      </w:r>
      <w:r w:rsidR="00DF1FB8">
        <w:rPr>
          <w:sz w:val="28"/>
          <w:szCs w:val="28"/>
        </w:rPr>
        <w:t xml:space="preserve"> </w:t>
      </w:r>
      <w:r w:rsidRPr="00AF06B0">
        <w:rPr>
          <w:color w:val="000000"/>
          <w:sz w:val="28"/>
          <w:szCs w:val="28"/>
        </w:rPr>
        <w:t xml:space="preserve">від </w:t>
      </w:r>
      <w:r w:rsidR="00DF1FB8">
        <w:rPr>
          <w:color w:val="000000"/>
          <w:sz w:val="28"/>
          <w:szCs w:val="28"/>
        </w:rPr>
        <w:t>суб’єктів господарювання.</w:t>
      </w:r>
    </w:p>
    <w:p w:rsidR="008F2F57" w:rsidRDefault="008F2F57" w:rsidP="004F663A">
      <w:pPr>
        <w:ind w:firstLine="539"/>
        <w:jc w:val="both"/>
        <w:rPr>
          <w:color w:val="000000"/>
          <w:sz w:val="28"/>
          <w:szCs w:val="28"/>
        </w:rPr>
      </w:pPr>
    </w:p>
    <w:p w:rsidR="004F663A" w:rsidRPr="00811800" w:rsidRDefault="004F663A" w:rsidP="00DF1FB8">
      <w:pPr>
        <w:ind w:firstLine="708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 xml:space="preserve">Дані </w:t>
      </w:r>
      <w:r w:rsidR="00A720E2">
        <w:rPr>
          <w:b/>
          <w:sz w:val="28"/>
          <w:szCs w:val="28"/>
        </w:rPr>
        <w:t xml:space="preserve">та припущення, </w:t>
      </w:r>
      <w:r w:rsidRPr="00811800">
        <w:rPr>
          <w:b/>
          <w:sz w:val="28"/>
          <w:szCs w:val="28"/>
        </w:rPr>
        <w:t>на основі яких відстежувалася результативність, а також способи одержання даних</w:t>
      </w:r>
    </w:p>
    <w:p w:rsidR="00153B03" w:rsidRDefault="00661E52" w:rsidP="00153B03">
      <w:pPr>
        <w:pStyle w:val="HTM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E52">
        <w:rPr>
          <w:rFonts w:ascii="Times New Roman" w:hAnsi="Times New Roman" w:cs="Times New Roman"/>
          <w:i/>
          <w:sz w:val="28"/>
          <w:szCs w:val="28"/>
        </w:rPr>
        <w:t>Кількість суб’єктів господарювання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53B03">
        <w:rPr>
          <w:rFonts w:ascii="Times New Roman" w:hAnsi="Times New Roman" w:cs="Times New Roman"/>
          <w:sz w:val="28"/>
          <w:szCs w:val="28"/>
        </w:rPr>
        <w:t xml:space="preserve">на яких поширюється дія цього акта. </w:t>
      </w:r>
    </w:p>
    <w:p w:rsidR="00661E52" w:rsidRDefault="00153B03" w:rsidP="00153B03">
      <w:pPr>
        <w:pStyle w:val="HTML"/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Регуляторний акт поширюється на усіх суб’єктів господарювання, </w:t>
      </w:r>
      <w:r w:rsidR="00661E52">
        <w:rPr>
          <w:rFonts w:ascii="Times New Roman" w:hAnsi="Times New Roman" w:cs="Times New Roman"/>
          <w:sz w:val="28"/>
          <w:szCs w:val="28"/>
        </w:rPr>
        <w:t xml:space="preserve">які здійснюють операції з </w:t>
      </w:r>
      <w:r w:rsidR="00E3777A">
        <w:rPr>
          <w:rFonts w:ascii="Times New Roman" w:hAnsi="Times New Roman" w:cs="Times New Roman"/>
          <w:sz w:val="28"/>
          <w:szCs w:val="28"/>
        </w:rPr>
        <w:t>виробництва</w:t>
      </w:r>
      <w:r w:rsidR="00E83BF3">
        <w:rPr>
          <w:rFonts w:ascii="Times New Roman" w:hAnsi="Times New Roman" w:cs="Times New Roman"/>
          <w:sz w:val="28"/>
          <w:szCs w:val="28"/>
        </w:rPr>
        <w:t xml:space="preserve"> дорогоцінних металів і дорогоцінного каміння</w:t>
      </w:r>
      <w:r w:rsidR="009745B2">
        <w:rPr>
          <w:rFonts w:ascii="Times New Roman" w:hAnsi="Times New Roman" w:cs="Times New Roman"/>
          <w:sz w:val="28"/>
          <w:szCs w:val="28"/>
        </w:rPr>
        <w:t>, виготовлення</w:t>
      </w:r>
      <w:r w:rsidR="00C64588">
        <w:rPr>
          <w:rFonts w:ascii="Times New Roman" w:hAnsi="Times New Roman" w:cs="Times New Roman"/>
          <w:sz w:val="28"/>
          <w:szCs w:val="28"/>
        </w:rPr>
        <w:t xml:space="preserve"> та торгівлі виробами з </w:t>
      </w:r>
      <w:r w:rsidR="00661E52">
        <w:rPr>
          <w:rFonts w:ascii="Times New Roman" w:hAnsi="Times New Roman" w:cs="Times New Roman"/>
          <w:sz w:val="28"/>
          <w:szCs w:val="28"/>
        </w:rPr>
        <w:t>дорогоцінни</w:t>
      </w:r>
      <w:r w:rsidR="00C64588">
        <w:rPr>
          <w:rFonts w:ascii="Times New Roman" w:hAnsi="Times New Roman" w:cs="Times New Roman"/>
          <w:sz w:val="28"/>
          <w:szCs w:val="28"/>
        </w:rPr>
        <w:t>х</w:t>
      </w:r>
      <w:r w:rsidR="00661E52">
        <w:rPr>
          <w:rFonts w:ascii="Times New Roman" w:hAnsi="Times New Roman" w:cs="Times New Roman"/>
          <w:sz w:val="28"/>
          <w:szCs w:val="28"/>
        </w:rPr>
        <w:t xml:space="preserve"> метал</w:t>
      </w:r>
      <w:r w:rsidR="00C64588">
        <w:rPr>
          <w:rFonts w:ascii="Times New Roman" w:hAnsi="Times New Roman" w:cs="Times New Roman"/>
          <w:sz w:val="28"/>
          <w:szCs w:val="28"/>
        </w:rPr>
        <w:t xml:space="preserve">ів </w:t>
      </w:r>
      <w:r w:rsidR="00E3777A">
        <w:rPr>
          <w:rFonts w:ascii="Times New Roman" w:hAnsi="Times New Roman" w:cs="Times New Roman"/>
          <w:sz w:val="28"/>
          <w:szCs w:val="28"/>
        </w:rPr>
        <w:t>і</w:t>
      </w:r>
      <w:r w:rsidR="00C64588">
        <w:rPr>
          <w:rFonts w:ascii="Times New Roman" w:hAnsi="Times New Roman" w:cs="Times New Roman"/>
          <w:sz w:val="28"/>
          <w:szCs w:val="28"/>
        </w:rPr>
        <w:t xml:space="preserve"> дорогоцінного каміння.</w:t>
      </w:r>
    </w:p>
    <w:p w:rsidR="00661E52" w:rsidRDefault="00661E52" w:rsidP="00C06A61">
      <w:pPr>
        <w:ind w:right="40" w:firstLine="708"/>
        <w:jc w:val="both"/>
        <w:rPr>
          <w:sz w:val="28"/>
          <w:szCs w:val="28"/>
        </w:rPr>
      </w:pPr>
      <w:r w:rsidRPr="00661E52">
        <w:rPr>
          <w:i/>
          <w:sz w:val="28"/>
          <w:szCs w:val="28"/>
        </w:rPr>
        <w:t>Рівень поінформованості суб’єктів господарювання</w:t>
      </w:r>
      <w:r>
        <w:rPr>
          <w:sz w:val="28"/>
          <w:szCs w:val="28"/>
        </w:rPr>
        <w:t xml:space="preserve"> з основних положень акта.</w:t>
      </w:r>
      <w:r w:rsidR="00153B03">
        <w:rPr>
          <w:sz w:val="28"/>
          <w:szCs w:val="28"/>
        </w:rPr>
        <w:t xml:space="preserve"> </w:t>
      </w:r>
    </w:p>
    <w:p w:rsidR="004F663A" w:rsidRDefault="00661E52" w:rsidP="00C06A61">
      <w:pPr>
        <w:ind w:right="40" w:firstLine="708"/>
        <w:jc w:val="both"/>
        <w:rPr>
          <w:sz w:val="28"/>
          <w:szCs w:val="28"/>
        </w:rPr>
      </w:pPr>
      <w:r w:rsidRPr="00661E52">
        <w:rPr>
          <w:sz w:val="28"/>
          <w:szCs w:val="28"/>
          <w:lang w:eastAsia="en-US"/>
        </w:rPr>
        <w:t xml:space="preserve">Відповідно до вимог статей 9, 13, 21 Закону України «Про засади державної регуляторної політики у сфері господарської діяльності» проект регуляторного акта, аналіз регуляторного впливу та повідомлення про </w:t>
      </w:r>
      <w:r w:rsidRPr="00FC4421">
        <w:rPr>
          <w:sz w:val="28"/>
          <w:szCs w:val="28"/>
          <w:lang w:eastAsia="en-US"/>
        </w:rPr>
        <w:t>оприлюднення розміщува</w:t>
      </w:r>
      <w:r w:rsidR="0063425D" w:rsidRPr="00FC4421">
        <w:rPr>
          <w:sz w:val="28"/>
          <w:szCs w:val="28"/>
          <w:lang w:eastAsia="en-US"/>
        </w:rPr>
        <w:t>ли</w:t>
      </w:r>
      <w:r w:rsidRPr="00FC4421">
        <w:rPr>
          <w:sz w:val="28"/>
          <w:szCs w:val="28"/>
          <w:lang w:eastAsia="en-US"/>
        </w:rPr>
        <w:t xml:space="preserve">ся </w:t>
      </w:r>
      <w:r w:rsidRPr="00661E52">
        <w:rPr>
          <w:sz w:val="28"/>
          <w:szCs w:val="28"/>
          <w:lang w:eastAsia="en-US"/>
        </w:rPr>
        <w:t xml:space="preserve">на офіційному веб-сайті Міністерства фінансів </w:t>
      </w:r>
      <w:r w:rsidR="0063425D" w:rsidRPr="00FC4421">
        <w:rPr>
          <w:sz w:val="28"/>
          <w:szCs w:val="28"/>
          <w:lang w:eastAsia="en-US"/>
        </w:rPr>
        <w:t xml:space="preserve">України </w:t>
      </w:r>
      <w:r w:rsidRPr="00FC4421">
        <w:rPr>
          <w:sz w:val="28"/>
          <w:szCs w:val="28"/>
          <w:lang w:eastAsia="en-US"/>
        </w:rPr>
        <w:t>в</w:t>
      </w:r>
      <w:r w:rsidRPr="00661E52">
        <w:rPr>
          <w:sz w:val="28"/>
          <w:szCs w:val="28"/>
          <w:lang w:eastAsia="en-US"/>
        </w:rPr>
        <w:t xml:space="preserve"> мережі Інтернет </w:t>
      </w:r>
      <w:hyperlink r:id="rId9" w:history="1">
        <w:r w:rsidRPr="00661E52">
          <w:rPr>
            <w:rStyle w:val="ad"/>
            <w:sz w:val="28"/>
            <w:szCs w:val="28"/>
            <w:lang w:eastAsia="en-US"/>
          </w:rPr>
          <w:t>www.minfin.gov.ua</w:t>
        </w:r>
      </w:hyperlink>
      <w:r w:rsidRPr="00661E52">
        <w:rPr>
          <w:sz w:val="28"/>
          <w:szCs w:val="28"/>
          <w:lang w:eastAsia="en-US"/>
        </w:rPr>
        <w:t xml:space="preserve"> в рубриці «Обговорення проектів документів»</w:t>
      </w:r>
      <w:r w:rsidR="003E6FF3">
        <w:rPr>
          <w:sz w:val="28"/>
          <w:szCs w:val="28"/>
          <w:lang w:eastAsia="en-US"/>
        </w:rPr>
        <w:t> </w:t>
      </w:r>
      <w:r w:rsidRPr="00661E52">
        <w:rPr>
          <w:sz w:val="28"/>
          <w:szCs w:val="28"/>
          <w:lang w:eastAsia="en-US"/>
        </w:rPr>
        <w:t>/</w:t>
      </w:r>
      <w:r w:rsidR="003E6FF3">
        <w:rPr>
          <w:sz w:val="28"/>
          <w:szCs w:val="28"/>
          <w:lang w:eastAsia="en-US"/>
        </w:rPr>
        <w:t> </w:t>
      </w:r>
      <w:r w:rsidRPr="00661E52">
        <w:rPr>
          <w:sz w:val="28"/>
          <w:szCs w:val="28"/>
          <w:lang w:eastAsia="en-US"/>
        </w:rPr>
        <w:t xml:space="preserve">«Проекти регуляторних актів для обговорення». </w:t>
      </w:r>
      <w:r>
        <w:rPr>
          <w:sz w:val="28"/>
          <w:szCs w:val="28"/>
        </w:rPr>
        <w:t>П</w:t>
      </w:r>
      <w:r w:rsidR="00C06A61">
        <w:rPr>
          <w:sz w:val="28"/>
          <w:szCs w:val="28"/>
        </w:rPr>
        <w:t>ісля державної реєстрації в Мін’юсті а</w:t>
      </w:r>
      <w:r w:rsidR="00C06A61" w:rsidRPr="00E0687C">
        <w:rPr>
          <w:sz w:val="28"/>
          <w:szCs w:val="28"/>
        </w:rPr>
        <w:t>кт розміщ</w:t>
      </w:r>
      <w:r w:rsidR="00C06A61">
        <w:rPr>
          <w:sz w:val="28"/>
          <w:szCs w:val="28"/>
        </w:rPr>
        <w:t>ений</w:t>
      </w:r>
      <w:r w:rsidR="00C06A61" w:rsidRPr="00E0687C">
        <w:rPr>
          <w:sz w:val="28"/>
          <w:szCs w:val="28"/>
        </w:rPr>
        <w:t xml:space="preserve"> </w:t>
      </w:r>
      <w:r w:rsidR="00C06A61">
        <w:rPr>
          <w:sz w:val="28"/>
          <w:szCs w:val="28"/>
        </w:rPr>
        <w:t>у всеукраїнській мережі «ЛІГА ЗАКОН»</w:t>
      </w:r>
      <w:r w:rsidR="00C06A61" w:rsidRPr="00E0687C">
        <w:rPr>
          <w:sz w:val="28"/>
          <w:szCs w:val="28"/>
        </w:rPr>
        <w:t xml:space="preserve">. </w:t>
      </w:r>
    </w:p>
    <w:p w:rsidR="004F663A" w:rsidRPr="00811800" w:rsidRDefault="004F663A" w:rsidP="00027359">
      <w:pPr>
        <w:spacing w:before="120"/>
        <w:ind w:right="181" w:firstLine="720"/>
        <w:jc w:val="both"/>
        <w:rPr>
          <w:b/>
          <w:sz w:val="28"/>
          <w:szCs w:val="28"/>
        </w:rPr>
      </w:pPr>
      <w:r w:rsidRPr="00811800">
        <w:rPr>
          <w:b/>
          <w:sz w:val="28"/>
          <w:szCs w:val="28"/>
        </w:rPr>
        <w:t>Кількісні та якісні значення показників результативності акта</w:t>
      </w:r>
    </w:p>
    <w:p w:rsidR="002F13A8" w:rsidRPr="00C35EA2" w:rsidRDefault="002F13A8" w:rsidP="002F13A8">
      <w:pPr>
        <w:spacing w:before="120" w:after="120"/>
        <w:ind w:firstLine="540"/>
        <w:jc w:val="both"/>
        <w:rPr>
          <w:color w:val="000000"/>
          <w:sz w:val="28"/>
          <w:szCs w:val="28"/>
        </w:rPr>
      </w:pPr>
      <w:r w:rsidRPr="00C35EA2">
        <w:rPr>
          <w:color w:val="000000"/>
          <w:sz w:val="28"/>
          <w:szCs w:val="28"/>
        </w:rPr>
        <w:t xml:space="preserve">До якісних </w:t>
      </w:r>
      <w:r w:rsidRPr="00577463">
        <w:rPr>
          <w:color w:val="000000"/>
          <w:sz w:val="28"/>
          <w:szCs w:val="28"/>
        </w:rPr>
        <w:t xml:space="preserve">та </w:t>
      </w:r>
      <w:r w:rsidRPr="00C44972">
        <w:rPr>
          <w:color w:val="000000"/>
          <w:sz w:val="28"/>
          <w:szCs w:val="28"/>
        </w:rPr>
        <w:t>кількісних</w:t>
      </w:r>
      <w:r w:rsidRPr="00577463">
        <w:rPr>
          <w:color w:val="000000"/>
          <w:sz w:val="28"/>
          <w:szCs w:val="28"/>
        </w:rPr>
        <w:t xml:space="preserve"> </w:t>
      </w:r>
      <w:r w:rsidRPr="00C35EA2">
        <w:rPr>
          <w:color w:val="000000"/>
          <w:sz w:val="28"/>
          <w:szCs w:val="28"/>
        </w:rPr>
        <w:t xml:space="preserve">показників результативності регуляторного </w:t>
      </w:r>
      <w:proofErr w:type="spellStart"/>
      <w:r w:rsidRPr="00C35EA2">
        <w:rPr>
          <w:color w:val="000000"/>
          <w:sz w:val="28"/>
          <w:szCs w:val="28"/>
        </w:rPr>
        <w:t>акта</w:t>
      </w:r>
      <w:proofErr w:type="spellEnd"/>
      <w:r w:rsidRPr="00C35EA2">
        <w:rPr>
          <w:color w:val="000000"/>
          <w:sz w:val="28"/>
          <w:szCs w:val="28"/>
        </w:rPr>
        <w:t xml:space="preserve">, </w:t>
      </w:r>
      <w:r w:rsidR="003E6FF3" w:rsidRPr="00FC4421">
        <w:rPr>
          <w:sz w:val="28"/>
          <w:szCs w:val="28"/>
        </w:rPr>
        <w:t>щод</w:t>
      </w:r>
      <w:r w:rsidRPr="00FC4421">
        <w:rPr>
          <w:sz w:val="28"/>
          <w:szCs w:val="28"/>
        </w:rPr>
        <w:t>о я</w:t>
      </w:r>
      <w:r w:rsidRPr="00C35EA2">
        <w:rPr>
          <w:color w:val="000000"/>
          <w:sz w:val="28"/>
          <w:szCs w:val="28"/>
        </w:rPr>
        <w:t xml:space="preserve">кого здійснювалось </w:t>
      </w:r>
      <w:r>
        <w:rPr>
          <w:color w:val="000000"/>
          <w:sz w:val="28"/>
          <w:szCs w:val="28"/>
        </w:rPr>
        <w:t>періодичн</w:t>
      </w:r>
      <w:r w:rsidRPr="00C35EA2">
        <w:rPr>
          <w:color w:val="000000"/>
          <w:sz w:val="28"/>
          <w:szCs w:val="28"/>
        </w:rPr>
        <w:t>е відстеження, можна віднести:</w:t>
      </w:r>
    </w:p>
    <w:p w:rsidR="002F13A8" w:rsidRDefault="002F13A8" w:rsidP="002F13A8">
      <w:pPr>
        <w:spacing w:before="120" w:after="120"/>
        <w:ind w:firstLine="700"/>
        <w:jc w:val="both"/>
        <w:rPr>
          <w:color w:val="000000"/>
          <w:sz w:val="28"/>
          <w:szCs w:val="28"/>
        </w:rPr>
      </w:pPr>
      <w:r w:rsidRPr="00C35EA2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відміну ліцензування провадження господарської діяльності з виробництва</w:t>
      </w:r>
      <w:r w:rsidRPr="0029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дорогоцінних металів і дорогоцінного каміння; виготовлення виробів</w:t>
      </w:r>
      <w:r w:rsidRPr="00B144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дорогоцінних </w:t>
      </w:r>
      <w:r w:rsidR="009745B2">
        <w:rPr>
          <w:color w:val="000000"/>
          <w:sz w:val="28"/>
          <w:szCs w:val="28"/>
        </w:rPr>
        <w:t>металів і дорогоцінного каміння,</w:t>
      </w:r>
      <w:r>
        <w:rPr>
          <w:color w:val="000000"/>
          <w:sz w:val="28"/>
          <w:szCs w:val="28"/>
        </w:rPr>
        <w:t xml:space="preserve"> торгівлі виробами з дорогоцінних металів і дорогоцінного каміння;</w:t>
      </w:r>
    </w:p>
    <w:p w:rsidR="002F13A8" w:rsidRDefault="002F13A8" w:rsidP="002F13A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A77246">
        <w:rPr>
          <w:spacing w:val="-2"/>
          <w:sz w:val="28"/>
          <w:szCs w:val="28"/>
        </w:rPr>
        <w:t>зменшення часу, необхідного суб’єктам господарювання для започаткування</w:t>
      </w:r>
      <w:r>
        <w:rPr>
          <w:rFonts w:ascii="Verdana" w:hAnsi="Verdana"/>
          <w:spacing w:val="-2"/>
          <w:sz w:val="18"/>
          <w:szCs w:val="18"/>
        </w:rPr>
        <w:t xml:space="preserve"> </w:t>
      </w:r>
      <w:r w:rsidR="009745B2">
        <w:rPr>
          <w:rFonts w:ascii="Verdana" w:hAnsi="Verdana"/>
          <w:spacing w:val="-2"/>
          <w:sz w:val="18"/>
          <w:szCs w:val="18"/>
        </w:rPr>
        <w:t xml:space="preserve"> </w:t>
      </w:r>
      <w:r>
        <w:rPr>
          <w:color w:val="000000"/>
          <w:sz w:val="28"/>
          <w:szCs w:val="28"/>
        </w:rPr>
        <w:t>господарської діяльності з виробництва</w:t>
      </w:r>
      <w:r w:rsidRPr="0029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дорогоцінних металів і дорогоцінного каміння; виготовлення виробів</w:t>
      </w:r>
      <w:r w:rsidRPr="00B144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 дорогоцінних </w:t>
      </w:r>
      <w:r w:rsidR="009745B2">
        <w:rPr>
          <w:color w:val="000000"/>
          <w:sz w:val="28"/>
          <w:szCs w:val="28"/>
        </w:rPr>
        <w:t>металів і дорогоцінного каміння,</w:t>
      </w:r>
      <w:r>
        <w:rPr>
          <w:color w:val="000000"/>
          <w:sz w:val="28"/>
          <w:szCs w:val="28"/>
        </w:rPr>
        <w:t xml:space="preserve"> торгівлі виробами з дорогоцінних металів і дорогоцінного каміння; </w:t>
      </w:r>
    </w:p>
    <w:p w:rsidR="002F13A8" w:rsidRDefault="002F13A8" w:rsidP="002F13A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зменшення в</w:t>
      </w:r>
      <w:r w:rsidRPr="00A77246">
        <w:rPr>
          <w:color w:val="000000"/>
          <w:sz w:val="28"/>
          <w:szCs w:val="28"/>
        </w:rPr>
        <w:t xml:space="preserve">итрат суб’єктів господарювання у зв’язку із відсутністю потреби отримувати ліцензію на провадження </w:t>
      </w:r>
      <w:r>
        <w:rPr>
          <w:color w:val="000000"/>
          <w:sz w:val="28"/>
          <w:szCs w:val="28"/>
        </w:rPr>
        <w:t>цих видів господарської діяльності;</w:t>
      </w:r>
    </w:p>
    <w:p w:rsidR="002F13A8" w:rsidRPr="00A77246" w:rsidRDefault="002F13A8" w:rsidP="002F13A8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дія регуляторного акта поширюється на </w:t>
      </w:r>
      <w:r w:rsidR="00F96FDC">
        <w:rPr>
          <w:color w:val="000000"/>
          <w:sz w:val="28"/>
          <w:szCs w:val="28"/>
        </w:rPr>
        <w:t xml:space="preserve">всіх </w:t>
      </w:r>
      <w:r>
        <w:rPr>
          <w:color w:val="000000"/>
          <w:sz w:val="28"/>
          <w:szCs w:val="28"/>
        </w:rPr>
        <w:t>суб’єктів господарювання, які здійснюють діяльність з виробництва</w:t>
      </w:r>
      <w:r w:rsidRPr="0029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дорогоцінних металів і дорогоцінного каміння; виготовлення виробів</w:t>
      </w:r>
      <w:r w:rsidRPr="00B144A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дорогоцінних металів і дорогоцінного каміння; торгівлі виробами з дорогоцінних металів і дорогоцінного каміння.</w:t>
      </w:r>
      <w:r w:rsidRPr="00A77246">
        <w:rPr>
          <w:color w:val="000000"/>
          <w:sz w:val="28"/>
          <w:szCs w:val="28"/>
        </w:rPr>
        <w:t xml:space="preserve"> </w:t>
      </w:r>
    </w:p>
    <w:p w:rsidR="005864FE" w:rsidRPr="00C23820" w:rsidRDefault="003F6683" w:rsidP="002F13A8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13A8" w:rsidRPr="00FC4421">
        <w:rPr>
          <w:sz w:val="28"/>
          <w:szCs w:val="28"/>
        </w:rPr>
        <w:t xml:space="preserve">За період з </w:t>
      </w:r>
      <w:r w:rsidR="002F13A8">
        <w:rPr>
          <w:sz w:val="28"/>
          <w:szCs w:val="28"/>
        </w:rPr>
        <w:t xml:space="preserve">дня прийняття </w:t>
      </w:r>
      <w:r w:rsidR="002F13A8" w:rsidRPr="00FC4421">
        <w:rPr>
          <w:sz w:val="28"/>
          <w:szCs w:val="28"/>
        </w:rPr>
        <w:t xml:space="preserve">наказу звернень </w:t>
      </w:r>
      <w:r w:rsidR="002F13A8" w:rsidRPr="00775C8F">
        <w:rPr>
          <w:sz w:val="28"/>
          <w:szCs w:val="28"/>
        </w:rPr>
        <w:t xml:space="preserve">від суб’єктів господарювання стосовно необхідності </w:t>
      </w:r>
      <w:r w:rsidR="002F13A8">
        <w:rPr>
          <w:sz w:val="28"/>
          <w:szCs w:val="28"/>
        </w:rPr>
        <w:t xml:space="preserve">відновлення </w:t>
      </w:r>
      <w:r w:rsidR="002F13A8" w:rsidRPr="00775C8F">
        <w:rPr>
          <w:sz w:val="28"/>
          <w:szCs w:val="28"/>
        </w:rPr>
        <w:t>ліценз</w:t>
      </w:r>
      <w:r w:rsidR="00AF1239">
        <w:rPr>
          <w:sz w:val="28"/>
          <w:szCs w:val="28"/>
        </w:rPr>
        <w:t>ування із</w:t>
      </w:r>
      <w:bookmarkStart w:id="0" w:name="_GoBack"/>
      <w:bookmarkEnd w:id="0"/>
      <w:r w:rsidR="002F13A8" w:rsidRPr="00775C8F">
        <w:rPr>
          <w:sz w:val="28"/>
          <w:szCs w:val="28"/>
        </w:rPr>
        <w:t xml:space="preserve"> </w:t>
      </w:r>
      <w:r w:rsidR="009745B2">
        <w:rPr>
          <w:sz w:val="28"/>
          <w:szCs w:val="28"/>
        </w:rPr>
        <w:t xml:space="preserve">зазначених видів господарської діяльності </w:t>
      </w:r>
      <w:r w:rsidR="002F13A8" w:rsidRPr="00775C8F">
        <w:rPr>
          <w:sz w:val="28"/>
          <w:szCs w:val="28"/>
        </w:rPr>
        <w:t xml:space="preserve">до Міністерства </w:t>
      </w:r>
      <w:r w:rsidR="002F13A8" w:rsidRPr="00FC4421">
        <w:rPr>
          <w:sz w:val="28"/>
          <w:szCs w:val="28"/>
        </w:rPr>
        <w:t xml:space="preserve">фінансів </w:t>
      </w:r>
      <w:r w:rsidR="003E6FF3" w:rsidRPr="00FC4421">
        <w:rPr>
          <w:sz w:val="28"/>
          <w:szCs w:val="28"/>
        </w:rPr>
        <w:t xml:space="preserve">України </w:t>
      </w:r>
      <w:r w:rsidR="002F13A8" w:rsidRPr="00775C8F">
        <w:rPr>
          <w:sz w:val="28"/>
          <w:szCs w:val="28"/>
        </w:rPr>
        <w:t xml:space="preserve">не </w:t>
      </w:r>
      <w:r w:rsidR="002F13A8">
        <w:rPr>
          <w:sz w:val="28"/>
          <w:szCs w:val="28"/>
        </w:rPr>
        <w:t>надходило.</w:t>
      </w:r>
    </w:p>
    <w:p w:rsidR="00C23820" w:rsidRDefault="00C23820" w:rsidP="00C23820">
      <w:pPr>
        <w:tabs>
          <w:tab w:val="left" w:pos="567"/>
        </w:tabs>
        <w:jc w:val="both"/>
        <w:rPr>
          <w:sz w:val="28"/>
          <w:szCs w:val="28"/>
        </w:rPr>
      </w:pPr>
    </w:p>
    <w:p w:rsidR="004F663A" w:rsidRPr="00811800" w:rsidRDefault="003F6683" w:rsidP="00C23820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F663A" w:rsidRPr="00811800">
        <w:rPr>
          <w:b/>
          <w:sz w:val="28"/>
          <w:szCs w:val="28"/>
        </w:rPr>
        <w:t>Оцінка результатів реалізації регуляторного акта та ступеня досягнення визначених цілей</w:t>
      </w:r>
    </w:p>
    <w:p w:rsidR="003F6683" w:rsidRDefault="004E7F46" w:rsidP="003F6683">
      <w:pPr>
        <w:spacing w:before="120" w:after="120"/>
        <w:ind w:firstLine="708"/>
        <w:jc w:val="both"/>
        <w:rPr>
          <w:color w:val="000000"/>
          <w:sz w:val="28"/>
          <w:szCs w:val="28"/>
        </w:rPr>
      </w:pPr>
      <w:r w:rsidRPr="00C35EA2">
        <w:rPr>
          <w:color w:val="000000"/>
          <w:sz w:val="28"/>
          <w:szCs w:val="28"/>
        </w:rPr>
        <w:t xml:space="preserve">Проблеми, які обумовили необхідність прийняття нормативного акта, </w:t>
      </w:r>
      <w:r>
        <w:rPr>
          <w:color w:val="000000"/>
          <w:sz w:val="28"/>
          <w:szCs w:val="28"/>
        </w:rPr>
        <w:t>були вирішені</w:t>
      </w:r>
      <w:r w:rsidRPr="00C35EA2">
        <w:rPr>
          <w:color w:val="000000"/>
          <w:sz w:val="28"/>
          <w:szCs w:val="28"/>
        </w:rPr>
        <w:t xml:space="preserve"> шляхом його прийняття</w:t>
      </w:r>
      <w:r>
        <w:rPr>
          <w:color w:val="000000"/>
          <w:sz w:val="28"/>
          <w:szCs w:val="28"/>
        </w:rPr>
        <w:t xml:space="preserve"> та</w:t>
      </w:r>
      <w:r w:rsidRPr="00C35EA2">
        <w:rPr>
          <w:color w:val="000000"/>
          <w:sz w:val="28"/>
          <w:szCs w:val="28"/>
        </w:rPr>
        <w:t xml:space="preserve"> розм</w:t>
      </w:r>
      <w:r w:rsidRPr="00FC4421">
        <w:rPr>
          <w:sz w:val="28"/>
          <w:szCs w:val="28"/>
        </w:rPr>
        <w:t xml:space="preserve">іщення </w:t>
      </w:r>
      <w:r w:rsidRPr="00C35EA2">
        <w:rPr>
          <w:color w:val="000000"/>
          <w:sz w:val="28"/>
          <w:szCs w:val="28"/>
        </w:rPr>
        <w:t>відповідної інформації на офіційному веб-сайті</w:t>
      </w:r>
      <w:r>
        <w:rPr>
          <w:color w:val="000000"/>
          <w:sz w:val="28"/>
          <w:szCs w:val="28"/>
        </w:rPr>
        <w:t xml:space="preserve"> Міністерства фінансів України. </w:t>
      </w:r>
    </w:p>
    <w:p w:rsidR="004E7F46" w:rsidRPr="00BF202B" w:rsidRDefault="004E7F46" w:rsidP="003F6683">
      <w:pPr>
        <w:spacing w:before="120" w:after="120"/>
        <w:ind w:firstLine="708"/>
        <w:jc w:val="both"/>
        <w:rPr>
          <w:sz w:val="28"/>
          <w:szCs w:val="28"/>
        </w:rPr>
      </w:pPr>
      <w:r w:rsidRPr="00C35EA2">
        <w:rPr>
          <w:sz w:val="28"/>
          <w:szCs w:val="28"/>
        </w:rPr>
        <w:t xml:space="preserve">На підставі результатів </w:t>
      </w:r>
      <w:r>
        <w:rPr>
          <w:sz w:val="28"/>
          <w:szCs w:val="28"/>
        </w:rPr>
        <w:t>періодично</w:t>
      </w:r>
      <w:r w:rsidRPr="00C35EA2">
        <w:rPr>
          <w:sz w:val="28"/>
          <w:szCs w:val="28"/>
        </w:rPr>
        <w:t xml:space="preserve">го відстеження результативності регуляторного акта можна зробити висновок про те, що в цілому шляхом впровадження цього нормативного акта </w:t>
      </w:r>
      <w:r w:rsidRPr="00C41DC3">
        <w:rPr>
          <w:sz w:val="28"/>
          <w:szCs w:val="28"/>
        </w:rPr>
        <w:t xml:space="preserve">вдалося досягти визначених цілей. </w:t>
      </w:r>
      <w:r w:rsidRPr="00C35EA2">
        <w:rPr>
          <w:sz w:val="28"/>
          <w:szCs w:val="28"/>
        </w:rPr>
        <w:t>Остаточний висновок щодо ступеня досягнення визначених цілей можна буде зробити за результатами п</w:t>
      </w:r>
      <w:r>
        <w:rPr>
          <w:sz w:val="28"/>
          <w:szCs w:val="28"/>
        </w:rPr>
        <w:t xml:space="preserve">еріодичних </w:t>
      </w:r>
      <w:r w:rsidRPr="00C35EA2">
        <w:rPr>
          <w:sz w:val="28"/>
          <w:szCs w:val="28"/>
        </w:rPr>
        <w:t>відстежен</w:t>
      </w:r>
      <w:r>
        <w:rPr>
          <w:sz w:val="28"/>
          <w:szCs w:val="28"/>
        </w:rPr>
        <w:t>ь</w:t>
      </w:r>
      <w:r w:rsidRPr="00C35EA2">
        <w:rPr>
          <w:sz w:val="28"/>
          <w:szCs w:val="28"/>
        </w:rPr>
        <w:t xml:space="preserve"> його результативності</w:t>
      </w:r>
      <w:r>
        <w:rPr>
          <w:sz w:val="28"/>
          <w:szCs w:val="28"/>
        </w:rPr>
        <w:t xml:space="preserve">, які проводяться раз на три роки, починаючи з дня закінчення </w:t>
      </w:r>
      <w:r w:rsidR="00AF1239">
        <w:rPr>
          <w:sz w:val="28"/>
          <w:szCs w:val="28"/>
        </w:rPr>
        <w:t>чергового періодичного</w:t>
      </w:r>
      <w:r>
        <w:rPr>
          <w:sz w:val="28"/>
          <w:szCs w:val="28"/>
        </w:rPr>
        <w:t xml:space="preserve"> відстеження результативності цього акта</w:t>
      </w:r>
      <w:r w:rsidRPr="00C82D06">
        <w:rPr>
          <w:sz w:val="28"/>
          <w:szCs w:val="28"/>
        </w:rPr>
        <w:t>.</w:t>
      </w:r>
    </w:p>
    <w:p w:rsidR="00BF202B" w:rsidRDefault="00BF202B" w:rsidP="004F663A">
      <w:pPr>
        <w:ind w:firstLine="540"/>
        <w:jc w:val="both"/>
        <w:rPr>
          <w:bCs/>
          <w:sz w:val="28"/>
          <w:szCs w:val="28"/>
        </w:rPr>
      </w:pPr>
    </w:p>
    <w:p w:rsidR="00A935CB" w:rsidRPr="00E275C0" w:rsidRDefault="00A935CB" w:rsidP="004F663A">
      <w:pPr>
        <w:ind w:firstLine="540"/>
        <w:jc w:val="both"/>
        <w:rPr>
          <w:bCs/>
          <w:sz w:val="28"/>
          <w:szCs w:val="28"/>
        </w:rPr>
      </w:pPr>
    </w:p>
    <w:p w:rsidR="00DD53C6" w:rsidRDefault="00DD53C6" w:rsidP="00DD53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Державний секретар </w:t>
      </w:r>
    </w:p>
    <w:p w:rsidR="00DD53C6" w:rsidRDefault="00DD53C6" w:rsidP="00DD53C6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Міністерства фінансів України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Є. КАПІНУС</w:t>
      </w:r>
    </w:p>
    <w:p w:rsidR="00DD53C6" w:rsidRPr="003E6FF3" w:rsidRDefault="00B0035F" w:rsidP="00DD53C6">
      <w:pPr>
        <w:spacing w:before="160"/>
        <w:rPr>
          <w:sz w:val="28"/>
          <w:szCs w:val="28"/>
        </w:rPr>
      </w:pPr>
      <w:r w:rsidRPr="003E6FF3">
        <w:rPr>
          <w:sz w:val="28"/>
          <w:szCs w:val="28"/>
        </w:rPr>
        <w:t>«___»</w:t>
      </w:r>
      <w:r w:rsidR="00DD53C6" w:rsidRPr="003E6FF3">
        <w:rPr>
          <w:sz w:val="28"/>
          <w:szCs w:val="28"/>
        </w:rPr>
        <w:t>__________2018 р.</w:t>
      </w:r>
    </w:p>
    <w:p w:rsidR="00486D6B" w:rsidRPr="00251FE3" w:rsidRDefault="00486D6B" w:rsidP="004F663A">
      <w:pPr>
        <w:rPr>
          <w:b/>
        </w:rPr>
      </w:pPr>
    </w:p>
    <w:sectPr w:rsidR="00486D6B" w:rsidRPr="00251FE3" w:rsidSect="00800CC3">
      <w:headerReference w:type="default" r:id="rId10"/>
      <w:pgSz w:w="11906" w:h="16838"/>
      <w:pgMar w:top="426" w:right="6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52A" w:rsidRDefault="00A4552A" w:rsidP="00180865">
      <w:r>
        <w:separator/>
      </w:r>
    </w:p>
  </w:endnote>
  <w:endnote w:type="continuationSeparator" w:id="0">
    <w:p w:rsidR="00A4552A" w:rsidRDefault="00A4552A" w:rsidP="00180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52A" w:rsidRDefault="00A4552A" w:rsidP="00180865">
      <w:r>
        <w:separator/>
      </w:r>
    </w:p>
  </w:footnote>
  <w:footnote w:type="continuationSeparator" w:id="0">
    <w:p w:rsidR="00A4552A" w:rsidRDefault="00A4552A" w:rsidP="00180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33179"/>
      <w:docPartObj>
        <w:docPartGallery w:val="Page Numbers (Top of Page)"/>
        <w:docPartUnique/>
      </w:docPartObj>
    </w:sdtPr>
    <w:sdtEndPr/>
    <w:sdtContent>
      <w:p w:rsidR="003E6FF3" w:rsidRDefault="003E6FF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239">
          <w:rPr>
            <w:noProof/>
          </w:rPr>
          <w:t>3</w:t>
        </w:r>
        <w:r>
          <w:fldChar w:fldCharType="end"/>
        </w:r>
      </w:p>
    </w:sdtContent>
  </w:sdt>
  <w:p w:rsidR="003E6FF3" w:rsidRDefault="003E6FF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51D79"/>
    <w:multiLevelType w:val="hybridMultilevel"/>
    <w:tmpl w:val="C2361714"/>
    <w:lvl w:ilvl="0" w:tplc="03E6D3BE">
      <w:start w:val="48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23"/>
    <w:rsid w:val="00022D06"/>
    <w:rsid w:val="00027359"/>
    <w:rsid w:val="00077B98"/>
    <w:rsid w:val="0008454F"/>
    <w:rsid w:val="000864C9"/>
    <w:rsid w:val="000B4B30"/>
    <w:rsid w:val="00150B0D"/>
    <w:rsid w:val="00153B03"/>
    <w:rsid w:val="00154C78"/>
    <w:rsid w:val="001730DD"/>
    <w:rsid w:val="00180865"/>
    <w:rsid w:val="002218E5"/>
    <w:rsid w:val="00243BFC"/>
    <w:rsid w:val="00251FE3"/>
    <w:rsid w:val="00270CD0"/>
    <w:rsid w:val="002C2CDE"/>
    <w:rsid w:val="002F13A8"/>
    <w:rsid w:val="00332122"/>
    <w:rsid w:val="0039399A"/>
    <w:rsid w:val="003E6FF3"/>
    <w:rsid w:val="003F6683"/>
    <w:rsid w:val="004063BD"/>
    <w:rsid w:val="00434228"/>
    <w:rsid w:val="00486D6B"/>
    <w:rsid w:val="00491D89"/>
    <w:rsid w:val="004923B9"/>
    <w:rsid w:val="004B2C4A"/>
    <w:rsid w:val="004E7F46"/>
    <w:rsid w:val="004F663A"/>
    <w:rsid w:val="00512037"/>
    <w:rsid w:val="00523218"/>
    <w:rsid w:val="00530E56"/>
    <w:rsid w:val="00563FF7"/>
    <w:rsid w:val="00572C19"/>
    <w:rsid w:val="00575C44"/>
    <w:rsid w:val="005864FE"/>
    <w:rsid w:val="0063425D"/>
    <w:rsid w:val="00647872"/>
    <w:rsid w:val="00661E52"/>
    <w:rsid w:val="00685F9B"/>
    <w:rsid w:val="006B6EDE"/>
    <w:rsid w:val="006D0698"/>
    <w:rsid w:val="006E2EEC"/>
    <w:rsid w:val="006F4C5A"/>
    <w:rsid w:val="00702A23"/>
    <w:rsid w:val="00752CFA"/>
    <w:rsid w:val="007614C8"/>
    <w:rsid w:val="007D2CB5"/>
    <w:rsid w:val="00800CC3"/>
    <w:rsid w:val="00801425"/>
    <w:rsid w:val="00806B2F"/>
    <w:rsid w:val="00811800"/>
    <w:rsid w:val="008773DB"/>
    <w:rsid w:val="008C6D3D"/>
    <w:rsid w:val="008F2F57"/>
    <w:rsid w:val="0092503F"/>
    <w:rsid w:val="009562FF"/>
    <w:rsid w:val="00957EEE"/>
    <w:rsid w:val="009745B2"/>
    <w:rsid w:val="009942D6"/>
    <w:rsid w:val="009E36B8"/>
    <w:rsid w:val="009E5C2D"/>
    <w:rsid w:val="009E6FB5"/>
    <w:rsid w:val="00A4552A"/>
    <w:rsid w:val="00A720E2"/>
    <w:rsid w:val="00A817B6"/>
    <w:rsid w:val="00A935CB"/>
    <w:rsid w:val="00AF1239"/>
    <w:rsid w:val="00B0035F"/>
    <w:rsid w:val="00B03DA7"/>
    <w:rsid w:val="00B04200"/>
    <w:rsid w:val="00B1111D"/>
    <w:rsid w:val="00B70B21"/>
    <w:rsid w:val="00BB372D"/>
    <w:rsid w:val="00BB7BCB"/>
    <w:rsid w:val="00BF202B"/>
    <w:rsid w:val="00BF4AB6"/>
    <w:rsid w:val="00C06A61"/>
    <w:rsid w:val="00C23820"/>
    <w:rsid w:val="00C238B2"/>
    <w:rsid w:val="00C64588"/>
    <w:rsid w:val="00C703EC"/>
    <w:rsid w:val="00CF3E6E"/>
    <w:rsid w:val="00DA4E28"/>
    <w:rsid w:val="00DB7DE6"/>
    <w:rsid w:val="00DD53C6"/>
    <w:rsid w:val="00DF1FB8"/>
    <w:rsid w:val="00E2451F"/>
    <w:rsid w:val="00E3777A"/>
    <w:rsid w:val="00E416DF"/>
    <w:rsid w:val="00E46303"/>
    <w:rsid w:val="00E63170"/>
    <w:rsid w:val="00E83BF3"/>
    <w:rsid w:val="00EA6644"/>
    <w:rsid w:val="00EB627F"/>
    <w:rsid w:val="00ED4523"/>
    <w:rsid w:val="00F1316E"/>
    <w:rsid w:val="00F85C54"/>
    <w:rsid w:val="00F96FDC"/>
    <w:rsid w:val="00FA45D5"/>
    <w:rsid w:val="00FB41EB"/>
    <w:rsid w:val="00FB7910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022D06"/>
    <w:pPr>
      <w:keepNext/>
      <w:spacing w:line="360" w:lineRule="auto"/>
      <w:ind w:firstLine="709"/>
      <w:jc w:val="center"/>
      <w:outlineLvl w:val="2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4523"/>
    <w:pPr>
      <w:jc w:val="both"/>
    </w:pPr>
    <w:rPr>
      <w:b/>
      <w:bCs/>
      <w:i/>
      <w:iCs/>
      <w:sz w:val="28"/>
      <w:lang w:eastAsia="ru-RU"/>
    </w:rPr>
  </w:style>
  <w:style w:type="character" w:customStyle="1" w:styleId="a4">
    <w:name w:val="Основний текст Знак"/>
    <w:basedOn w:val="a0"/>
    <w:link w:val="a3"/>
    <w:rsid w:val="00ED452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452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D452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ED4523"/>
    <w:pPr>
      <w:ind w:left="720"/>
      <w:contextualSpacing/>
    </w:pPr>
    <w:rPr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4F663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4F66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530E5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0E56"/>
    <w:rPr>
      <w:rFonts w:ascii="Tahoma" w:eastAsia="Times New Roman" w:hAnsi="Tahoma" w:cs="Tahoma"/>
      <w:sz w:val="16"/>
      <w:szCs w:val="16"/>
      <w:lang w:eastAsia="uk-UA"/>
    </w:rPr>
  </w:style>
  <w:style w:type="table" w:styleId="ac">
    <w:name w:val="Table Grid"/>
    <w:basedOn w:val="a1"/>
    <w:uiPriority w:val="59"/>
    <w:rsid w:val="000B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BF202B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22D0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d">
    <w:name w:val="Hyperlink"/>
    <w:basedOn w:val="a0"/>
    <w:uiPriority w:val="99"/>
    <w:unhideWhenUsed/>
    <w:rsid w:val="000864C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F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7"/>
      <w:szCs w:val="17"/>
    </w:rPr>
  </w:style>
  <w:style w:type="character" w:customStyle="1" w:styleId="HTML0">
    <w:name w:val="Стандартний HTML Знак"/>
    <w:basedOn w:val="a0"/>
    <w:link w:val="HTML"/>
    <w:uiPriority w:val="99"/>
    <w:rsid w:val="002F13A8"/>
    <w:rPr>
      <w:rFonts w:ascii="Courier New" w:eastAsia="Times New Roman" w:hAnsi="Courier New" w:cs="Courier New"/>
      <w:color w:val="000000"/>
      <w:sz w:val="17"/>
      <w:szCs w:val="17"/>
      <w:lang w:eastAsia="uk-UA"/>
    </w:rPr>
  </w:style>
  <w:style w:type="paragraph" w:styleId="ae">
    <w:name w:val="Normal (Web)"/>
    <w:basedOn w:val="a"/>
    <w:semiHidden/>
    <w:unhideWhenUsed/>
    <w:rsid w:val="00DD53C6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next w:val="a"/>
    <w:link w:val="30"/>
    <w:qFormat/>
    <w:rsid w:val="00022D06"/>
    <w:pPr>
      <w:keepNext/>
      <w:spacing w:line="360" w:lineRule="auto"/>
      <w:ind w:firstLine="709"/>
      <w:jc w:val="center"/>
      <w:outlineLvl w:val="2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4523"/>
    <w:pPr>
      <w:jc w:val="both"/>
    </w:pPr>
    <w:rPr>
      <w:b/>
      <w:bCs/>
      <w:i/>
      <w:iCs/>
      <w:sz w:val="28"/>
      <w:lang w:eastAsia="ru-RU"/>
    </w:rPr>
  </w:style>
  <w:style w:type="character" w:customStyle="1" w:styleId="a4">
    <w:name w:val="Основний текст Знак"/>
    <w:basedOn w:val="a0"/>
    <w:link w:val="a3"/>
    <w:rsid w:val="00ED452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452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D4523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ED4523"/>
    <w:pPr>
      <w:ind w:left="720"/>
      <w:contextualSpacing/>
    </w:pPr>
    <w:rPr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4F663A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4F663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530E56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30E56"/>
    <w:rPr>
      <w:rFonts w:ascii="Tahoma" w:eastAsia="Times New Roman" w:hAnsi="Tahoma" w:cs="Tahoma"/>
      <w:sz w:val="16"/>
      <w:szCs w:val="16"/>
      <w:lang w:eastAsia="uk-UA"/>
    </w:rPr>
  </w:style>
  <w:style w:type="table" w:styleId="ac">
    <w:name w:val="Table Grid"/>
    <w:basedOn w:val="a1"/>
    <w:uiPriority w:val="59"/>
    <w:rsid w:val="000B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BF202B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022D0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d">
    <w:name w:val="Hyperlink"/>
    <w:basedOn w:val="a0"/>
    <w:uiPriority w:val="99"/>
    <w:unhideWhenUsed/>
    <w:rsid w:val="000864C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2F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7"/>
      <w:szCs w:val="17"/>
    </w:rPr>
  </w:style>
  <w:style w:type="character" w:customStyle="1" w:styleId="HTML0">
    <w:name w:val="Стандартний HTML Знак"/>
    <w:basedOn w:val="a0"/>
    <w:link w:val="HTML"/>
    <w:uiPriority w:val="99"/>
    <w:rsid w:val="002F13A8"/>
    <w:rPr>
      <w:rFonts w:ascii="Courier New" w:eastAsia="Times New Roman" w:hAnsi="Courier New" w:cs="Courier New"/>
      <w:color w:val="000000"/>
      <w:sz w:val="17"/>
      <w:szCs w:val="17"/>
      <w:lang w:eastAsia="uk-UA"/>
    </w:rPr>
  </w:style>
  <w:style w:type="paragraph" w:styleId="ae">
    <w:name w:val="Normal (Web)"/>
    <w:basedOn w:val="a"/>
    <w:semiHidden/>
    <w:unhideWhenUsed/>
    <w:rsid w:val="00DD53C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infin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23400-B36F-464D-8B81-51E7DFC3F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3835</Words>
  <Characters>2187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cp:lastPrinted>2018-06-08T10:00:00Z</cp:lastPrinted>
  <dcterms:created xsi:type="dcterms:W3CDTF">2018-06-08T08:52:00Z</dcterms:created>
  <dcterms:modified xsi:type="dcterms:W3CDTF">2018-06-08T10:01:00Z</dcterms:modified>
</cp:coreProperties>
</file>