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D03" w:rsidRPr="005C117E" w:rsidRDefault="000F7D03" w:rsidP="003A4991">
      <w:pPr>
        <w:pStyle w:val="a3"/>
        <w:tabs>
          <w:tab w:val="clear" w:pos="9639"/>
        </w:tabs>
        <w:ind w:right="-284"/>
        <w:jc w:val="right"/>
        <w:rPr>
          <w:b/>
          <w:bCs/>
          <w:color w:val="657C9C" w:themeColor="text2" w:themeTint="BF"/>
          <w:lang w:val="uk-UA"/>
        </w:rPr>
      </w:pPr>
      <w:r w:rsidRPr="00752923"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 wp14:anchorId="7351291B" wp14:editId="0BA2E04E">
            <wp:simplePos x="0" y="0"/>
            <wp:positionH relativeFrom="margin">
              <wp:posOffset>0</wp:posOffset>
            </wp:positionH>
            <wp:positionV relativeFrom="margin">
              <wp:posOffset>143139</wp:posOffset>
            </wp:positionV>
            <wp:extent cx="1062990" cy="306705"/>
            <wp:effectExtent l="0" t="0" r="3810" b="0"/>
            <wp:wrapSquare wrapText="bothSides"/>
            <wp:docPr id="1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971880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6E6D">
        <w:rPr>
          <w:b/>
          <w:bCs/>
          <w:noProof/>
          <w:color w:val="657C9C" w:themeColor="text2" w:themeTint="BF"/>
          <w:lang w:val="uk-UA" w:eastAsia="uk-UA"/>
        </w:rPr>
        <w:t xml:space="preserve"> </w:t>
      </w:r>
      <w:r w:rsidRPr="00FE28EA">
        <w:rPr>
          <w:lang w:val="ru-RU"/>
        </w:rPr>
        <w:t xml:space="preserve"> </w:t>
      </w:r>
    </w:p>
    <w:p w:rsidR="000F7D03" w:rsidRPr="009E6D35" w:rsidRDefault="00701DC8" w:rsidP="00B9403E">
      <w:pPr>
        <w:pStyle w:val="a3"/>
        <w:tabs>
          <w:tab w:val="clear" w:pos="9639"/>
          <w:tab w:val="right" w:pos="9781"/>
        </w:tabs>
        <w:ind w:right="-567"/>
        <w:jc w:val="right"/>
        <w:rPr>
          <w:color w:val="2F5496" w:themeColor="accent1" w:themeShade="BF"/>
          <w:sz w:val="26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2F5496" w:themeColor="accent1" w:themeShade="BF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серпень</w:t>
      </w:r>
      <w:r w:rsidR="00610F4B" w:rsidRPr="009E6D35">
        <w:rPr>
          <w:color w:val="2F5496" w:themeColor="accent1" w:themeShade="BF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  <w:bookmarkStart w:id="0" w:name="_GoBack"/>
      <w:bookmarkEnd w:id="0"/>
    </w:p>
    <w:p w:rsidR="000F7D03" w:rsidRPr="009E6D35" w:rsidRDefault="000F7D03" w:rsidP="00B9403E">
      <w:pPr>
        <w:pStyle w:val="a3"/>
        <w:rPr>
          <w:color w:val="2F5496" w:themeColor="accent1" w:themeShade="BF"/>
        </w:rPr>
      </w:pPr>
    </w:p>
    <w:p w:rsidR="009A72BF" w:rsidRPr="00612511" w:rsidRDefault="003A4991">
      <w:pPr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E6D35">
        <w:rPr>
          <w:noProof/>
          <w:color w:val="2F5496" w:themeColor="accent1" w:themeShade="BF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3CE9B" wp14:editId="1599C19D">
                <wp:simplePos x="0" y="0"/>
                <wp:positionH relativeFrom="margin">
                  <wp:posOffset>14605</wp:posOffset>
                </wp:positionH>
                <wp:positionV relativeFrom="paragraph">
                  <wp:posOffset>8890</wp:posOffset>
                </wp:positionV>
                <wp:extent cx="6477000" cy="9525"/>
                <wp:effectExtent l="0" t="0" r="19050" b="28575"/>
                <wp:wrapNone/>
                <wp:docPr id="892267499" name="Пряма сполучна ліні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DB4C8" id="Пряма сполучна ліні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15pt,.7pt" to="511.1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" strokecolor="#4472c4 [3204]" strokeweight="1.5pt">
                <v:stroke joinstyle="miter"/>
                <w10:wrap anchorx="margin"/>
              </v:line>
            </w:pict>
          </mc:Fallback>
        </mc:AlternateContent>
      </w:r>
    </w:p>
    <w:p w:rsidR="00C62D24" w:rsidRPr="00612511" w:rsidRDefault="00766399">
      <w:pPr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І</w:t>
      </w:r>
      <w:r w:rsidR="00D1086B" w:rsidRPr="00612511"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ндикатори</w:t>
      </w:r>
      <w:r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051AF">
        <w:rPr>
          <w:rFonts w:cstheme="minorHAnsi"/>
          <w:color w:val="2F5496" w:themeColor="accent1" w:themeShade="BF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оцінки боргових ризиків</w:t>
      </w:r>
    </w:p>
    <w:tbl>
      <w:tblPr>
        <w:tblStyle w:val="2"/>
        <w:tblW w:w="10204" w:type="dxa"/>
        <w:tblLook w:val="04A0" w:firstRow="1" w:lastRow="0" w:firstColumn="1" w:lastColumn="0" w:noHBand="0" w:noVBand="1"/>
      </w:tblPr>
      <w:tblGrid>
        <w:gridCol w:w="1760"/>
        <w:gridCol w:w="4763"/>
        <w:gridCol w:w="1188"/>
        <w:gridCol w:w="1286"/>
        <w:gridCol w:w="1207"/>
      </w:tblGrid>
      <w:tr w:rsidR="00774777" w:rsidRPr="00612511" w:rsidTr="00EA3D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3" w:type="dxa"/>
            <w:gridSpan w:val="2"/>
            <w:noWrap/>
            <w:hideMark/>
          </w:tcPr>
          <w:p w:rsidR="00774777" w:rsidRPr="00612511" w:rsidRDefault="00774777" w:rsidP="00BD6357">
            <w:pPr>
              <w:jc w:val="center"/>
              <w:rPr>
                <w:rFonts w:eastAsia="Times New Roman" w:cstheme="minorHAnsi"/>
                <w:lang w:eastAsia="uk-UA"/>
              </w:rPr>
            </w:pPr>
            <w:r w:rsidRPr="00612511">
              <w:rPr>
                <w:rFonts w:eastAsia="Times New Roman" w:cstheme="minorHAnsi"/>
                <w:lang w:eastAsia="uk-UA"/>
              </w:rPr>
              <w:t>Індикатори ризику</w:t>
            </w:r>
          </w:p>
        </w:tc>
        <w:tc>
          <w:tcPr>
            <w:tcW w:w="1188" w:type="dxa"/>
            <w:hideMark/>
          </w:tcPr>
          <w:p w:rsidR="00774777" w:rsidRPr="00612511" w:rsidRDefault="00774777" w:rsidP="00795D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uk-UA"/>
              </w:rPr>
            </w:pPr>
            <w:r w:rsidRPr="00612511">
              <w:rPr>
                <w:rFonts w:eastAsia="Times New Roman" w:cstheme="minorHAnsi"/>
                <w:lang w:eastAsia="uk-UA"/>
              </w:rPr>
              <w:t>Зовнішній борг</w:t>
            </w:r>
          </w:p>
        </w:tc>
        <w:tc>
          <w:tcPr>
            <w:tcW w:w="1286" w:type="dxa"/>
            <w:hideMark/>
          </w:tcPr>
          <w:p w:rsidR="00774777" w:rsidRPr="00612511" w:rsidRDefault="00774777" w:rsidP="00774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lang w:eastAsia="uk-UA"/>
              </w:rPr>
            </w:pPr>
            <w:r w:rsidRPr="00612511">
              <w:rPr>
                <w:rFonts w:eastAsia="Times New Roman" w:cstheme="minorHAnsi"/>
                <w:lang w:eastAsia="uk-UA"/>
              </w:rPr>
              <w:t>Внутрішній борг</w:t>
            </w:r>
          </w:p>
        </w:tc>
        <w:tc>
          <w:tcPr>
            <w:tcW w:w="1207" w:type="dxa"/>
            <w:hideMark/>
          </w:tcPr>
          <w:p w:rsidR="00774777" w:rsidRPr="00612511" w:rsidRDefault="00774777" w:rsidP="00795D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uk-UA"/>
              </w:rPr>
            </w:pPr>
            <w:r w:rsidRPr="00612511">
              <w:rPr>
                <w:rFonts w:eastAsia="Times New Roman" w:cstheme="minorHAnsi"/>
                <w:lang w:eastAsia="uk-UA"/>
              </w:rPr>
              <w:t>Загальний борг</w:t>
            </w:r>
          </w:p>
        </w:tc>
      </w:tr>
      <w:tr w:rsidR="00DA67C0" w:rsidRPr="00612511" w:rsidTr="00C02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hideMark/>
          </w:tcPr>
          <w:p w:rsidR="005A11F5" w:rsidRPr="00612511" w:rsidRDefault="005A11F5" w:rsidP="00612511">
            <w:pPr>
              <w:ind w:right="-193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Процентний ризик</w:t>
            </w: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Середньозважена вартість державного боргу, %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DA67C0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1,95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13,2</w:t>
            </w:r>
            <w:r w:rsidR="00DA67C0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0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4,</w:t>
            </w:r>
            <w:r w:rsidR="00DA67C0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37</w:t>
            </w:r>
          </w:p>
        </w:tc>
      </w:tr>
      <w:tr w:rsidR="005A11F5" w:rsidRPr="00612511" w:rsidTr="00C02AE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Середній термін до </w:t>
            </w:r>
            <w:proofErr w:type="spellStart"/>
            <w:r w:rsidRPr="00612511">
              <w:rPr>
                <w:rFonts w:eastAsia="Times New Roman" w:cstheme="minorHAnsi"/>
                <w:color w:val="000000"/>
                <w:lang w:eastAsia="uk-UA"/>
              </w:rPr>
              <w:t>рефіксації</w:t>
            </w:r>
            <w:proofErr w:type="spellEnd"/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 державного боргу, років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12,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51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2,4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3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10,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24</w:t>
            </w:r>
          </w:p>
        </w:tc>
      </w:tr>
      <w:tr w:rsidR="005A11F5" w:rsidRPr="00612511" w:rsidTr="00C02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Частка державного боргу, що підлягає </w:t>
            </w:r>
            <w:proofErr w:type="spellStart"/>
            <w:r w:rsidRPr="00612511">
              <w:rPr>
                <w:rFonts w:eastAsia="Times New Roman" w:cstheme="minorHAnsi"/>
                <w:color w:val="000000"/>
                <w:lang w:eastAsia="uk-UA"/>
              </w:rPr>
              <w:t>рефіксації</w:t>
            </w:r>
            <w:proofErr w:type="spellEnd"/>
            <w:r w:rsidRPr="00612511">
              <w:rPr>
                <w:rFonts w:eastAsia="Times New Roman" w:cstheme="minorHAnsi"/>
                <w:color w:val="000000"/>
                <w:lang w:eastAsia="uk-UA"/>
              </w:rPr>
              <w:t>, %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27,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60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46,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54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31,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66</w:t>
            </w:r>
          </w:p>
        </w:tc>
      </w:tr>
      <w:tr w:rsidR="005A11F5" w:rsidRPr="00612511" w:rsidTr="00C02AE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Частка боргу з плаваючою  процентною ставкою в загальному обсязі </w:t>
            </w:r>
            <w:r w:rsidR="003446E3" w:rsidRPr="00612511">
              <w:rPr>
                <w:rFonts w:eastAsia="Times New Roman" w:cstheme="minorHAnsi"/>
                <w:color w:val="000000"/>
                <w:lang w:eastAsia="uk-UA"/>
              </w:rPr>
              <w:t>державного боргу</w:t>
            </w:r>
            <w:r w:rsidRPr="00612511">
              <w:rPr>
                <w:rFonts w:eastAsia="Times New Roman" w:cstheme="minorHAnsi"/>
                <w:color w:val="000000"/>
                <w:lang w:eastAsia="uk-UA"/>
              </w:rPr>
              <w:t>, %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28,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96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21,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22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27,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30</w:t>
            </w:r>
          </w:p>
        </w:tc>
      </w:tr>
      <w:tr w:rsidR="005A11F5" w:rsidRPr="00612511" w:rsidTr="00C02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Валютний ризик</w:t>
            </w: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Частка державного боргу в іноземній валюті, %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100,00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7,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29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80,12</w:t>
            </w:r>
          </w:p>
        </w:tc>
      </w:tr>
      <w:tr w:rsidR="005A11F5" w:rsidRPr="00612511" w:rsidTr="00C02AE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Співвідношення короткострокового державного зовнішнього боргу до міжнародних </w:t>
            </w:r>
            <w:r w:rsidR="00A46ECB" w:rsidRPr="00612511">
              <w:rPr>
                <w:rFonts w:eastAsia="Times New Roman" w:cstheme="minorHAnsi"/>
                <w:color w:val="000000"/>
                <w:lang w:eastAsia="uk-UA"/>
              </w:rPr>
              <w:t>резервів</w:t>
            </w:r>
            <w:r w:rsidRPr="00612511">
              <w:rPr>
                <w:rFonts w:eastAsia="Times New Roman" w:cstheme="minorHAnsi"/>
                <w:color w:val="000000"/>
                <w:lang w:eastAsia="uk-UA"/>
              </w:rPr>
              <w:t>, %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 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344D03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7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,24</w:t>
            </w:r>
          </w:p>
        </w:tc>
      </w:tr>
      <w:tr w:rsidR="005A11F5" w:rsidRPr="00612511" w:rsidTr="00C02A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hideMark/>
          </w:tcPr>
          <w:p w:rsidR="005A11F5" w:rsidRPr="00612511" w:rsidRDefault="005A11F5" w:rsidP="00612511">
            <w:pPr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Ризик рефінансування</w:t>
            </w: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>Середньозважений термін до погашення, роки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15,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29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5,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31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13,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0</w:t>
            </w: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5</w:t>
            </w:r>
          </w:p>
        </w:tc>
      </w:tr>
      <w:tr w:rsidR="005A11F5" w:rsidRPr="00612511" w:rsidTr="00C02AE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hideMark/>
          </w:tcPr>
          <w:p w:rsidR="005A11F5" w:rsidRPr="00612511" w:rsidRDefault="005A11F5" w:rsidP="00795D3C">
            <w:pPr>
              <w:rPr>
                <w:rFonts w:eastAsia="Times New Roman" w:cstheme="minorHAnsi"/>
                <w:color w:val="000000"/>
                <w:lang w:eastAsia="uk-UA"/>
              </w:rPr>
            </w:pPr>
          </w:p>
        </w:tc>
        <w:tc>
          <w:tcPr>
            <w:tcW w:w="4761" w:type="dxa"/>
            <w:hideMark/>
          </w:tcPr>
          <w:p w:rsidR="005A11F5" w:rsidRPr="00612511" w:rsidRDefault="005A11F5" w:rsidP="0079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lang w:eastAsia="uk-UA"/>
              </w:rPr>
            </w:pPr>
            <w:r w:rsidRPr="00612511">
              <w:rPr>
                <w:rFonts w:eastAsia="Times New Roman" w:cstheme="minorHAnsi"/>
                <w:color w:val="000000"/>
                <w:lang w:eastAsia="uk-UA"/>
              </w:rPr>
              <w:t xml:space="preserve">Частка </w:t>
            </w:r>
            <w:r w:rsidR="003446E3" w:rsidRPr="00612511">
              <w:rPr>
                <w:rFonts w:eastAsia="Times New Roman" w:cstheme="minorHAnsi"/>
                <w:color w:val="000000"/>
                <w:lang w:eastAsia="uk-UA"/>
              </w:rPr>
              <w:t>державного боргу</w:t>
            </w:r>
            <w:r w:rsidRPr="00612511">
              <w:rPr>
                <w:rFonts w:eastAsia="Times New Roman" w:cstheme="minorHAnsi"/>
                <w:color w:val="000000"/>
                <w:lang w:eastAsia="uk-UA"/>
              </w:rPr>
              <w:t>, що підлягає погашенню протягом року, %</w:t>
            </w:r>
          </w:p>
        </w:tc>
        <w:tc>
          <w:tcPr>
            <w:tcW w:w="1188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2,1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4</w:t>
            </w:r>
          </w:p>
        </w:tc>
        <w:tc>
          <w:tcPr>
            <w:tcW w:w="1286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val="en-US"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2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5,31</w:t>
            </w:r>
          </w:p>
        </w:tc>
        <w:tc>
          <w:tcPr>
            <w:tcW w:w="1207" w:type="dxa"/>
            <w:noWrap/>
            <w:hideMark/>
          </w:tcPr>
          <w:p w:rsidR="005A11F5" w:rsidRPr="00612511" w:rsidRDefault="005A11F5" w:rsidP="00795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lang w:eastAsia="uk-UA"/>
              </w:rPr>
            </w:pP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7,</w:t>
            </w:r>
            <w:r w:rsidR="00977403" w:rsidRPr="00612511">
              <w:rPr>
                <w:rFonts w:eastAsia="Times New Roman" w:cstheme="minorHAnsi"/>
                <w:color w:val="000000" w:themeColor="text1"/>
                <w:lang w:val="en-US" w:eastAsia="uk-UA"/>
              </w:rPr>
              <w:t>1</w:t>
            </w:r>
            <w:r w:rsidRPr="00612511">
              <w:rPr>
                <w:rFonts w:eastAsia="Times New Roman" w:cstheme="minorHAnsi"/>
                <w:color w:val="000000" w:themeColor="text1"/>
                <w:lang w:eastAsia="uk-UA"/>
              </w:rPr>
              <w:t>1</w:t>
            </w:r>
          </w:p>
        </w:tc>
      </w:tr>
    </w:tbl>
    <w:p w:rsidR="009A72BF" w:rsidRPr="00612511" w:rsidRDefault="009A72BF">
      <w:pPr>
        <w:rPr>
          <w:rFonts w:cstheme="minorHAns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12511" w:rsidRPr="00612511" w:rsidRDefault="00612511">
      <w:pPr>
        <w:rPr>
          <w:rFonts w:cstheme="minorHAnsi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74777" w:rsidRDefault="007D5677" w:rsidP="00FC482D">
      <w:pPr>
        <w:ind w:right="-142"/>
        <w:rPr>
          <w:rFonts w:cstheme="minorHAnsi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59ED94C0" wp14:editId="17192D77">
            <wp:extent cx="6432698" cy="2860040"/>
            <wp:effectExtent l="0" t="0" r="6350" b="16510"/>
            <wp:docPr id="9" name="Діаграма 9">
              <a:extLst xmlns:a="http://schemas.openxmlformats.org/drawingml/2006/main">
                <a:ext uri="{FF2B5EF4-FFF2-40B4-BE49-F238E27FC236}">
                  <a16:creationId xmlns:a16="http://schemas.microsoft.com/office/drawing/2014/main" id="{F183D73D-6898-4B86-814F-8D7618CD65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74777" w:rsidRDefault="00774777">
      <w:pPr>
        <w:rPr>
          <w:rFonts w:cstheme="minorHAnsi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74777" w:rsidRDefault="00774777">
      <w:pPr>
        <w:rPr>
          <w:rFonts w:cstheme="minorHAnsi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74777" w:rsidRPr="00774777" w:rsidRDefault="00774777" w:rsidP="00774777">
      <w:pPr>
        <w:pStyle w:val="a3"/>
        <w:jc w:val="right"/>
        <w:rPr>
          <w:color w:val="2F5496" w:themeColor="accent1" w:themeShade="BF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4777">
        <w:rPr>
          <w:color w:val="2F5496" w:themeColor="accent1" w:themeShade="BF"/>
          <w:sz w:val="26"/>
          <w:lang w:val="uk-UA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Департамент боргової політики</w:t>
      </w:r>
    </w:p>
    <w:p w:rsidR="00F14749" w:rsidRDefault="00F14749">
      <w:pPr>
        <w:rPr>
          <w:rFonts w:cstheme="minorHAnsi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F147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03"/>
    <w:rsid w:val="000A4DB4"/>
    <w:rsid w:val="000B0B08"/>
    <w:rsid w:val="000B3018"/>
    <w:rsid w:val="000F7D03"/>
    <w:rsid w:val="00156FB8"/>
    <w:rsid w:val="00331956"/>
    <w:rsid w:val="00343DFF"/>
    <w:rsid w:val="003446E3"/>
    <w:rsid w:val="00344D03"/>
    <w:rsid w:val="00387252"/>
    <w:rsid w:val="003A4991"/>
    <w:rsid w:val="00406650"/>
    <w:rsid w:val="00406BAE"/>
    <w:rsid w:val="004A5416"/>
    <w:rsid w:val="00533D44"/>
    <w:rsid w:val="00596B4E"/>
    <w:rsid w:val="005A11F5"/>
    <w:rsid w:val="005E59C8"/>
    <w:rsid w:val="00604344"/>
    <w:rsid w:val="00610F4B"/>
    <w:rsid w:val="00612511"/>
    <w:rsid w:val="006C3B5D"/>
    <w:rsid w:val="006F3CA3"/>
    <w:rsid w:val="00701DC8"/>
    <w:rsid w:val="007170DB"/>
    <w:rsid w:val="00732A5F"/>
    <w:rsid w:val="00766399"/>
    <w:rsid w:val="00774777"/>
    <w:rsid w:val="00795D3C"/>
    <w:rsid w:val="007D5677"/>
    <w:rsid w:val="00817DAC"/>
    <w:rsid w:val="00852CC0"/>
    <w:rsid w:val="008B4CD4"/>
    <w:rsid w:val="009051AF"/>
    <w:rsid w:val="0090559F"/>
    <w:rsid w:val="009328C0"/>
    <w:rsid w:val="00977403"/>
    <w:rsid w:val="009A72BF"/>
    <w:rsid w:val="009E6D35"/>
    <w:rsid w:val="00A37685"/>
    <w:rsid w:val="00A46ECB"/>
    <w:rsid w:val="00A74BCE"/>
    <w:rsid w:val="00A77809"/>
    <w:rsid w:val="00AB00CC"/>
    <w:rsid w:val="00B0190B"/>
    <w:rsid w:val="00B2234C"/>
    <w:rsid w:val="00B2493B"/>
    <w:rsid w:val="00B316F3"/>
    <w:rsid w:val="00B43A3E"/>
    <w:rsid w:val="00B9403E"/>
    <w:rsid w:val="00B966C4"/>
    <w:rsid w:val="00BD6357"/>
    <w:rsid w:val="00C02AE2"/>
    <w:rsid w:val="00C21453"/>
    <w:rsid w:val="00C62D24"/>
    <w:rsid w:val="00CD11DD"/>
    <w:rsid w:val="00CF639C"/>
    <w:rsid w:val="00D1086B"/>
    <w:rsid w:val="00D3643A"/>
    <w:rsid w:val="00DA67C0"/>
    <w:rsid w:val="00E07E7E"/>
    <w:rsid w:val="00E52DFE"/>
    <w:rsid w:val="00E75E0C"/>
    <w:rsid w:val="00E87A5E"/>
    <w:rsid w:val="00EA3D94"/>
    <w:rsid w:val="00EC3712"/>
    <w:rsid w:val="00F14749"/>
    <w:rsid w:val="00F5558C"/>
    <w:rsid w:val="00FC482D"/>
    <w:rsid w:val="00F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B25A6-4E65-442E-AAF8-3FA21BA9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D03"/>
    <w:pPr>
      <w:tabs>
        <w:tab w:val="center" w:pos="4819"/>
        <w:tab w:val="right" w:pos="9639"/>
      </w:tabs>
      <w:spacing w:after="0" w:line="240" w:lineRule="auto"/>
    </w:pPr>
    <w:rPr>
      <w:rFonts w:ascii="Aptos" w:hAnsi="Aptos" w:cstheme="minorHAnsi"/>
      <w:kern w:val="2"/>
      <w:lang w:val="en-US"/>
      <w14:ligatures w14:val="standardContextual"/>
    </w:rPr>
  </w:style>
  <w:style w:type="character" w:customStyle="1" w:styleId="a4">
    <w:name w:val="Верхній колонтитул Знак"/>
    <w:basedOn w:val="a0"/>
    <w:link w:val="a3"/>
    <w:uiPriority w:val="99"/>
    <w:rsid w:val="000F7D03"/>
    <w:rPr>
      <w:rFonts w:ascii="Aptos" w:hAnsi="Aptos" w:cstheme="minorHAnsi"/>
      <w:kern w:val="2"/>
      <w:lang w:val="en-US"/>
      <w14:ligatures w14:val="standardContextual"/>
    </w:rPr>
  </w:style>
  <w:style w:type="table" w:styleId="2">
    <w:name w:val="Plain Table 2"/>
    <w:basedOn w:val="a1"/>
    <w:uiPriority w:val="42"/>
    <w:rsid w:val="00B0190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MOF.LOCAL\NetDisks\N\12000\12040\12040\&#1052;&#1040;&#1050;&#1056;&#1054;%20&#1090;&#1072;%20&#1041;&#1054;&#1056;&#1043;\&#1042;&#1072;&#1088;&#1090;&#1110;&#1089;&#1090;&#1100;%20&#1090;&#1072;%20&#1089;&#1090;&#1088;&#1086;&#1082;%20&#1076;&#1086;%20&#1087;&#1086;&#1075;&#1072;&#1096;&#1077;&#1085;&#1085;&#1103;%20&#1073;&#1086;&#1088;&#1075;&#1091;\&#1041;&#1086;&#1088;&#1075;&#1086;&#1074;&#1110;%20&#1110;&#1085;&#1076;&#1080;&#1082;&#1072;&#1090;&#1086;&#1088;&#1080;\08.2026%20&#1072;&#1074;&#1090;&#1086;&#1084;&#1072;&#109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uk-UA" sz="1400" b="1" i="0" baseline="0">
                <a:effectLst/>
              </a:rPr>
              <a:t>Графік платежів з погашення державного боргу, млрд грн</a:t>
            </a:r>
            <a:endParaRPr lang="uk-UA" sz="1400">
              <a:effectLst/>
            </a:endParaRPr>
          </a:p>
        </c:rich>
      </c:tx>
      <c:layout>
        <c:manualLayout>
          <c:xMode val="edge"/>
          <c:yMode val="edge"/>
          <c:x val="0.14378562156854577"/>
          <c:y val="2.3601604909133822E-2"/>
        </c:manualLayout>
      </c:layout>
      <c:overlay val="0"/>
      <c:spPr>
        <a:noFill/>
        <a:ln>
          <a:solidFill>
            <a:schemeClr val="bg1"/>
          </a:solidFill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Платежі!$A$65</c:f>
              <c:strCache>
                <c:ptCount val="1"/>
                <c:pt idx="0">
                  <c:v>Внутрішній борг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Платежі!$B$1:$AK$1</c:f>
              <c:numCache>
                <c:formatCode>General</c:formatCode>
                <c:ptCount val="36"/>
                <c:pt idx="0">
                  <c:v>2026</c:v>
                </c:pt>
                <c:pt idx="1">
                  <c:v>2027</c:v>
                </c:pt>
                <c:pt idx="2" formatCode="@">
                  <c:v>2028</c:v>
                </c:pt>
                <c:pt idx="3" formatCode="@">
                  <c:v>2029</c:v>
                </c:pt>
                <c:pt idx="4" formatCode="@">
                  <c:v>2030</c:v>
                </c:pt>
                <c:pt idx="5" formatCode="@">
                  <c:v>2031</c:v>
                </c:pt>
                <c:pt idx="6" formatCode="@">
                  <c:v>2032</c:v>
                </c:pt>
                <c:pt idx="7" formatCode="@">
                  <c:v>2033</c:v>
                </c:pt>
                <c:pt idx="8" formatCode="@">
                  <c:v>2034</c:v>
                </c:pt>
                <c:pt idx="9" formatCode="@">
                  <c:v>2035</c:v>
                </c:pt>
                <c:pt idx="10" formatCode="@">
                  <c:v>2036</c:v>
                </c:pt>
                <c:pt idx="11" formatCode="@">
                  <c:v>2037</c:v>
                </c:pt>
                <c:pt idx="12" formatCode="@">
                  <c:v>2038</c:v>
                </c:pt>
                <c:pt idx="13" formatCode="@">
                  <c:v>2039</c:v>
                </c:pt>
                <c:pt idx="14" formatCode="@">
                  <c:v>2040</c:v>
                </c:pt>
                <c:pt idx="15" formatCode="@">
                  <c:v>2041</c:v>
                </c:pt>
                <c:pt idx="16" formatCode="@">
                  <c:v>2042</c:v>
                </c:pt>
                <c:pt idx="17" formatCode="@">
                  <c:v>2043</c:v>
                </c:pt>
                <c:pt idx="18" formatCode="@">
                  <c:v>2044</c:v>
                </c:pt>
                <c:pt idx="19" formatCode="@">
                  <c:v>2045</c:v>
                </c:pt>
                <c:pt idx="20" formatCode="@">
                  <c:v>2046</c:v>
                </c:pt>
                <c:pt idx="21" formatCode="@">
                  <c:v>2047</c:v>
                </c:pt>
                <c:pt idx="22" formatCode="@">
                  <c:v>2048</c:v>
                </c:pt>
                <c:pt idx="23" formatCode="@">
                  <c:v>2049</c:v>
                </c:pt>
                <c:pt idx="24" formatCode="@">
                  <c:v>2050</c:v>
                </c:pt>
                <c:pt idx="25" formatCode="@">
                  <c:v>2051</c:v>
                </c:pt>
                <c:pt idx="26" formatCode="@">
                  <c:v>2052</c:v>
                </c:pt>
                <c:pt idx="27" formatCode="@">
                  <c:v>2053</c:v>
                </c:pt>
                <c:pt idx="28" formatCode="@">
                  <c:v>2054</c:v>
                </c:pt>
                <c:pt idx="29" formatCode="@">
                  <c:v>2055</c:v>
                </c:pt>
                <c:pt idx="30" formatCode="@">
                  <c:v>2056</c:v>
                </c:pt>
                <c:pt idx="31" formatCode="@">
                  <c:v>2057</c:v>
                </c:pt>
                <c:pt idx="32" formatCode="@">
                  <c:v>2058</c:v>
                </c:pt>
                <c:pt idx="33" formatCode="@">
                  <c:v>2059</c:v>
                </c:pt>
                <c:pt idx="34" formatCode="@">
                  <c:v>2060</c:v>
                </c:pt>
                <c:pt idx="35" formatCode="@">
                  <c:v>2061</c:v>
                </c:pt>
              </c:numCache>
            </c:numRef>
          </c:cat>
          <c:val>
            <c:numRef>
              <c:f>Платежі!$B$65:$AK$65</c:f>
              <c:numCache>
                <c:formatCode>0.00</c:formatCode>
                <c:ptCount val="36"/>
                <c:pt idx="0">
                  <c:v>433.61041998379761</c:v>
                </c:pt>
                <c:pt idx="1">
                  <c:v>521.59317399999998</c:v>
                </c:pt>
                <c:pt idx="2">
                  <c:v>275.87303828372995</c:v>
                </c:pt>
                <c:pt idx="3">
                  <c:v>316.65545152848</c:v>
                </c:pt>
                <c:pt idx="4">
                  <c:v>57.046453681000003</c:v>
                </c:pt>
                <c:pt idx="5">
                  <c:v>58.191050511589999</c:v>
                </c:pt>
                <c:pt idx="6">
                  <c:v>58.030951522480002</c:v>
                </c:pt>
                <c:pt idx="7">
                  <c:v>52.980116522480003</c:v>
                </c:pt>
                <c:pt idx="8">
                  <c:v>52.22999652248</c:v>
                </c:pt>
                <c:pt idx="9">
                  <c:v>64.069996522980006</c:v>
                </c:pt>
                <c:pt idx="10">
                  <c:v>83.921043999999995</c:v>
                </c:pt>
                <c:pt idx="11">
                  <c:v>132.09774400000001</c:v>
                </c:pt>
                <c:pt idx="12">
                  <c:v>27.097743999999999</c:v>
                </c:pt>
                <c:pt idx="13">
                  <c:v>27.097743999999999</c:v>
                </c:pt>
                <c:pt idx="14">
                  <c:v>27.097743999999999</c:v>
                </c:pt>
                <c:pt idx="15">
                  <c:v>12.097744</c:v>
                </c:pt>
                <c:pt idx="16">
                  <c:v>12.097744</c:v>
                </c:pt>
                <c:pt idx="17">
                  <c:v>12.097744</c:v>
                </c:pt>
                <c:pt idx="18">
                  <c:v>12.097744</c:v>
                </c:pt>
                <c:pt idx="19">
                  <c:v>12.097744</c:v>
                </c:pt>
                <c:pt idx="20">
                  <c:v>12.097744</c:v>
                </c:pt>
                <c:pt idx="21">
                  <c:v>12.097751000000001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70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4C-466D-8D10-97A577B37836}"/>
            </c:ext>
          </c:extLst>
        </c:ser>
        <c:ser>
          <c:idx val="1"/>
          <c:order val="1"/>
          <c:tx>
            <c:strRef>
              <c:f>Платежі!$A$66</c:f>
              <c:strCache>
                <c:ptCount val="1"/>
                <c:pt idx="0">
                  <c:v>Зовнішній борг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numRef>
              <c:f>Платежі!$B$1:$AK$1</c:f>
              <c:numCache>
                <c:formatCode>General</c:formatCode>
                <c:ptCount val="36"/>
                <c:pt idx="0">
                  <c:v>2026</c:v>
                </c:pt>
                <c:pt idx="1">
                  <c:v>2027</c:v>
                </c:pt>
                <c:pt idx="2" formatCode="@">
                  <c:v>2028</c:v>
                </c:pt>
                <c:pt idx="3" formatCode="@">
                  <c:v>2029</c:v>
                </c:pt>
                <c:pt idx="4" formatCode="@">
                  <c:v>2030</c:v>
                </c:pt>
                <c:pt idx="5" formatCode="@">
                  <c:v>2031</c:v>
                </c:pt>
                <c:pt idx="6" formatCode="@">
                  <c:v>2032</c:v>
                </c:pt>
                <c:pt idx="7" formatCode="@">
                  <c:v>2033</c:v>
                </c:pt>
                <c:pt idx="8" formatCode="@">
                  <c:v>2034</c:v>
                </c:pt>
                <c:pt idx="9" formatCode="@">
                  <c:v>2035</c:v>
                </c:pt>
                <c:pt idx="10" formatCode="@">
                  <c:v>2036</c:v>
                </c:pt>
                <c:pt idx="11" formatCode="@">
                  <c:v>2037</c:v>
                </c:pt>
                <c:pt idx="12" formatCode="@">
                  <c:v>2038</c:v>
                </c:pt>
                <c:pt idx="13" formatCode="@">
                  <c:v>2039</c:v>
                </c:pt>
                <c:pt idx="14" formatCode="@">
                  <c:v>2040</c:v>
                </c:pt>
                <c:pt idx="15" formatCode="@">
                  <c:v>2041</c:v>
                </c:pt>
                <c:pt idx="16" formatCode="@">
                  <c:v>2042</c:v>
                </c:pt>
                <c:pt idx="17" formatCode="@">
                  <c:v>2043</c:v>
                </c:pt>
                <c:pt idx="18" formatCode="@">
                  <c:v>2044</c:v>
                </c:pt>
                <c:pt idx="19" formatCode="@">
                  <c:v>2045</c:v>
                </c:pt>
                <c:pt idx="20" formatCode="@">
                  <c:v>2046</c:v>
                </c:pt>
                <c:pt idx="21" formatCode="@">
                  <c:v>2047</c:v>
                </c:pt>
                <c:pt idx="22" formatCode="@">
                  <c:v>2048</c:v>
                </c:pt>
                <c:pt idx="23" formatCode="@">
                  <c:v>2049</c:v>
                </c:pt>
                <c:pt idx="24" formatCode="@">
                  <c:v>2050</c:v>
                </c:pt>
                <c:pt idx="25" formatCode="@">
                  <c:v>2051</c:v>
                </c:pt>
                <c:pt idx="26" formatCode="@">
                  <c:v>2052</c:v>
                </c:pt>
                <c:pt idx="27" formatCode="@">
                  <c:v>2053</c:v>
                </c:pt>
                <c:pt idx="28" formatCode="@">
                  <c:v>2054</c:v>
                </c:pt>
                <c:pt idx="29" formatCode="@">
                  <c:v>2055</c:v>
                </c:pt>
                <c:pt idx="30" formatCode="@">
                  <c:v>2056</c:v>
                </c:pt>
                <c:pt idx="31" formatCode="@">
                  <c:v>2057</c:v>
                </c:pt>
                <c:pt idx="32" formatCode="@">
                  <c:v>2058</c:v>
                </c:pt>
                <c:pt idx="33" formatCode="@">
                  <c:v>2059</c:v>
                </c:pt>
                <c:pt idx="34" formatCode="@">
                  <c:v>2060</c:v>
                </c:pt>
                <c:pt idx="35" formatCode="@">
                  <c:v>2061</c:v>
                </c:pt>
              </c:numCache>
            </c:numRef>
          </c:cat>
          <c:val>
            <c:numRef>
              <c:f>Платежі!$B$66:$AK$66</c:f>
              <c:numCache>
                <c:formatCode>0.00</c:formatCode>
                <c:ptCount val="36"/>
                <c:pt idx="0">
                  <c:v>128.96093852284949</c:v>
                </c:pt>
                <c:pt idx="1">
                  <c:v>151.96913259999999</c:v>
                </c:pt>
                <c:pt idx="2">
                  <c:v>135.33034132756686</c:v>
                </c:pt>
                <c:pt idx="3">
                  <c:v>272.58927322733513</c:v>
                </c:pt>
                <c:pt idx="4">
                  <c:v>287.1346042564619</c:v>
                </c:pt>
                <c:pt idx="5">
                  <c:v>300.78961435013775</c:v>
                </c:pt>
                <c:pt idx="6">
                  <c:v>264.70117820706002</c:v>
                </c:pt>
                <c:pt idx="7">
                  <c:v>182.087345531512</c:v>
                </c:pt>
                <c:pt idx="8">
                  <c:v>406.22917106558646</c:v>
                </c:pt>
                <c:pt idx="9">
                  <c:v>419.23519803539614</c:v>
                </c:pt>
                <c:pt idx="10">
                  <c:v>369.80940156610342</c:v>
                </c:pt>
                <c:pt idx="11">
                  <c:v>199.38824284040865</c:v>
                </c:pt>
                <c:pt idx="12">
                  <c:v>162.93473323945585</c:v>
                </c:pt>
                <c:pt idx="13">
                  <c:v>160.58312882037117</c:v>
                </c:pt>
                <c:pt idx="14">
                  <c:v>184.05620187164612</c:v>
                </c:pt>
                <c:pt idx="15">
                  <c:v>152.96950733050079</c:v>
                </c:pt>
                <c:pt idx="16">
                  <c:v>254.23808977843308</c:v>
                </c:pt>
                <c:pt idx="17">
                  <c:v>149.09649159730131</c:v>
                </c:pt>
                <c:pt idx="18">
                  <c:v>147.6170826385432</c:v>
                </c:pt>
                <c:pt idx="19">
                  <c:v>143.64223611756856</c:v>
                </c:pt>
                <c:pt idx="20">
                  <c:v>142.27810295966489</c:v>
                </c:pt>
                <c:pt idx="21">
                  <c:v>141.28406904682825</c:v>
                </c:pt>
                <c:pt idx="22">
                  <c:v>139.96862857901084</c:v>
                </c:pt>
                <c:pt idx="23">
                  <c:v>139.94439627963033</c:v>
                </c:pt>
                <c:pt idx="24">
                  <c:v>139.54890428297992</c:v>
                </c:pt>
                <c:pt idx="25">
                  <c:v>139.12262184002265</c:v>
                </c:pt>
                <c:pt idx="26">
                  <c:v>163.45107882607925</c:v>
                </c:pt>
                <c:pt idx="27">
                  <c:v>266.60683676721032</c:v>
                </c:pt>
                <c:pt idx="28">
                  <c:v>93.64466618005855</c:v>
                </c:pt>
                <c:pt idx="29">
                  <c:v>54.993148266213879</c:v>
                </c:pt>
                <c:pt idx="30">
                  <c:v>48.671440649382298</c:v>
                </c:pt>
                <c:pt idx="31">
                  <c:v>45.858801059226955</c:v>
                </c:pt>
                <c:pt idx="32">
                  <c:v>40.726733520458126</c:v>
                </c:pt>
                <c:pt idx="33">
                  <c:v>40.726733520458126</c:v>
                </c:pt>
                <c:pt idx="34">
                  <c:v>31.273931942126019</c:v>
                </c:pt>
                <c:pt idx="35">
                  <c:v>13.203367591948243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4C-466D-8D10-97A577B378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2073725232"/>
        <c:axId val="1995317184"/>
      </c:barChart>
      <c:catAx>
        <c:axId val="20737252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995317184"/>
        <c:crosses val="autoZero"/>
        <c:auto val="1"/>
        <c:lblAlgn val="ctr"/>
        <c:lblOffset val="100"/>
        <c:noMultiLvlLbl val="0"/>
      </c:catAx>
      <c:valAx>
        <c:axId val="1995317184"/>
        <c:scaling>
          <c:orientation val="minMax"/>
        </c:scaling>
        <c:delete val="0"/>
        <c:axPos val="l"/>
        <c:majorGridlines>
          <c:spPr>
            <a:ln w="9525" cap="sq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073725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7DC33-D4B9-4795-A0D4-93A778C81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528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ЧЕРНЯВСЬКИЙ Михайло Олександрович</dc:creator>
  <cp:keywords/>
  <dc:description/>
  <cp:lastModifiedBy>БАКЛАН Марина Юріївна</cp:lastModifiedBy>
  <cp:revision>4</cp:revision>
  <cp:lastPrinted>2026-08-04T16:30:00Z</cp:lastPrinted>
  <dcterms:created xsi:type="dcterms:W3CDTF">2026-10-08T08:29:00Z</dcterms:created>
  <dcterms:modified xsi:type="dcterms:W3CDTF">2026-10-08T09:01:00Z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4f55e546116a93a57bbd2ea4c1b849a2072fb0afa39d62065949bece90087919</vt:lpwstr>
  </property>
</Properties>
</file>