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9F" w:rsidRPr="00A45649" w:rsidRDefault="00B91E6A" w:rsidP="00A45649">
      <w:pPr>
        <w:jc w:val="center"/>
        <w:rPr>
          <w:rStyle w:val="font171"/>
          <w:b/>
          <w:bCs/>
        </w:rPr>
      </w:pPr>
      <w:r w:rsidRPr="00A45649">
        <w:rPr>
          <w:rStyle w:val="font171"/>
          <w:b/>
          <w:bCs/>
        </w:rPr>
        <w:t>АНАЛІЗ РЕГУЛЯТОРНОГО ВПЛИВУ</w:t>
      </w:r>
    </w:p>
    <w:p w:rsidR="007F5A05" w:rsidRPr="00477F0C" w:rsidRDefault="00E20DDE" w:rsidP="00A45649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  <w:r>
        <w:rPr>
          <w:rStyle w:val="font171"/>
          <w:b/>
        </w:rPr>
        <w:t>проє</w:t>
      </w:r>
      <w:r w:rsidR="00BF09A2" w:rsidRPr="00A45649">
        <w:rPr>
          <w:rStyle w:val="font171"/>
          <w:b/>
        </w:rPr>
        <w:t>кту</w:t>
      </w:r>
      <w:r w:rsidR="00BF09A2"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7A69" w:rsidRPr="00A45649">
        <w:rPr>
          <w:rFonts w:eastAsiaTheme="minorHAnsi"/>
          <w:b/>
          <w:sz w:val="28"/>
          <w:szCs w:val="28"/>
          <w:lang w:eastAsia="en-US"/>
        </w:rPr>
        <w:t xml:space="preserve">наказу Міністерства фінансів України </w:t>
      </w:r>
    </w:p>
    <w:p w:rsidR="00A06E31" w:rsidRPr="00A45649" w:rsidRDefault="00BF09A2" w:rsidP="00A45649">
      <w:pPr>
        <w:jc w:val="center"/>
        <w:rPr>
          <w:b/>
          <w:sz w:val="28"/>
          <w:szCs w:val="28"/>
        </w:rPr>
      </w:pPr>
      <w:r w:rsidRPr="00A45649">
        <w:rPr>
          <w:b/>
          <w:sz w:val="28"/>
          <w:szCs w:val="28"/>
          <w:lang w:eastAsia="ru-RU"/>
        </w:rPr>
        <w:t>«</w:t>
      </w:r>
      <w:r w:rsidR="007F5A05" w:rsidRPr="006C610A">
        <w:rPr>
          <w:b/>
          <w:sz w:val="28"/>
          <w:szCs w:val="28"/>
        </w:rPr>
        <w:t xml:space="preserve">Про </w:t>
      </w:r>
      <w:r w:rsidR="00D94CAC" w:rsidRPr="00D16000">
        <w:rPr>
          <w:b/>
          <w:sz w:val="28"/>
          <w:szCs w:val="28"/>
        </w:rPr>
        <w:t xml:space="preserve">внесення </w:t>
      </w:r>
      <w:r w:rsidR="00D94CAC">
        <w:rPr>
          <w:b/>
          <w:sz w:val="28"/>
          <w:szCs w:val="28"/>
        </w:rPr>
        <w:t>з</w:t>
      </w:r>
      <w:r w:rsidR="00D94CAC" w:rsidRPr="00D16000">
        <w:rPr>
          <w:b/>
          <w:sz w:val="28"/>
          <w:szCs w:val="28"/>
        </w:rPr>
        <w:t>мін до деяких нормативно-правових актів Міністерства фінансів України</w:t>
      </w:r>
      <w:r w:rsidR="00A06E31" w:rsidRPr="00A45649">
        <w:rPr>
          <w:b/>
          <w:iCs/>
          <w:sz w:val="28"/>
          <w:szCs w:val="28"/>
        </w:rPr>
        <w:t>»</w:t>
      </w:r>
    </w:p>
    <w:p w:rsidR="00871221" w:rsidRPr="0070189F" w:rsidRDefault="00871221" w:rsidP="00A45649"/>
    <w:p w:rsidR="00B91E6A" w:rsidRDefault="00B91E6A" w:rsidP="00A45649">
      <w:pPr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І. Визначення проблеми</w:t>
      </w:r>
    </w:p>
    <w:p w:rsidR="00871221" w:rsidRDefault="00871221" w:rsidP="00A45649"/>
    <w:p w:rsidR="005762FD" w:rsidRPr="005762FD" w:rsidRDefault="005762FD" w:rsidP="005762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Pr="005762FD">
        <w:rPr>
          <w:rFonts w:eastAsia="Times New Roman"/>
          <w:sz w:val="28"/>
          <w:szCs w:val="28"/>
          <w:lang w:eastAsia="ru-RU"/>
        </w:rPr>
        <w:t>ішення</w:t>
      </w:r>
      <w:r>
        <w:rPr>
          <w:rFonts w:eastAsia="Times New Roman"/>
          <w:sz w:val="28"/>
          <w:szCs w:val="28"/>
          <w:lang w:eastAsia="ru-RU"/>
        </w:rPr>
        <w:t>м</w:t>
      </w:r>
      <w:r w:rsidRPr="005762FD">
        <w:rPr>
          <w:rFonts w:eastAsia="Times New Roman"/>
          <w:sz w:val="28"/>
          <w:szCs w:val="28"/>
          <w:lang w:eastAsia="ru-RU"/>
        </w:rPr>
        <w:t xml:space="preserve"> Підкомітету Україна – ЄС з питань митного співробітництва </w:t>
      </w:r>
      <w:r w:rsidR="00E20DDE">
        <w:rPr>
          <w:rFonts w:eastAsia="Times New Roman"/>
          <w:sz w:val="28"/>
          <w:szCs w:val="28"/>
          <w:lang w:eastAsia="ru-RU"/>
        </w:rPr>
        <w:t xml:space="preserve">            </w:t>
      </w:r>
      <w:r w:rsidRPr="005762FD">
        <w:rPr>
          <w:rFonts w:eastAsia="Times New Roman"/>
          <w:sz w:val="28"/>
          <w:szCs w:val="28"/>
          <w:lang w:eastAsia="ru-RU"/>
        </w:rPr>
        <w:t>від 16 л</w:t>
      </w:r>
      <w:r>
        <w:rPr>
          <w:rFonts w:eastAsia="Times New Roman"/>
          <w:sz w:val="28"/>
          <w:szCs w:val="28"/>
          <w:lang w:eastAsia="ru-RU"/>
        </w:rPr>
        <w:t xml:space="preserve">истопада 2023 року № 1/2023 </w:t>
      </w:r>
      <w:proofErr w:type="spellStart"/>
      <w:r>
        <w:rPr>
          <w:rFonts w:eastAsia="Times New Roman"/>
          <w:sz w:val="28"/>
          <w:szCs w:val="28"/>
          <w:lang w:eastAsia="ru-RU"/>
        </w:rPr>
        <w:t>внесено</w:t>
      </w:r>
      <w:proofErr w:type="spellEnd"/>
      <w:r w:rsidRPr="005762FD">
        <w:rPr>
          <w:rFonts w:eastAsia="Times New Roman"/>
          <w:sz w:val="28"/>
          <w:szCs w:val="28"/>
          <w:lang w:eastAsia="ru-RU"/>
        </w:rPr>
        <w:t xml:space="preserve"> змін</w:t>
      </w:r>
      <w:r>
        <w:rPr>
          <w:rFonts w:eastAsia="Times New Roman"/>
          <w:sz w:val="28"/>
          <w:szCs w:val="28"/>
          <w:lang w:eastAsia="ru-RU"/>
        </w:rPr>
        <w:t>и</w:t>
      </w:r>
      <w:r w:rsidRPr="005762FD">
        <w:rPr>
          <w:rFonts w:eastAsia="Times New Roman"/>
          <w:sz w:val="28"/>
          <w:szCs w:val="28"/>
          <w:lang w:eastAsia="ru-RU"/>
        </w:rPr>
        <w:t xml:space="preserve"> до Протоколу </w:t>
      </w:r>
      <w:r w:rsidRPr="005762FD">
        <w:rPr>
          <w:rFonts w:eastAsia="Times New Roman"/>
          <w:sz w:val="28"/>
          <w:szCs w:val="28"/>
          <w:lang w:val="en-US" w:eastAsia="ru-RU"/>
        </w:rPr>
        <w:t>I</w:t>
      </w:r>
      <w:r w:rsidRPr="005762FD">
        <w:rPr>
          <w:rFonts w:eastAsia="Times New Roman"/>
          <w:sz w:val="28"/>
          <w:szCs w:val="28"/>
          <w:lang w:eastAsia="ru-RU"/>
        </w:rPr>
        <w:t xml:space="preserve"> «Щодо визначення концепції «походження товарів» і методів адміністративного співробітництва» (далі – Протокол I)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Угода). </w:t>
      </w:r>
    </w:p>
    <w:p w:rsidR="005762FD" w:rsidRPr="005762FD" w:rsidRDefault="005762FD" w:rsidP="005762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762FD">
        <w:rPr>
          <w:rFonts w:eastAsia="Times New Roman"/>
          <w:sz w:val="28"/>
          <w:szCs w:val="28"/>
          <w:lang w:eastAsia="ru-RU"/>
        </w:rPr>
        <w:t>Зазначене рішення Підкомітету опубліковано в Офіційному віснику України від 24 листопада 2023 ро</w:t>
      </w:r>
      <w:r w:rsidR="006E5749">
        <w:rPr>
          <w:rFonts w:eastAsia="Times New Roman"/>
          <w:sz w:val="28"/>
          <w:szCs w:val="28"/>
          <w:lang w:eastAsia="ru-RU"/>
        </w:rPr>
        <w:t>ку № 94 (</w:t>
      </w:r>
      <w:proofErr w:type="spellStart"/>
      <w:r w:rsidR="006E5749">
        <w:rPr>
          <w:rFonts w:eastAsia="Times New Roman"/>
          <w:sz w:val="28"/>
          <w:szCs w:val="28"/>
          <w:lang w:eastAsia="ru-RU"/>
        </w:rPr>
        <w:t>стор</w:t>
      </w:r>
      <w:proofErr w:type="spellEnd"/>
      <w:r w:rsidR="006E5749">
        <w:rPr>
          <w:rFonts w:eastAsia="Times New Roman"/>
          <w:sz w:val="28"/>
          <w:szCs w:val="28"/>
          <w:lang w:eastAsia="ru-RU"/>
        </w:rPr>
        <w:t>.</w:t>
      </w:r>
      <w:r w:rsidR="00E20DDE">
        <w:rPr>
          <w:rFonts w:eastAsia="Times New Roman"/>
          <w:sz w:val="28"/>
          <w:szCs w:val="28"/>
          <w:lang w:eastAsia="ru-RU"/>
        </w:rPr>
        <w:t xml:space="preserve"> </w:t>
      </w:r>
      <w:r w:rsidR="006E5749">
        <w:rPr>
          <w:rFonts w:eastAsia="Times New Roman"/>
          <w:sz w:val="28"/>
          <w:szCs w:val="28"/>
          <w:lang w:eastAsia="ru-RU"/>
        </w:rPr>
        <w:t>192) та застосовує</w:t>
      </w:r>
      <w:r w:rsidRPr="005762FD">
        <w:rPr>
          <w:rFonts w:eastAsia="Times New Roman"/>
          <w:sz w:val="28"/>
          <w:szCs w:val="28"/>
          <w:lang w:eastAsia="ru-RU"/>
        </w:rPr>
        <w:t xml:space="preserve">ться </w:t>
      </w:r>
      <w:r w:rsidR="006E5749">
        <w:rPr>
          <w:rFonts w:eastAsia="Times New Roman"/>
          <w:sz w:val="28"/>
          <w:szCs w:val="28"/>
          <w:lang w:eastAsia="ru-RU"/>
        </w:rPr>
        <w:t xml:space="preserve">               </w:t>
      </w:r>
      <w:r w:rsidR="00E20DDE">
        <w:rPr>
          <w:rFonts w:eastAsia="Times New Roman"/>
          <w:sz w:val="28"/>
          <w:szCs w:val="28"/>
          <w:lang w:eastAsia="ru-RU"/>
        </w:rPr>
        <w:t xml:space="preserve">з </w:t>
      </w:r>
      <w:r w:rsidRPr="005762FD">
        <w:rPr>
          <w:rFonts w:eastAsia="Times New Roman"/>
          <w:sz w:val="28"/>
          <w:szCs w:val="28"/>
          <w:lang w:eastAsia="ru-RU"/>
        </w:rPr>
        <w:t>1 грудня 2023 року.</w:t>
      </w:r>
    </w:p>
    <w:p w:rsidR="005762FD" w:rsidRPr="005762FD" w:rsidRDefault="005762FD" w:rsidP="005762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762FD">
        <w:rPr>
          <w:rFonts w:eastAsia="Times New Roman"/>
          <w:sz w:val="28"/>
          <w:szCs w:val="28"/>
          <w:lang w:eastAsia="ru-RU"/>
        </w:rPr>
        <w:t>Цим Рішенням оновлено Протокол I, яким передбачено, що товари користуються тарифними преференціями зі сплати мита та набувають преференційного походження з України або Європейського Сою</w:t>
      </w:r>
      <w:r>
        <w:rPr>
          <w:rFonts w:eastAsia="Times New Roman"/>
          <w:sz w:val="28"/>
          <w:szCs w:val="28"/>
          <w:lang w:eastAsia="ru-RU"/>
        </w:rPr>
        <w:t xml:space="preserve">зу відповідно до положень </w:t>
      </w:r>
      <w:r w:rsidRPr="005762FD">
        <w:rPr>
          <w:rFonts w:eastAsia="Times New Roman"/>
          <w:sz w:val="28"/>
          <w:szCs w:val="28"/>
          <w:lang w:eastAsia="ru-RU"/>
        </w:rPr>
        <w:t xml:space="preserve">зазначених </w:t>
      </w:r>
      <w:r w:rsidR="006E47B4">
        <w:rPr>
          <w:rFonts w:eastAsia="Times New Roman"/>
          <w:sz w:val="28"/>
          <w:szCs w:val="28"/>
          <w:lang w:eastAsia="ru-RU"/>
        </w:rPr>
        <w:t xml:space="preserve">нижче </w:t>
      </w:r>
      <w:r w:rsidRPr="005762FD">
        <w:rPr>
          <w:rFonts w:eastAsia="Times New Roman"/>
          <w:sz w:val="28"/>
          <w:szCs w:val="28"/>
          <w:lang w:eastAsia="ru-RU"/>
        </w:rPr>
        <w:t>преференційних правил походження:</w:t>
      </w:r>
    </w:p>
    <w:p w:rsidR="005762FD" w:rsidRPr="005762FD" w:rsidRDefault="005762FD" w:rsidP="005328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762FD">
        <w:rPr>
          <w:rFonts w:eastAsia="Times New Roman"/>
          <w:sz w:val="28"/>
          <w:szCs w:val="28"/>
          <w:lang w:eastAsia="ru-RU"/>
        </w:rPr>
        <w:t xml:space="preserve">Доповнення І та Доповнення ІІ до Регіональної конвенції про пан-євро-середземноморські преференційні правила походження, до якої Україна приєдналася згідно із Законом України від 08 листопада 2017 року </w:t>
      </w:r>
      <w:r w:rsidR="005328C6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Pr="005762FD">
        <w:rPr>
          <w:rFonts w:eastAsia="Times New Roman"/>
          <w:sz w:val="28"/>
          <w:szCs w:val="28"/>
          <w:lang w:eastAsia="ru-RU"/>
        </w:rPr>
        <w:t>№ 2187-VIII</w:t>
      </w:r>
      <w:r w:rsidR="005328C6">
        <w:rPr>
          <w:rFonts w:eastAsia="Times New Roman"/>
          <w:sz w:val="28"/>
          <w:szCs w:val="28"/>
          <w:lang w:eastAsia="ru-RU"/>
        </w:rPr>
        <w:t xml:space="preserve"> (далі – Конвенція)</w:t>
      </w:r>
      <w:r w:rsidRPr="005762FD">
        <w:rPr>
          <w:rFonts w:eastAsia="Times New Roman"/>
          <w:sz w:val="28"/>
          <w:szCs w:val="28"/>
          <w:lang w:eastAsia="ru-RU"/>
        </w:rPr>
        <w:t xml:space="preserve">; </w:t>
      </w:r>
    </w:p>
    <w:p w:rsidR="005762FD" w:rsidRPr="005762FD" w:rsidRDefault="005762FD" w:rsidP="005762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762FD">
        <w:rPr>
          <w:rFonts w:eastAsia="Times New Roman"/>
          <w:sz w:val="28"/>
          <w:szCs w:val="28"/>
          <w:lang w:eastAsia="ru-RU"/>
        </w:rPr>
        <w:t>або</w:t>
      </w:r>
    </w:p>
    <w:p w:rsidR="005762FD" w:rsidRDefault="005762FD" w:rsidP="005762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762FD">
        <w:rPr>
          <w:rFonts w:eastAsia="Times New Roman"/>
          <w:sz w:val="28"/>
          <w:szCs w:val="28"/>
          <w:lang w:eastAsia="ru-RU"/>
        </w:rPr>
        <w:t>Альтернативні правила походження, викладені у Доповненні А до Протоколу I (далі – Альтернативні правила).</w:t>
      </w:r>
    </w:p>
    <w:p w:rsidR="00B9066B" w:rsidRPr="005762FD" w:rsidRDefault="00B9066B" w:rsidP="00B9066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Альтернативні правила </w:t>
      </w:r>
      <w:r w:rsidR="00E20DDE">
        <w:rPr>
          <w:rFonts w:eastAsia="Times New Roman"/>
          <w:sz w:val="28"/>
          <w:szCs w:val="28"/>
          <w:lang w:eastAsia="ru-RU"/>
        </w:rPr>
        <w:t>порівняно</w:t>
      </w:r>
      <w:r w:rsidR="00D070AA">
        <w:rPr>
          <w:rFonts w:eastAsia="Times New Roman"/>
          <w:sz w:val="28"/>
          <w:szCs w:val="28"/>
          <w:lang w:eastAsia="ru-RU"/>
        </w:rPr>
        <w:t xml:space="preserve"> з правилами походження Конвенції </w:t>
      </w:r>
      <w:r>
        <w:rPr>
          <w:rFonts w:eastAsia="Times New Roman"/>
          <w:sz w:val="28"/>
          <w:szCs w:val="28"/>
          <w:lang w:eastAsia="ru-RU"/>
        </w:rPr>
        <w:t>міст</w:t>
      </w:r>
      <w:r w:rsidR="00D070AA">
        <w:rPr>
          <w:rFonts w:eastAsia="Times New Roman"/>
          <w:sz w:val="28"/>
          <w:szCs w:val="28"/>
          <w:lang w:eastAsia="ru-RU"/>
        </w:rPr>
        <w:t>ят</w:t>
      </w:r>
      <w:r w:rsidR="006A2014">
        <w:rPr>
          <w:rFonts w:eastAsia="Times New Roman"/>
          <w:sz w:val="28"/>
          <w:szCs w:val="28"/>
          <w:lang w:eastAsia="ru-RU"/>
        </w:rPr>
        <w:t>ь</w:t>
      </w:r>
      <w:r w:rsidR="00D070AA">
        <w:rPr>
          <w:rFonts w:eastAsia="Times New Roman"/>
          <w:sz w:val="28"/>
          <w:szCs w:val="28"/>
          <w:lang w:eastAsia="ru-RU"/>
        </w:rPr>
        <w:t xml:space="preserve"> новації та спрощення для суб’єктів господарювання щодо підтвердження преференційного походження товарів з України.</w:t>
      </w:r>
    </w:p>
    <w:p w:rsidR="005328C6" w:rsidRPr="009A7CC3" w:rsidRDefault="00AC60F9" w:rsidP="009A7CC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45649">
        <w:rPr>
          <w:rStyle w:val="font171"/>
        </w:rPr>
        <w:t xml:space="preserve">На сьогодні </w:t>
      </w:r>
      <w:r w:rsidR="005328C6">
        <w:rPr>
          <w:rStyle w:val="font171"/>
        </w:rPr>
        <w:t>митними органами</w:t>
      </w:r>
      <w:r w:rsidR="00946F93">
        <w:rPr>
          <w:rStyle w:val="font171"/>
        </w:rPr>
        <w:t xml:space="preserve"> із застосуванням вказаних преференційних правил походження </w:t>
      </w:r>
      <w:r w:rsidR="005328C6">
        <w:rPr>
          <w:rStyle w:val="font171"/>
        </w:rPr>
        <w:t xml:space="preserve">здійснюється підтримка експорту </w:t>
      </w:r>
      <w:r w:rsidR="006D6000">
        <w:rPr>
          <w:rStyle w:val="font171"/>
        </w:rPr>
        <w:t xml:space="preserve">(реекспорту) </w:t>
      </w:r>
      <w:r w:rsidR="005328C6">
        <w:rPr>
          <w:rStyle w:val="font171"/>
        </w:rPr>
        <w:t>товарів з України до країн Європейського Союзу шляхом видачі</w:t>
      </w:r>
      <w:r w:rsidR="005328C6">
        <w:rPr>
          <w:sz w:val="28"/>
          <w:szCs w:val="28"/>
        </w:rPr>
        <w:t xml:space="preserve"> сертифікатів</w:t>
      </w:r>
      <w:r w:rsidRPr="00A45649">
        <w:rPr>
          <w:sz w:val="28"/>
          <w:szCs w:val="28"/>
        </w:rPr>
        <w:t xml:space="preserve"> з перевезення (походження) товару</w:t>
      </w:r>
      <w:r w:rsidR="005352D4">
        <w:rPr>
          <w:sz w:val="28"/>
          <w:szCs w:val="28"/>
        </w:rPr>
        <w:t xml:space="preserve"> EUR.1</w:t>
      </w:r>
      <w:r w:rsidR="005328C6">
        <w:rPr>
          <w:sz w:val="28"/>
          <w:szCs w:val="28"/>
        </w:rPr>
        <w:t xml:space="preserve"> у Порядку, встановленому на</w:t>
      </w:r>
      <w:r w:rsidRPr="00A45649">
        <w:rPr>
          <w:sz w:val="28"/>
          <w:szCs w:val="28"/>
        </w:rPr>
        <w:t>казом Міністерства фінансів України від 02 березня 2021 року № 139</w:t>
      </w:r>
      <w:r w:rsidR="00946F93">
        <w:rPr>
          <w:sz w:val="28"/>
          <w:szCs w:val="28"/>
        </w:rPr>
        <w:t xml:space="preserve"> (далі – </w:t>
      </w:r>
      <w:r w:rsidR="006E5749">
        <w:rPr>
          <w:sz w:val="28"/>
          <w:szCs w:val="28"/>
        </w:rPr>
        <w:t xml:space="preserve">         </w:t>
      </w:r>
      <w:r w:rsidR="00946F93">
        <w:rPr>
          <w:sz w:val="28"/>
          <w:szCs w:val="28"/>
        </w:rPr>
        <w:t>наказ № 139)</w:t>
      </w:r>
      <w:r w:rsidR="005352D4">
        <w:rPr>
          <w:sz w:val="28"/>
          <w:szCs w:val="28"/>
        </w:rPr>
        <w:t>,</w:t>
      </w:r>
      <w:r w:rsidR="005328C6">
        <w:rPr>
          <w:sz w:val="28"/>
          <w:szCs w:val="28"/>
        </w:rPr>
        <w:t xml:space="preserve"> а також </w:t>
      </w:r>
      <w:r w:rsidR="00946F93">
        <w:rPr>
          <w:sz w:val="28"/>
          <w:szCs w:val="28"/>
        </w:rPr>
        <w:t xml:space="preserve">забезпечується відповідно до </w:t>
      </w:r>
      <w:r w:rsidR="00946F93" w:rsidRPr="008B7B9D">
        <w:rPr>
          <w:rStyle w:val="font171"/>
        </w:rPr>
        <w:t>наказ</w:t>
      </w:r>
      <w:r w:rsidR="00946F93">
        <w:rPr>
          <w:rStyle w:val="font171"/>
        </w:rPr>
        <w:t>у</w:t>
      </w:r>
      <w:r w:rsidR="00946F93" w:rsidRPr="008B7B9D">
        <w:rPr>
          <w:rStyle w:val="font171"/>
        </w:rPr>
        <w:t xml:space="preserve"> Міністерства фіна</w:t>
      </w:r>
      <w:r w:rsidR="00946F93">
        <w:rPr>
          <w:rStyle w:val="font171"/>
        </w:rPr>
        <w:t>нсів України від 07 жовтня 2014 </w:t>
      </w:r>
      <w:r w:rsidR="00946F93" w:rsidRPr="008B7B9D">
        <w:rPr>
          <w:rStyle w:val="font171"/>
        </w:rPr>
        <w:t>року № 1013 «Про затвердження Порядку надання та анулювання митницею статусу уповноваженого (схваленого) експортера</w:t>
      </w:r>
      <w:r w:rsidR="00946F93" w:rsidRPr="005762FD">
        <w:rPr>
          <w:rFonts w:eastAsia="Times New Roman"/>
          <w:sz w:val="28"/>
          <w:szCs w:val="28"/>
          <w:lang w:eastAsia="ru-RU"/>
        </w:rPr>
        <w:t>»</w:t>
      </w:r>
      <w:r w:rsidR="00946F93">
        <w:rPr>
          <w:rFonts w:eastAsia="Times New Roman"/>
          <w:sz w:val="28"/>
          <w:szCs w:val="28"/>
          <w:lang w:eastAsia="ru-RU"/>
        </w:rPr>
        <w:t xml:space="preserve"> (далі – наказ</w:t>
      </w:r>
      <w:r w:rsidR="009A7CC3">
        <w:rPr>
          <w:rFonts w:eastAsia="Times New Roman"/>
          <w:sz w:val="28"/>
          <w:szCs w:val="28"/>
          <w:lang w:eastAsia="ru-RU"/>
        </w:rPr>
        <w:t xml:space="preserve"> № 1013)</w:t>
      </w:r>
      <w:r w:rsidR="00946F93">
        <w:rPr>
          <w:sz w:val="28"/>
          <w:szCs w:val="28"/>
        </w:rPr>
        <w:t xml:space="preserve"> адміністрування в Україні інституту уповноважених (схвалених) експортерів, які мають можливість</w:t>
      </w:r>
      <w:r w:rsidR="00E20DDE">
        <w:rPr>
          <w:sz w:val="28"/>
          <w:szCs w:val="28"/>
        </w:rPr>
        <w:t xml:space="preserve"> без оформлення сертифіката</w:t>
      </w:r>
      <w:r w:rsidR="00946F93">
        <w:rPr>
          <w:sz w:val="28"/>
          <w:szCs w:val="28"/>
        </w:rPr>
        <w:t xml:space="preserve"> з перевезення товару EUR.1 самостійно декла</w:t>
      </w:r>
      <w:r w:rsidR="006E47B4">
        <w:rPr>
          <w:sz w:val="28"/>
          <w:szCs w:val="28"/>
        </w:rPr>
        <w:t>рувати преференційне походження</w:t>
      </w:r>
      <w:r w:rsidR="00946F93">
        <w:rPr>
          <w:sz w:val="28"/>
          <w:szCs w:val="28"/>
        </w:rPr>
        <w:t xml:space="preserve"> товарів на комерційних документах (інвойсах).</w:t>
      </w:r>
    </w:p>
    <w:p w:rsidR="005328C6" w:rsidRPr="005328C6" w:rsidRDefault="00E20DDE" w:rsidP="005328C6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Водночас</w:t>
      </w:r>
      <w:r w:rsidR="005328C6">
        <w:rPr>
          <w:rFonts w:eastAsia="Times New Roman"/>
          <w:sz w:val="28"/>
          <w:szCs w:val="28"/>
        </w:rPr>
        <w:t xml:space="preserve"> вказані </w:t>
      </w:r>
      <w:r w:rsidR="005328C6" w:rsidRPr="005328C6">
        <w:rPr>
          <w:rFonts w:eastAsia="Times New Roman"/>
          <w:sz w:val="28"/>
          <w:szCs w:val="28"/>
        </w:rPr>
        <w:t>нормативно-правові акти</w:t>
      </w:r>
      <w:r w:rsidR="005328C6">
        <w:rPr>
          <w:rFonts w:eastAsia="Times New Roman"/>
          <w:sz w:val="28"/>
          <w:szCs w:val="28"/>
        </w:rPr>
        <w:t xml:space="preserve"> Міністерства фінансів України </w:t>
      </w:r>
      <w:r w:rsidR="005328C6" w:rsidRPr="005328C6">
        <w:rPr>
          <w:rFonts w:eastAsia="Times New Roman"/>
          <w:sz w:val="28"/>
          <w:szCs w:val="28"/>
        </w:rPr>
        <w:t>з питань підтвердження преференційного походження товару з України</w:t>
      </w:r>
      <w:r w:rsidR="00946F93" w:rsidRPr="00946F93">
        <w:rPr>
          <w:rFonts w:eastAsia="Times New Roman"/>
          <w:sz w:val="28"/>
          <w:szCs w:val="28"/>
        </w:rPr>
        <w:t xml:space="preserve"> </w:t>
      </w:r>
      <w:r w:rsidR="00946F93">
        <w:rPr>
          <w:rFonts w:eastAsia="Times New Roman"/>
          <w:sz w:val="28"/>
          <w:szCs w:val="28"/>
        </w:rPr>
        <w:t xml:space="preserve">не містять </w:t>
      </w:r>
      <w:r w:rsidR="00946F93" w:rsidRPr="001621FE">
        <w:rPr>
          <w:rFonts w:eastAsia="Times New Roman"/>
          <w:sz w:val="28"/>
          <w:szCs w:val="28"/>
        </w:rPr>
        <w:t>посилань на</w:t>
      </w:r>
      <w:r w:rsidR="00946F93">
        <w:rPr>
          <w:rFonts w:eastAsia="Times New Roman"/>
          <w:sz w:val="28"/>
          <w:szCs w:val="28"/>
        </w:rPr>
        <w:t xml:space="preserve"> Альтернативні правила походження</w:t>
      </w:r>
      <w:r w:rsidR="005328C6" w:rsidRPr="005328C6">
        <w:rPr>
          <w:rFonts w:eastAsia="Times New Roman"/>
          <w:sz w:val="28"/>
          <w:szCs w:val="28"/>
        </w:rPr>
        <w:t xml:space="preserve">. </w:t>
      </w:r>
    </w:p>
    <w:p w:rsidR="006D6000" w:rsidRPr="006D6000" w:rsidRDefault="00946F93" w:rsidP="006D6000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Кр</w:t>
      </w:r>
      <w:r w:rsidR="00000227">
        <w:rPr>
          <w:sz w:val="28"/>
          <w:szCs w:val="28"/>
        </w:rPr>
        <w:t>ім того, наказами</w:t>
      </w:r>
      <w:r w:rsidR="009A7CC3">
        <w:rPr>
          <w:sz w:val="28"/>
          <w:szCs w:val="28"/>
        </w:rPr>
        <w:t xml:space="preserve"> № 139</w:t>
      </w:r>
      <w:r w:rsidR="00000227">
        <w:rPr>
          <w:sz w:val="28"/>
          <w:szCs w:val="28"/>
        </w:rPr>
        <w:t xml:space="preserve"> та № 1013</w:t>
      </w:r>
      <w:r w:rsidR="009A7CC3" w:rsidRPr="009A7CC3">
        <w:rPr>
          <w:rFonts w:eastAsiaTheme="minorHAnsi"/>
          <w:sz w:val="28"/>
          <w:szCs w:val="28"/>
          <w:lang w:eastAsia="en-US"/>
        </w:rPr>
        <w:t xml:space="preserve"> </w:t>
      </w:r>
      <w:r w:rsidR="009A7CC3">
        <w:rPr>
          <w:rFonts w:eastAsiaTheme="minorHAnsi"/>
          <w:sz w:val="28"/>
          <w:szCs w:val="28"/>
          <w:lang w:eastAsia="en-US"/>
        </w:rPr>
        <w:t xml:space="preserve">не визначено механізм заповнення </w:t>
      </w:r>
      <w:r w:rsidR="009A7CC3">
        <w:rPr>
          <w:rFonts w:eastAsiaTheme="minorHAnsi"/>
          <w:sz w:val="28"/>
          <w:szCs w:val="28"/>
          <w:lang w:eastAsia="en-US"/>
        </w:rPr>
        <w:lastRenderedPageBreak/>
        <w:t>с</w:t>
      </w:r>
      <w:r w:rsidR="009A7CC3" w:rsidRPr="009A7CC3">
        <w:rPr>
          <w:rFonts w:eastAsiaTheme="minorHAnsi"/>
          <w:sz w:val="28"/>
          <w:szCs w:val="28"/>
          <w:lang w:eastAsia="en-US"/>
        </w:rPr>
        <w:t>ертифікат</w:t>
      </w:r>
      <w:r w:rsidR="009A7CC3">
        <w:rPr>
          <w:rFonts w:eastAsiaTheme="minorHAnsi"/>
          <w:sz w:val="28"/>
          <w:szCs w:val="28"/>
          <w:lang w:eastAsia="en-US"/>
        </w:rPr>
        <w:t>а</w:t>
      </w:r>
      <w:r w:rsidR="009A7CC3" w:rsidRPr="009A7CC3">
        <w:rPr>
          <w:rFonts w:eastAsiaTheme="minorHAnsi"/>
          <w:sz w:val="28"/>
          <w:szCs w:val="28"/>
          <w:lang w:eastAsia="en-US"/>
        </w:rPr>
        <w:t xml:space="preserve"> з перевезення товару </w:t>
      </w:r>
      <w:r w:rsidR="009A7CC3" w:rsidRPr="009A7CC3">
        <w:rPr>
          <w:rFonts w:eastAsiaTheme="minorHAnsi"/>
          <w:sz w:val="28"/>
          <w:szCs w:val="28"/>
          <w:lang w:val="en-US" w:eastAsia="en-US"/>
        </w:rPr>
        <w:t>EUR</w:t>
      </w:r>
      <w:r w:rsidR="009A7CC3" w:rsidRPr="00000227">
        <w:rPr>
          <w:rFonts w:eastAsiaTheme="minorHAnsi"/>
          <w:sz w:val="28"/>
          <w:szCs w:val="28"/>
          <w:lang w:eastAsia="en-US"/>
        </w:rPr>
        <w:t>.1</w:t>
      </w:r>
      <w:r w:rsidR="009A7CC3" w:rsidRPr="009A7CC3">
        <w:rPr>
          <w:rFonts w:eastAsiaTheme="minorHAnsi"/>
          <w:sz w:val="28"/>
          <w:szCs w:val="28"/>
          <w:lang w:eastAsia="en-US"/>
        </w:rPr>
        <w:t xml:space="preserve"> </w:t>
      </w:r>
      <w:r w:rsidR="00000227">
        <w:rPr>
          <w:rFonts w:eastAsiaTheme="minorHAnsi"/>
          <w:sz w:val="28"/>
          <w:szCs w:val="28"/>
          <w:lang w:eastAsia="en-US"/>
        </w:rPr>
        <w:t>та надання підприємствам статусу</w:t>
      </w:r>
      <w:r w:rsidR="00000227" w:rsidRPr="00000227">
        <w:rPr>
          <w:rStyle w:val="font171"/>
        </w:rPr>
        <w:t xml:space="preserve"> </w:t>
      </w:r>
      <w:r w:rsidR="00000227" w:rsidRPr="008B7B9D">
        <w:rPr>
          <w:rStyle w:val="font171"/>
        </w:rPr>
        <w:t>уповноваженого (схваленого) експортера</w:t>
      </w:r>
      <w:r w:rsidR="00000227">
        <w:rPr>
          <w:rFonts w:eastAsiaTheme="minorHAnsi"/>
          <w:sz w:val="28"/>
          <w:szCs w:val="28"/>
          <w:lang w:eastAsia="en-US"/>
        </w:rPr>
        <w:t xml:space="preserve"> </w:t>
      </w:r>
      <w:r w:rsidR="009A7CC3" w:rsidRPr="009A7CC3">
        <w:rPr>
          <w:rFonts w:eastAsiaTheme="minorHAnsi"/>
          <w:sz w:val="28"/>
          <w:szCs w:val="28"/>
          <w:lang w:eastAsia="en-US"/>
        </w:rPr>
        <w:t>від</w:t>
      </w:r>
      <w:r w:rsidR="00FE4047">
        <w:rPr>
          <w:rFonts w:eastAsiaTheme="minorHAnsi"/>
          <w:sz w:val="28"/>
          <w:szCs w:val="28"/>
          <w:lang w:eastAsia="en-US"/>
        </w:rPr>
        <w:t xml:space="preserve">повідно до Альтернативних правил, </w:t>
      </w:r>
      <w:r w:rsidR="009A7CC3">
        <w:rPr>
          <w:rFonts w:eastAsiaTheme="minorHAnsi"/>
          <w:sz w:val="28"/>
          <w:szCs w:val="28"/>
          <w:lang w:eastAsia="en-US"/>
        </w:rPr>
        <w:t xml:space="preserve">не передбачено </w:t>
      </w:r>
      <w:r w:rsidR="00FE4047">
        <w:rPr>
          <w:rFonts w:eastAsiaTheme="minorHAnsi"/>
          <w:sz w:val="28"/>
          <w:szCs w:val="28"/>
          <w:lang w:eastAsia="en-US"/>
        </w:rPr>
        <w:t>при</w:t>
      </w:r>
      <w:r w:rsidR="00FE4047" w:rsidRPr="006D6000">
        <w:rPr>
          <w:rFonts w:eastAsiaTheme="minorHAnsi"/>
          <w:sz w:val="28"/>
          <w:szCs w:val="28"/>
          <w:lang w:eastAsia="en-US"/>
        </w:rPr>
        <w:t xml:space="preserve"> видачі сертифікатів з перевезення товару EUR.1</w:t>
      </w:r>
      <w:r w:rsidR="00FE4047">
        <w:rPr>
          <w:rFonts w:eastAsiaTheme="minorHAnsi"/>
          <w:sz w:val="28"/>
          <w:szCs w:val="28"/>
          <w:lang w:eastAsia="en-US"/>
        </w:rPr>
        <w:t xml:space="preserve"> </w:t>
      </w:r>
      <w:r w:rsidR="00E20DDE">
        <w:rPr>
          <w:rFonts w:eastAsiaTheme="minorHAnsi"/>
          <w:sz w:val="28"/>
          <w:szCs w:val="28"/>
          <w:lang w:eastAsia="en-US"/>
        </w:rPr>
        <w:t>процедури</w:t>
      </w:r>
      <w:r w:rsidR="006D6000">
        <w:rPr>
          <w:rFonts w:eastAsiaTheme="minorHAnsi"/>
          <w:sz w:val="28"/>
          <w:szCs w:val="28"/>
          <w:lang w:eastAsia="en-US"/>
        </w:rPr>
        <w:t xml:space="preserve"> </w:t>
      </w:r>
      <w:r w:rsidR="00FE4047">
        <w:rPr>
          <w:rFonts w:eastAsiaTheme="minorHAnsi"/>
          <w:sz w:val="28"/>
          <w:szCs w:val="28"/>
          <w:lang w:eastAsia="en-US"/>
        </w:rPr>
        <w:t xml:space="preserve">перевірки </w:t>
      </w:r>
      <w:r w:rsidR="006D6000" w:rsidRPr="006D6000">
        <w:rPr>
          <w:rFonts w:eastAsiaTheme="minorHAnsi"/>
          <w:sz w:val="28"/>
          <w:szCs w:val="28"/>
          <w:lang w:eastAsia="en-US"/>
        </w:rPr>
        <w:t xml:space="preserve">митними органами </w:t>
      </w:r>
      <w:r w:rsidR="00FE4047">
        <w:rPr>
          <w:rFonts w:eastAsiaTheme="minorHAnsi"/>
          <w:sz w:val="28"/>
          <w:szCs w:val="28"/>
          <w:lang w:eastAsia="en-US"/>
        </w:rPr>
        <w:t xml:space="preserve">наявності в експортера </w:t>
      </w:r>
      <w:r w:rsidR="006D6000" w:rsidRPr="006D6000">
        <w:rPr>
          <w:rFonts w:eastAsiaTheme="minorHAnsi"/>
          <w:sz w:val="28"/>
          <w:szCs w:val="28"/>
          <w:lang w:eastAsia="en-US"/>
        </w:rPr>
        <w:t>документів (відомостей) виробника товару, що підтверджують преференційне походження товарів з України</w:t>
      </w:r>
      <w:r w:rsidR="00FE4047">
        <w:rPr>
          <w:rFonts w:eastAsiaTheme="minorHAnsi"/>
          <w:sz w:val="28"/>
          <w:szCs w:val="28"/>
          <w:lang w:eastAsia="en-US"/>
        </w:rPr>
        <w:t xml:space="preserve"> та анулювання</w:t>
      </w:r>
      <w:r w:rsidR="006D6000" w:rsidRPr="006D6000">
        <w:rPr>
          <w:rFonts w:eastAsiaTheme="minorHAnsi"/>
          <w:sz w:val="28"/>
          <w:szCs w:val="28"/>
          <w:lang w:eastAsia="en-US"/>
        </w:rPr>
        <w:t xml:space="preserve"> </w:t>
      </w:r>
      <w:r w:rsidR="00000227" w:rsidRPr="006D6000">
        <w:rPr>
          <w:rFonts w:eastAsiaTheme="minorHAnsi"/>
          <w:sz w:val="28"/>
          <w:szCs w:val="28"/>
          <w:lang w:eastAsia="en-US"/>
        </w:rPr>
        <w:t>сертифікатів з перевезення товару EUR.1</w:t>
      </w:r>
      <w:r w:rsidR="00000227">
        <w:rPr>
          <w:rFonts w:eastAsiaTheme="minorHAnsi"/>
          <w:sz w:val="28"/>
          <w:szCs w:val="28"/>
          <w:lang w:eastAsia="en-US"/>
        </w:rPr>
        <w:t xml:space="preserve"> </w:t>
      </w:r>
      <w:r w:rsidR="006D6000" w:rsidRPr="006D6000">
        <w:rPr>
          <w:rFonts w:eastAsiaTheme="minorHAnsi"/>
          <w:sz w:val="28"/>
          <w:szCs w:val="28"/>
          <w:lang w:eastAsia="en-US"/>
        </w:rPr>
        <w:t>за заявою експортера</w:t>
      </w:r>
      <w:r w:rsidR="00000227">
        <w:rPr>
          <w:rFonts w:eastAsiaTheme="minorHAnsi"/>
          <w:sz w:val="28"/>
          <w:szCs w:val="28"/>
          <w:lang w:eastAsia="en-US"/>
        </w:rPr>
        <w:t xml:space="preserve"> з технічних причин</w:t>
      </w:r>
      <w:r w:rsidR="006D6000" w:rsidRPr="006D6000">
        <w:rPr>
          <w:rFonts w:eastAsiaTheme="minorHAnsi"/>
          <w:sz w:val="28"/>
          <w:szCs w:val="28"/>
          <w:lang w:eastAsia="en-US"/>
        </w:rPr>
        <w:t xml:space="preserve">. </w:t>
      </w:r>
    </w:p>
    <w:p w:rsidR="006317BC" w:rsidRPr="000220A7" w:rsidRDefault="009D0793" w:rsidP="000220A7">
      <w:pPr>
        <w:ind w:firstLine="567"/>
        <w:jc w:val="both"/>
        <w:rPr>
          <w:rStyle w:val="font171"/>
        </w:rPr>
      </w:pPr>
      <w:r w:rsidRPr="00A45649">
        <w:rPr>
          <w:rStyle w:val="font171"/>
        </w:rPr>
        <w:t>Такий механізм</w:t>
      </w:r>
      <w:r w:rsidR="000220A7">
        <w:rPr>
          <w:rStyle w:val="font171"/>
        </w:rPr>
        <w:t xml:space="preserve"> </w:t>
      </w:r>
      <w:r w:rsidR="003420A6">
        <w:rPr>
          <w:rStyle w:val="font171"/>
        </w:rPr>
        <w:t xml:space="preserve">не передбачає </w:t>
      </w:r>
      <w:r w:rsidR="000220A7" w:rsidRPr="000220A7">
        <w:rPr>
          <w:rStyle w:val="font171"/>
        </w:rPr>
        <w:t>видачу митними органами сертифікатів з перевезення товару EUR.1</w:t>
      </w:r>
      <w:r w:rsidR="006317BC" w:rsidRPr="000220A7">
        <w:rPr>
          <w:rStyle w:val="font171"/>
        </w:rPr>
        <w:t xml:space="preserve"> </w:t>
      </w:r>
      <w:r w:rsidR="000220A7" w:rsidRPr="000220A7">
        <w:rPr>
          <w:rStyle w:val="font171"/>
        </w:rPr>
        <w:t xml:space="preserve">із застосуванням </w:t>
      </w:r>
      <w:r w:rsidR="003420A6">
        <w:rPr>
          <w:rStyle w:val="font171"/>
        </w:rPr>
        <w:t xml:space="preserve">положень </w:t>
      </w:r>
      <w:r w:rsidR="000220A7" w:rsidRPr="000220A7">
        <w:rPr>
          <w:rStyle w:val="font171"/>
        </w:rPr>
        <w:t>Альтернативних правил, що ускладнює доступ товарів українського походження на зовнішні ринки на пільгових умовах оподаткування</w:t>
      </w:r>
      <w:r w:rsidR="00E20DDE">
        <w:rPr>
          <w:rStyle w:val="font171"/>
        </w:rPr>
        <w:t>,</w:t>
      </w:r>
      <w:r w:rsidR="000220A7" w:rsidRPr="000220A7">
        <w:rPr>
          <w:rStyle w:val="font171"/>
        </w:rPr>
        <w:t xml:space="preserve"> та не сприяє підвищенню рівня конкурентоспроможності вітчизняної продукції.</w:t>
      </w:r>
    </w:p>
    <w:p w:rsidR="009A7CC3" w:rsidRPr="009A7CC3" w:rsidRDefault="00B91E6A" w:rsidP="009A7CC3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5649">
        <w:rPr>
          <w:rStyle w:val="font171"/>
        </w:rPr>
        <w:t xml:space="preserve">Метою </w:t>
      </w:r>
      <w:r w:rsidR="00E23F06" w:rsidRPr="00A45649">
        <w:rPr>
          <w:rStyle w:val="font171"/>
        </w:rPr>
        <w:t>роз</w:t>
      </w:r>
      <w:r w:rsidR="005352D4">
        <w:rPr>
          <w:rStyle w:val="font171"/>
        </w:rPr>
        <w:t xml:space="preserve">роблення </w:t>
      </w:r>
      <w:bookmarkStart w:id="0" w:name="_GoBack"/>
      <w:r w:rsidR="00E20DDE">
        <w:rPr>
          <w:rStyle w:val="font171"/>
        </w:rPr>
        <w:t>проє</w:t>
      </w:r>
      <w:r w:rsidR="007A352A" w:rsidRPr="00A45649">
        <w:rPr>
          <w:rStyle w:val="font171"/>
        </w:rPr>
        <w:t>кт</w:t>
      </w:r>
      <w:bookmarkEnd w:id="0"/>
      <w:r w:rsidR="007A352A" w:rsidRPr="00A45649">
        <w:rPr>
          <w:rStyle w:val="font171"/>
        </w:rPr>
        <w:t>у наказу</w:t>
      </w:r>
      <w:r w:rsidR="005352D4" w:rsidRPr="005352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52D4" w:rsidRPr="005352D4">
        <w:rPr>
          <w:rFonts w:eastAsiaTheme="minorHAnsi"/>
          <w:sz w:val="28"/>
          <w:szCs w:val="28"/>
          <w:lang w:eastAsia="en-US"/>
        </w:rPr>
        <w:t xml:space="preserve">Міністерства фінансів України </w:t>
      </w:r>
      <w:r w:rsidR="005352D4" w:rsidRPr="009A7CC3">
        <w:rPr>
          <w:rStyle w:val="font171"/>
        </w:rPr>
        <w:t>«</w:t>
      </w:r>
      <w:r w:rsidR="00C143EA">
        <w:rPr>
          <w:rStyle w:val="font171"/>
        </w:rPr>
        <w:t xml:space="preserve">Про </w:t>
      </w:r>
      <w:r w:rsidR="00D94CAC" w:rsidRPr="00D94CAC">
        <w:rPr>
          <w:rStyle w:val="font171"/>
        </w:rPr>
        <w:t>внесення змін до деяких нормативно-правових актів Міністерства фінансів України</w:t>
      </w:r>
      <w:r w:rsidR="005352D4" w:rsidRPr="009A7CC3">
        <w:rPr>
          <w:rStyle w:val="font171"/>
        </w:rPr>
        <w:t>»</w:t>
      </w:r>
      <w:r w:rsidR="00D94CAC">
        <w:rPr>
          <w:rStyle w:val="font171"/>
        </w:rPr>
        <w:t xml:space="preserve"> </w:t>
      </w:r>
      <w:r w:rsidRPr="00A45649">
        <w:rPr>
          <w:rStyle w:val="font171"/>
        </w:rPr>
        <w:t>є</w:t>
      </w:r>
      <w:r w:rsidR="00B676F1" w:rsidRPr="00A45649">
        <w:rPr>
          <w:rStyle w:val="font141"/>
          <w:sz w:val="28"/>
          <w:szCs w:val="28"/>
        </w:rPr>
        <w:t xml:space="preserve"> </w:t>
      </w:r>
      <w:bookmarkStart w:id="1" w:name="bookmark15"/>
      <w:bookmarkEnd w:id="1"/>
      <w:r w:rsidR="009A7CC3">
        <w:rPr>
          <w:rStyle w:val="font171"/>
        </w:rPr>
        <w:t>забезпечення реалізації положень А</w:t>
      </w:r>
      <w:r w:rsidR="009A7CC3" w:rsidRPr="001A4EBA">
        <w:rPr>
          <w:rStyle w:val="font171"/>
        </w:rPr>
        <w:t>льтернативних правил походження, схвалених рішенням Підкомітету Україна – ЄС з питань митного співробітництва від 16 листопада 2023 року № 1/2023</w:t>
      </w:r>
      <w:r w:rsidR="006E5749">
        <w:rPr>
          <w:rStyle w:val="font171"/>
        </w:rPr>
        <w:t>,</w:t>
      </w:r>
      <w:r w:rsidR="009A7CC3">
        <w:rPr>
          <w:rStyle w:val="font171"/>
        </w:rPr>
        <w:t xml:space="preserve"> шляхом </w:t>
      </w:r>
      <w:r w:rsidR="009A7CC3">
        <w:rPr>
          <w:rFonts w:eastAsia="Times New Roman"/>
          <w:sz w:val="28"/>
          <w:szCs w:val="28"/>
        </w:rPr>
        <w:t>актуалізації</w:t>
      </w:r>
      <w:r w:rsidR="009A7CC3" w:rsidRPr="009A7CC3">
        <w:rPr>
          <w:rFonts w:eastAsia="Times New Roman"/>
          <w:sz w:val="28"/>
          <w:szCs w:val="28"/>
        </w:rPr>
        <w:t xml:space="preserve"> положень нормативно-правових актів</w:t>
      </w:r>
      <w:r w:rsidR="009A7CC3">
        <w:rPr>
          <w:rFonts w:eastAsia="Times New Roman"/>
          <w:sz w:val="28"/>
          <w:szCs w:val="28"/>
        </w:rPr>
        <w:t xml:space="preserve"> Міністерства фінансів України</w:t>
      </w:r>
      <w:r w:rsidR="009A7CC3" w:rsidRPr="009A7CC3">
        <w:rPr>
          <w:rFonts w:eastAsia="Times New Roman"/>
          <w:sz w:val="28"/>
          <w:szCs w:val="28"/>
        </w:rPr>
        <w:t xml:space="preserve"> з питань підтвердження преференційного </w:t>
      </w:r>
      <w:r w:rsidR="003420A6">
        <w:rPr>
          <w:rFonts w:eastAsia="Times New Roman"/>
          <w:sz w:val="28"/>
          <w:szCs w:val="28"/>
        </w:rPr>
        <w:t>походження товарів з України</w:t>
      </w:r>
      <w:r w:rsidR="009A7CC3">
        <w:rPr>
          <w:rFonts w:eastAsia="Times New Roman"/>
          <w:sz w:val="28"/>
          <w:szCs w:val="28"/>
        </w:rPr>
        <w:t>, а також</w:t>
      </w:r>
      <w:r w:rsidR="009A7CC3" w:rsidRPr="009A7CC3">
        <w:rPr>
          <w:rFonts w:eastAsiaTheme="minorHAnsi"/>
          <w:sz w:val="28"/>
          <w:szCs w:val="28"/>
          <w:lang w:eastAsia="en-US"/>
        </w:rPr>
        <w:t xml:space="preserve"> уточнення випадків анулювання митними органами сертифікатів з перевезення товару EUR.1 за заявою експортера</w:t>
      </w:r>
      <w:r w:rsidR="00FE4047">
        <w:rPr>
          <w:rFonts w:eastAsiaTheme="minorHAnsi"/>
          <w:sz w:val="28"/>
          <w:szCs w:val="28"/>
          <w:lang w:eastAsia="en-US"/>
        </w:rPr>
        <w:t xml:space="preserve"> з технічних причин та забезпечення достовірності декларування експортерами преференційного походження товарів з України</w:t>
      </w:r>
      <w:r w:rsidR="009A7CC3" w:rsidRPr="009A7CC3">
        <w:rPr>
          <w:rFonts w:eastAsiaTheme="minorHAnsi"/>
          <w:sz w:val="28"/>
          <w:szCs w:val="28"/>
          <w:lang w:eastAsia="en-US"/>
        </w:rPr>
        <w:t>.</w:t>
      </w:r>
    </w:p>
    <w:p w:rsidR="002B1D9E" w:rsidRDefault="002B1D9E" w:rsidP="00A45649">
      <w:pPr>
        <w:ind w:firstLine="567"/>
        <w:rPr>
          <w:rFonts w:eastAsiaTheme="minorHAnsi"/>
          <w:lang w:eastAsia="en-US"/>
        </w:rPr>
      </w:pPr>
      <w:r>
        <w:rPr>
          <w:rStyle w:val="font171"/>
        </w:rPr>
        <w:t>Основні групи (підгрупи), на які проблема справляє вплив: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134"/>
        <w:gridCol w:w="1085"/>
      </w:tblGrid>
      <w:tr w:rsidR="002B1D9E" w:rsidRPr="00691089" w:rsidTr="005A0374">
        <w:trPr>
          <w:tblHeader/>
          <w:jc w:val="center"/>
        </w:trPr>
        <w:tc>
          <w:tcPr>
            <w:tcW w:w="5672" w:type="dxa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Групи (підгрупи)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Так</w:t>
            </w:r>
          </w:p>
        </w:tc>
        <w:tc>
          <w:tcPr>
            <w:tcW w:w="1085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Ні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Громадяни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EB30EC" w:rsidRDefault="002B1D9E" w:rsidP="00A45649">
            <w:pPr>
              <w:rPr>
                <w:lang w:val="ru-RU"/>
              </w:rPr>
            </w:pPr>
            <w:r w:rsidRPr="00691089">
              <w:rPr>
                <w:rStyle w:val="font141"/>
                <w:sz w:val="24"/>
                <w:szCs w:val="24"/>
              </w:rPr>
              <w:t>у тому числі суб’єкти малого підприємництва</w:t>
            </w:r>
            <w:r w:rsidRPr="00EB30EC">
              <w:rPr>
                <w:rStyle w:val="font141"/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</w:tbl>
    <w:p w:rsidR="002B1D9E" w:rsidRDefault="002B1D9E" w:rsidP="005352D4">
      <w:pPr>
        <w:ind w:firstLine="567"/>
        <w:jc w:val="both"/>
        <w:rPr>
          <w:rStyle w:val="font171"/>
        </w:rPr>
      </w:pPr>
      <w:r w:rsidRPr="00EB30EC">
        <w:rPr>
          <w:rStyle w:val="font141"/>
          <w:sz w:val="24"/>
          <w:szCs w:val="24"/>
        </w:rPr>
        <w:t>* Питому вагу суб’єктів малого підприємництва зазначити неможливо, оскільки проблема однаково впливає на всіх суб’єктів господарювання незалежно від рівня доходу.</w:t>
      </w:r>
    </w:p>
    <w:p w:rsidR="008264C0" w:rsidRDefault="008264C0" w:rsidP="005352D4">
      <w:pPr>
        <w:ind w:firstLine="567"/>
        <w:jc w:val="both"/>
        <w:rPr>
          <w:rStyle w:val="font171"/>
        </w:rPr>
      </w:pPr>
    </w:p>
    <w:p w:rsidR="00C12599" w:rsidRDefault="00B91E6A" w:rsidP="00A45649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Врегулювання зазначеного питання не може бути здійснено за допомогою: </w:t>
      </w:r>
    </w:p>
    <w:p w:rsidR="00B91E6A" w:rsidRDefault="00B91E6A" w:rsidP="00A45649">
      <w:pPr>
        <w:ind w:firstLine="567"/>
        <w:jc w:val="both"/>
      </w:pPr>
      <w:r>
        <w:rPr>
          <w:rStyle w:val="font171"/>
        </w:rPr>
        <w:t>ринкових механізмів, оскільки такі питання регулюються виключно нормативно-правовим актом;</w:t>
      </w:r>
    </w:p>
    <w:p w:rsidR="00B91E6A" w:rsidRDefault="00B91E6A" w:rsidP="006E5749">
      <w:pPr>
        <w:ind w:firstLine="567"/>
        <w:jc w:val="both"/>
        <w:rPr>
          <w:rStyle w:val="font171"/>
        </w:rPr>
      </w:pPr>
      <w:r>
        <w:rPr>
          <w:rStyle w:val="font171"/>
        </w:rPr>
        <w:t>чинного регуляторного акта, оскільки він не дає змоги усунути зазначені проблеми.</w:t>
      </w:r>
    </w:p>
    <w:p w:rsidR="00A45649" w:rsidRDefault="00A45649" w:rsidP="00A45649">
      <w:pPr>
        <w:ind w:firstLine="567"/>
      </w:pPr>
    </w:p>
    <w:p w:rsidR="00B91E6A" w:rsidRDefault="00B91E6A" w:rsidP="00A45649">
      <w:pPr>
        <w:ind w:firstLine="567"/>
        <w:rPr>
          <w:rStyle w:val="font171"/>
          <w:b/>
          <w:bCs/>
        </w:rPr>
      </w:pPr>
      <w:bookmarkStart w:id="2" w:name="bookmark14"/>
      <w:bookmarkEnd w:id="2"/>
      <w:r>
        <w:rPr>
          <w:rStyle w:val="font171"/>
          <w:b/>
          <w:bCs/>
        </w:rPr>
        <w:t>II. Цілі державного регулювання</w:t>
      </w:r>
    </w:p>
    <w:p w:rsidR="00A45649" w:rsidRDefault="00A45649" w:rsidP="00A45649"/>
    <w:p w:rsidR="00027DF6" w:rsidRPr="00027DF6" w:rsidRDefault="00027DF6" w:rsidP="006D6000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>Цілями державного регулювання у цій сфері є</w:t>
      </w:r>
      <w:r w:rsidRPr="00027DF6">
        <w:rPr>
          <w:rStyle w:val="font171"/>
          <w:lang w:val="ru-RU"/>
        </w:rPr>
        <w:t>:</w:t>
      </w:r>
    </w:p>
    <w:p w:rsidR="006D6000" w:rsidRPr="00000227" w:rsidRDefault="006D6000" w:rsidP="006D6000">
      <w:pPr>
        <w:pStyle w:val="rvps2"/>
        <w:shd w:val="clear" w:color="auto" w:fill="FFFFFF"/>
        <w:spacing w:before="0" w:beforeAutospacing="0" w:after="0" w:afterAutospacing="0"/>
        <w:ind w:firstLine="603"/>
        <w:jc w:val="both"/>
        <w:rPr>
          <w:rFonts w:eastAsiaTheme="minorEastAsia"/>
          <w:sz w:val="28"/>
          <w:szCs w:val="28"/>
          <w:lang w:val="uk-UA" w:eastAsia="uk-UA"/>
        </w:rPr>
      </w:pPr>
      <w:r w:rsidRPr="00000227">
        <w:rPr>
          <w:rFonts w:eastAsiaTheme="minorEastAsia"/>
          <w:sz w:val="28"/>
          <w:szCs w:val="28"/>
          <w:lang w:val="uk-UA" w:eastAsia="uk-UA"/>
        </w:rPr>
        <w:t xml:space="preserve">реалізація положень Альтернативних правил походження, схвалених рішенням Підкомітету Україна – ЄС з питань митного співробітництва </w:t>
      </w:r>
      <w:r w:rsidR="006E5749">
        <w:rPr>
          <w:rFonts w:eastAsiaTheme="minorEastAsia"/>
          <w:sz w:val="28"/>
          <w:szCs w:val="28"/>
          <w:lang w:val="uk-UA" w:eastAsia="uk-UA"/>
        </w:rPr>
        <w:t xml:space="preserve">           </w:t>
      </w:r>
      <w:r w:rsidRPr="00000227">
        <w:rPr>
          <w:rFonts w:eastAsiaTheme="minorEastAsia"/>
          <w:sz w:val="28"/>
          <w:szCs w:val="28"/>
          <w:lang w:val="uk-UA" w:eastAsia="uk-UA"/>
        </w:rPr>
        <w:t>від 16 листопада 2023 року № 1/2023</w:t>
      </w:r>
      <w:r w:rsidR="006E5749">
        <w:rPr>
          <w:rFonts w:eastAsiaTheme="minorEastAsia"/>
          <w:sz w:val="28"/>
          <w:szCs w:val="28"/>
          <w:lang w:val="uk-UA" w:eastAsia="uk-UA"/>
        </w:rPr>
        <w:t>,</w:t>
      </w:r>
      <w:r w:rsidRPr="00000227">
        <w:rPr>
          <w:rFonts w:eastAsiaTheme="minorEastAsia"/>
          <w:sz w:val="28"/>
          <w:szCs w:val="28"/>
          <w:lang w:val="uk-UA" w:eastAsia="uk-UA"/>
        </w:rPr>
        <w:t xml:space="preserve"> можливість видачі сертифіката з перевезення товару EUR.1 </w:t>
      </w:r>
      <w:r w:rsidR="00000227" w:rsidRPr="00000227">
        <w:rPr>
          <w:rFonts w:eastAsiaTheme="minorEastAsia"/>
          <w:sz w:val="28"/>
          <w:szCs w:val="28"/>
          <w:lang w:val="uk-UA" w:eastAsia="uk-UA"/>
        </w:rPr>
        <w:t>та надання підприємствам статусу</w:t>
      </w:r>
      <w:r w:rsidR="00000227" w:rsidRPr="00000227">
        <w:rPr>
          <w:rFonts w:eastAsiaTheme="minorEastAsia"/>
          <w:lang w:val="uk-UA" w:eastAsia="uk-UA"/>
        </w:rPr>
        <w:t xml:space="preserve"> </w:t>
      </w:r>
      <w:r w:rsidR="00000227" w:rsidRPr="00000227">
        <w:rPr>
          <w:rFonts w:eastAsiaTheme="minorEastAsia"/>
          <w:sz w:val="28"/>
          <w:szCs w:val="28"/>
          <w:lang w:val="uk-UA" w:eastAsia="uk-UA"/>
        </w:rPr>
        <w:t xml:space="preserve">уповноваженого (схваленого) </w:t>
      </w:r>
      <w:r w:rsidR="00000227" w:rsidRPr="00000227">
        <w:rPr>
          <w:rFonts w:eastAsiaTheme="minorEastAsia"/>
          <w:sz w:val="28"/>
          <w:szCs w:val="28"/>
          <w:lang w:val="uk-UA" w:eastAsia="uk-UA"/>
        </w:rPr>
        <w:lastRenderedPageBreak/>
        <w:t xml:space="preserve">експортера </w:t>
      </w:r>
      <w:r w:rsidRPr="00000227">
        <w:rPr>
          <w:rFonts w:eastAsiaTheme="minorEastAsia"/>
          <w:sz w:val="28"/>
          <w:szCs w:val="28"/>
          <w:lang w:val="uk-UA" w:eastAsia="uk-UA"/>
        </w:rPr>
        <w:t>на умовах Альтернативних правил, які застосовуються у межах Угоди;</w:t>
      </w:r>
    </w:p>
    <w:p w:rsidR="00027DF6" w:rsidRPr="006D6000" w:rsidRDefault="00027DF6" w:rsidP="006D6000">
      <w:pPr>
        <w:ind w:firstLine="567"/>
        <w:jc w:val="both"/>
        <w:rPr>
          <w:rStyle w:val="font171"/>
        </w:rPr>
      </w:pPr>
      <w:r w:rsidRPr="006D6000">
        <w:rPr>
          <w:rStyle w:val="font171"/>
        </w:rPr>
        <w:t>встановлення процедури анулювання сертифіката</w:t>
      </w:r>
      <w:r w:rsidR="003420A6" w:rsidRPr="006D6000">
        <w:rPr>
          <w:rStyle w:val="font171"/>
        </w:rPr>
        <w:t xml:space="preserve"> за заявою експортера у</w:t>
      </w:r>
      <w:r w:rsidR="008D506E" w:rsidRPr="006D6000">
        <w:rPr>
          <w:rStyle w:val="font171"/>
        </w:rPr>
        <w:t xml:space="preserve"> випадку наявності</w:t>
      </w:r>
      <w:r w:rsidR="003420A6" w:rsidRPr="006D6000">
        <w:rPr>
          <w:rStyle w:val="font171"/>
        </w:rPr>
        <w:t xml:space="preserve"> </w:t>
      </w:r>
      <w:r w:rsidR="008D506E" w:rsidRPr="006D6000">
        <w:rPr>
          <w:rStyle w:val="font171"/>
        </w:rPr>
        <w:t>технічних помилок у відомостях, зазначених у сертифікаті EUR.1 або EUR-MED</w:t>
      </w:r>
      <w:r w:rsidR="006E5749">
        <w:rPr>
          <w:rStyle w:val="font171"/>
        </w:rPr>
        <w:t>,</w:t>
      </w:r>
      <w:r w:rsidR="008D506E" w:rsidRPr="006D6000">
        <w:rPr>
          <w:rStyle w:val="font171"/>
        </w:rPr>
        <w:t xml:space="preserve"> або зміни</w:t>
      </w:r>
      <w:r w:rsidR="006E5749">
        <w:rPr>
          <w:rStyle w:val="font171"/>
        </w:rPr>
        <w:t>,</w:t>
      </w:r>
      <w:r w:rsidR="008D506E" w:rsidRPr="006D6000">
        <w:rPr>
          <w:rStyle w:val="font171"/>
        </w:rPr>
        <w:t xml:space="preserve"> або відкликання</w:t>
      </w:r>
      <w:r w:rsidR="006E5749">
        <w:rPr>
          <w:rStyle w:val="font171"/>
        </w:rPr>
        <w:t>,</w:t>
      </w:r>
      <w:r w:rsidR="008D506E" w:rsidRPr="006D6000">
        <w:rPr>
          <w:rStyle w:val="font171"/>
        </w:rPr>
        <w:t xml:space="preserve"> або визнання недійсною митної декларації, оформле</w:t>
      </w:r>
      <w:r w:rsidR="006D6000">
        <w:rPr>
          <w:rStyle w:val="font171"/>
        </w:rPr>
        <w:t xml:space="preserve">ної у митному режимі експорту (реекспорту) </w:t>
      </w:r>
      <w:r w:rsidR="008D506E" w:rsidRPr="006D6000">
        <w:rPr>
          <w:rStyle w:val="font171"/>
        </w:rPr>
        <w:t>відповідно до ста</w:t>
      </w:r>
      <w:r w:rsidR="006D6000" w:rsidRPr="006D6000">
        <w:rPr>
          <w:rStyle w:val="font171"/>
        </w:rPr>
        <w:t>тті 269 Митного кодексу України</w:t>
      </w:r>
      <w:r w:rsidRPr="006D6000">
        <w:rPr>
          <w:rStyle w:val="font171"/>
        </w:rPr>
        <w:t>;</w:t>
      </w:r>
    </w:p>
    <w:p w:rsidR="00FE4047" w:rsidRDefault="00FE4047" w:rsidP="006D600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можливість перевірки </w:t>
      </w:r>
      <w:r w:rsidR="006D6000" w:rsidRPr="006D6000">
        <w:rPr>
          <w:rFonts w:eastAsiaTheme="minorHAnsi"/>
          <w:sz w:val="28"/>
          <w:szCs w:val="28"/>
          <w:lang w:eastAsia="en-US"/>
        </w:rPr>
        <w:t xml:space="preserve">митними органами </w:t>
      </w:r>
      <w:r>
        <w:rPr>
          <w:rFonts w:eastAsiaTheme="minorHAnsi"/>
          <w:sz w:val="28"/>
          <w:szCs w:val="28"/>
          <w:lang w:eastAsia="en-US"/>
        </w:rPr>
        <w:t>при</w:t>
      </w:r>
      <w:r w:rsidR="006D6000" w:rsidRPr="006D6000">
        <w:rPr>
          <w:rFonts w:eastAsiaTheme="minorHAnsi"/>
          <w:sz w:val="28"/>
          <w:szCs w:val="28"/>
          <w:lang w:eastAsia="en-US"/>
        </w:rPr>
        <w:t xml:space="preserve"> видачі сертифікатів з перевезення товару EUR.1</w:t>
      </w:r>
      <w:r w:rsidR="00000227" w:rsidRPr="00000227">
        <w:rPr>
          <w:rFonts w:eastAsiaTheme="minorHAnsi"/>
          <w:sz w:val="28"/>
          <w:szCs w:val="28"/>
          <w:lang w:eastAsia="en-US"/>
        </w:rPr>
        <w:t xml:space="preserve"> </w:t>
      </w:r>
      <w:r w:rsidR="00000227">
        <w:rPr>
          <w:rFonts w:eastAsiaTheme="minorHAnsi"/>
          <w:sz w:val="28"/>
          <w:szCs w:val="28"/>
          <w:lang w:eastAsia="en-US"/>
        </w:rPr>
        <w:t xml:space="preserve">наявності в експортера </w:t>
      </w:r>
      <w:r w:rsidR="00000227" w:rsidRPr="006D6000">
        <w:rPr>
          <w:rFonts w:eastAsiaTheme="minorHAnsi"/>
          <w:sz w:val="28"/>
          <w:szCs w:val="28"/>
          <w:lang w:eastAsia="en-US"/>
        </w:rPr>
        <w:t>документів (відомостей) виробника товару, що підтверджують преференційне походження товарів з України</w:t>
      </w:r>
      <w:r w:rsidR="006D6000" w:rsidRPr="006D6000">
        <w:rPr>
          <w:rFonts w:eastAsiaTheme="minorHAnsi"/>
          <w:sz w:val="28"/>
          <w:szCs w:val="28"/>
          <w:lang w:eastAsia="en-US"/>
        </w:rPr>
        <w:t>.</w:t>
      </w:r>
    </w:p>
    <w:p w:rsidR="00027DF6" w:rsidRDefault="00027DF6" w:rsidP="006D6000">
      <w:pPr>
        <w:ind w:firstLine="567"/>
        <w:jc w:val="both"/>
        <w:rPr>
          <w:rStyle w:val="font171"/>
          <w:b/>
          <w:bCs/>
        </w:rPr>
      </w:pPr>
    </w:p>
    <w:p w:rsidR="00B91E6A" w:rsidRDefault="00B91E6A" w:rsidP="00F906CB">
      <w:pPr>
        <w:ind w:firstLine="567"/>
        <w:rPr>
          <w:rStyle w:val="font171"/>
          <w:b/>
          <w:bCs/>
        </w:rPr>
      </w:pPr>
      <w:r>
        <w:rPr>
          <w:rStyle w:val="font171"/>
          <w:b/>
          <w:bCs/>
        </w:rPr>
        <w:t>III. Визначення та оцінка альтернативних способів досягнення цілей</w:t>
      </w:r>
    </w:p>
    <w:p w:rsidR="00F906CB" w:rsidRDefault="00F906CB" w:rsidP="00F906CB">
      <w:pPr>
        <w:ind w:firstLine="567"/>
        <w:rPr>
          <w:rStyle w:val="font171"/>
          <w:bCs/>
        </w:rPr>
      </w:pPr>
    </w:p>
    <w:p w:rsidR="00441950" w:rsidRDefault="00441950" w:rsidP="00F906CB">
      <w:pPr>
        <w:ind w:firstLine="567"/>
        <w:rPr>
          <w:rStyle w:val="font171"/>
        </w:rPr>
      </w:pPr>
      <w:r w:rsidRPr="00817C30">
        <w:rPr>
          <w:rStyle w:val="font171"/>
          <w:bCs/>
        </w:rPr>
        <w:t xml:space="preserve">1. </w:t>
      </w:r>
      <w:r w:rsidR="001C0D1D">
        <w:rPr>
          <w:rStyle w:val="font171"/>
        </w:rPr>
        <w:t>Визначення альтернативних способів</w:t>
      </w:r>
    </w:p>
    <w:p w:rsidR="005352D4" w:rsidRDefault="005352D4" w:rsidP="00F906CB">
      <w:pPr>
        <w:ind w:firstLine="567"/>
        <w:rPr>
          <w:rStyle w:val="font171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Опис альтернативи</w:t>
            </w:r>
          </w:p>
        </w:tc>
      </w:tr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5352D4">
            <w:pPr>
              <w:jc w:val="both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Залишити наказ Міністерства фінансів України без змін</w:t>
            </w:r>
          </w:p>
        </w:tc>
      </w:tr>
      <w:tr w:rsidR="00441950" w:rsidRPr="00441950" w:rsidTr="005352D4">
        <w:tc>
          <w:tcPr>
            <w:tcW w:w="2552" w:type="dxa"/>
            <w:vAlign w:val="center"/>
          </w:tcPr>
          <w:p w:rsidR="00441950" w:rsidRPr="00691089" w:rsidRDefault="00441950" w:rsidP="005352D4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6946" w:type="dxa"/>
            <w:vAlign w:val="center"/>
          </w:tcPr>
          <w:p w:rsidR="00441950" w:rsidRPr="00441950" w:rsidRDefault="008264C0" w:rsidP="00000227">
            <w:pPr>
              <w:jc w:val="both"/>
              <w:rPr>
                <w:rStyle w:val="font141"/>
                <w:sz w:val="24"/>
                <w:szCs w:val="24"/>
              </w:rPr>
            </w:pPr>
            <w:r>
              <w:rPr>
                <w:rStyle w:val="font141"/>
                <w:sz w:val="24"/>
                <w:szCs w:val="24"/>
              </w:rPr>
              <w:t xml:space="preserve">Прийняти </w:t>
            </w:r>
            <w:r w:rsidR="00E20DDE">
              <w:rPr>
                <w:rStyle w:val="font141"/>
                <w:sz w:val="24"/>
                <w:szCs w:val="24"/>
              </w:rPr>
              <w:t>проє</w:t>
            </w:r>
            <w:r w:rsidR="005352D4">
              <w:rPr>
                <w:rStyle w:val="font141"/>
                <w:sz w:val="24"/>
                <w:szCs w:val="24"/>
              </w:rPr>
              <w:t xml:space="preserve">кт </w:t>
            </w:r>
            <w:r>
              <w:rPr>
                <w:rStyle w:val="font141"/>
                <w:sz w:val="24"/>
                <w:szCs w:val="24"/>
              </w:rPr>
              <w:t>наказ</w:t>
            </w:r>
            <w:r w:rsidR="005352D4">
              <w:rPr>
                <w:rStyle w:val="font141"/>
                <w:sz w:val="24"/>
                <w:szCs w:val="24"/>
              </w:rPr>
              <w:t>у</w:t>
            </w:r>
            <w:r w:rsidR="00441950" w:rsidRPr="00691089">
              <w:rPr>
                <w:rStyle w:val="font141"/>
                <w:sz w:val="24"/>
                <w:szCs w:val="24"/>
              </w:rPr>
              <w:t xml:space="preserve"> Міністерства фінансів України «</w:t>
            </w:r>
            <w:r w:rsidR="00C143EA">
              <w:rPr>
                <w:rStyle w:val="font141"/>
                <w:sz w:val="24"/>
                <w:szCs w:val="24"/>
              </w:rPr>
              <w:t xml:space="preserve">Про </w:t>
            </w:r>
            <w:r w:rsidR="00C143EA" w:rsidRPr="00C143EA">
              <w:rPr>
                <w:rStyle w:val="font141"/>
                <w:sz w:val="24"/>
                <w:szCs w:val="24"/>
              </w:rPr>
              <w:t>внесення змін до деяких нормативно-правових актів Міністерства фінансів України</w:t>
            </w:r>
            <w:r w:rsidR="00441950" w:rsidRPr="00691089">
              <w:rPr>
                <w:rStyle w:val="font141"/>
                <w:sz w:val="24"/>
                <w:szCs w:val="24"/>
              </w:rPr>
              <w:t>»</w:t>
            </w:r>
          </w:p>
        </w:tc>
      </w:tr>
    </w:tbl>
    <w:p w:rsidR="008264C0" w:rsidRPr="005352D4" w:rsidRDefault="008264C0" w:rsidP="005352D4">
      <w:pPr>
        <w:jc w:val="both"/>
        <w:rPr>
          <w:rFonts w:eastAsia="Calibri"/>
          <w:lang w:eastAsia="en-US"/>
        </w:rPr>
      </w:pPr>
      <w:r w:rsidRPr="008264C0">
        <w:rPr>
          <w:rFonts w:eastAsia="Calibri"/>
          <w:sz w:val="27"/>
          <w:szCs w:val="27"/>
          <w:lang w:eastAsia="en-US"/>
        </w:rPr>
        <w:t xml:space="preserve">⃰⃰⃰⃰⃰⃰ </w:t>
      </w:r>
      <w:r w:rsidR="005352D4">
        <w:rPr>
          <w:rFonts w:eastAsia="Calibri"/>
          <w:lang w:eastAsia="en-US"/>
        </w:rPr>
        <w:t>І</w:t>
      </w:r>
      <w:r w:rsidRPr="005352D4">
        <w:rPr>
          <w:rFonts w:eastAsia="Calibri"/>
          <w:lang w:eastAsia="en-US"/>
        </w:rPr>
        <w:t xml:space="preserve">нших альтернативних способів досягнення основної </w:t>
      </w:r>
      <w:r w:rsidR="005352D4">
        <w:rPr>
          <w:rFonts w:eastAsia="Calibri"/>
          <w:lang w:eastAsia="en-US"/>
        </w:rPr>
        <w:t xml:space="preserve">мети, ніж прийняття зазначеного </w:t>
      </w:r>
      <w:r w:rsidRPr="005352D4">
        <w:rPr>
          <w:rFonts w:eastAsia="Calibri"/>
          <w:lang w:eastAsia="en-US"/>
        </w:rPr>
        <w:t>регуляторного акта, не існує.</w:t>
      </w:r>
    </w:p>
    <w:p w:rsidR="00441950" w:rsidRPr="005352D4" w:rsidRDefault="00441950" w:rsidP="00A45649">
      <w:pPr>
        <w:rPr>
          <w:rStyle w:val="font171"/>
        </w:rPr>
      </w:pPr>
    </w:p>
    <w:p w:rsidR="00441950" w:rsidRDefault="00441950" w:rsidP="00F906CB">
      <w:pPr>
        <w:ind w:firstLine="567"/>
        <w:rPr>
          <w:rStyle w:val="font171"/>
        </w:rPr>
      </w:pPr>
      <w:r>
        <w:rPr>
          <w:rStyle w:val="font171"/>
        </w:rPr>
        <w:t>2. Оцінка вибраних альтернативних способів досягнення цілей</w:t>
      </w:r>
    </w:p>
    <w:p w:rsidR="00441950" w:rsidRDefault="00441950" w:rsidP="00F906CB">
      <w:pPr>
        <w:ind w:firstLine="567"/>
        <w:rPr>
          <w:rStyle w:val="font171"/>
        </w:rPr>
      </w:pPr>
    </w:p>
    <w:p w:rsidR="00441950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2.1. </w:t>
      </w:r>
      <w:r w:rsidR="00441950" w:rsidRPr="00EB30EC">
        <w:rPr>
          <w:rStyle w:val="font171"/>
        </w:rPr>
        <w:t>Оцінка впливу на сферу інтересів держави</w:t>
      </w:r>
      <w:r>
        <w:rPr>
          <w:rStyle w:val="font171"/>
        </w:rPr>
        <w:t>.</w:t>
      </w:r>
    </w:p>
    <w:p w:rsidR="001C0D1D" w:rsidRPr="002F6265" w:rsidRDefault="001C0D1D" w:rsidP="00F906CB">
      <w:pPr>
        <w:ind w:firstLine="567"/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419"/>
        <w:gridCol w:w="4252"/>
        <w:gridCol w:w="2827"/>
      </w:tblGrid>
      <w:tr w:rsidR="00D070AA" w:rsidTr="00FD56D5">
        <w:trPr>
          <w:tblHeader/>
        </w:trPr>
        <w:tc>
          <w:tcPr>
            <w:tcW w:w="255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67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268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D070AA" w:rsidRPr="00FF426E" w:rsidTr="00FF426E">
        <w:tc>
          <w:tcPr>
            <w:tcW w:w="255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679" w:type="dxa"/>
            <w:vAlign w:val="center"/>
          </w:tcPr>
          <w:p w:rsidR="00441950" w:rsidRPr="005352D4" w:rsidRDefault="005352D4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>Залишаючи чинне</w:t>
            </w:r>
            <w:r w:rsidR="00441950" w:rsidRPr="005352D4">
              <w:rPr>
                <w:rFonts w:eastAsia="Calibri"/>
                <w:lang w:eastAsia="en-US"/>
              </w:rPr>
              <w:t xml:space="preserve"> регулю</w:t>
            </w:r>
            <w:r>
              <w:rPr>
                <w:rFonts w:eastAsia="Calibri"/>
                <w:lang w:eastAsia="en-US"/>
              </w:rPr>
              <w:t>вання без змін, вигоди відсутні</w:t>
            </w:r>
          </w:p>
        </w:tc>
        <w:tc>
          <w:tcPr>
            <w:tcW w:w="2268" w:type="dxa"/>
            <w:vAlign w:val="center"/>
          </w:tcPr>
          <w:p w:rsidR="00AF04CA" w:rsidRPr="003E54FF" w:rsidRDefault="00FF426E" w:rsidP="00FF426E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1) Відсутність 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док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>ументів, що підтверджують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походження товарів з України</w:t>
            </w:r>
            <w:r w:rsidR="00E20DDE">
              <w:rPr>
                <w:rStyle w:val="font141"/>
                <w:sz w:val="24"/>
                <w:szCs w:val="24"/>
                <w:lang w:val="uk-UA" w:eastAsia="uk-UA"/>
              </w:rPr>
              <w:t>,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у разі якщо 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>експортер не є виробником товарів.</w:t>
            </w:r>
          </w:p>
          <w:p w:rsidR="00FF426E" w:rsidRPr="003E54FF" w:rsidRDefault="00FF426E" w:rsidP="00FF426E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>2) Неможливість пільгового режиму оподаткування</w:t>
            </w:r>
            <w:r w:rsidR="00000227">
              <w:rPr>
                <w:rStyle w:val="font141"/>
                <w:rFonts w:eastAsia="Times New Roman"/>
                <w:sz w:val="24"/>
                <w:szCs w:val="24"/>
              </w:rPr>
              <w:t xml:space="preserve"> товарів українського походження на умовах Альтернативних правил походження</w:t>
            </w:r>
            <w:r w:rsidR="00E20DDE">
              <w:rPr>
                <w:rStyle w:val="font141"/>
                <w:rFonts w:eastAsia="Times New Roman"/>
                <w:sz w:val="24"/>
                <w:szCs w:val="24"/>
              </w:rPr>
              <w:t>.</w:t>
            </w:r>
          </w:p>
          <w:p w:rsidR="00441950" w:rsidRPr="00E20DDE" w:rsidRDefault="00FF426E" w:rsidP="00FF426E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 w:rsidR="003E54FF" w:rsidRPr="00E20DDE">
              <w:rPr>
                <w:rStyle w:val="font141"/>
                <w:rFonts w:eastAsia="Times New Roman"/>
                <w:sz w:val="24"/>
                <w:szCs w:val="24"/>
              </w:rPr>
              <w:t xml:space="preserve">Негативний вплив на </w:t>
            </w:r>
            <w:r w:rsidRPr="00E20DDE">
              <w:rPr>
                <w:rStyle w:val="font141"/>
                <w:rFonts w:eastAsia="Times New Roman"/>
                <w:sz w:val="24"/>
                <w:szCs w:val="24"/>
              </w:rPr>
              <w:t>конкурентоспроможність товарів українського походження на зовнішніх ринках.</w:t>
            </w:r>
          </w:p>
          <w:p w:rsidR="00000227" w:rsidRPr="00000227" w:rsidRDefault="00000227" w:rsidP="00000227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E20DDE">
              <w:rPr>
                <w:rStyle w:val="font141"/>
                <w:sz w:val="24"/>
                <w:szCs w:val="24"/>
                <w:lang w:val="uk-UA" w:eastAsia="uk-UA"/>
              </w:rPr>
              <w:lastRenderedPageBreak/>
              <w:t xml:space="preserve">4) </w:t>
            </w:r>
            <w:r w:rsidRPr="00000227">
              <w:rPr>
                <w:rStyle w:val="font141"/>
                <w:sz w:val="24"/>
                <w:szCs w:val="24"/>
                <w:lang w:val="uk-UA" w:eastAsia="uk-UA"/>
              </w:rPr>
              <w:t>Відсутність процедури анулювання сертифікатів з перевезення товару EUR.1 за заявою експортера з технічних причин.</w:t>
            </w:r>
          </w:p>
          <w:p w:rsidR="00000227" w:rsidRPr="00E20DDE" w:rsidRDefault="00000227" w:rsidP="00000227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000227">
              <w:rPr>
                <w:rStyle w:val="font141"/>
                <w:sz w:val="24"/>
                <w:szCs w:val="24"/>
                <w:lang w:val="uk-UA" w:eastAsia="uk-UA"/>
              </w:rPr>
              <w:t>5)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 xml:space="preserve"> </w:t>
            </w:r>
            <w:r w:rsidRPr="00000227">
              <w:rPr>
                <w:rStyle w:val="font141"/>
                <w:sz w:val="24"/>
                <w:szCs w:val="24"/>
                <w:lang w:val="uk-UA" w:eastAsia="uk-UA"/>
              </w:rPr>
              <w:t xml:space="preserve">Неможливість використання 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>суб</w:t>
            </w:r>
            <w:r w:rsidR="00A56027">
              <w:rPr>
                <w:rStyle w:val="font141"/>
                <w:sz w:val="24"/>
                <w:szCs w:val="24"/>
                <w:lang w:val="uk-UA" w:eastAsia="uk-UA"/>
              </w:rPr>
              <w:t>’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>єктами господарювання</w:t>
            </w:r>
            <w:r w:rsidRPr="00000227">
              <w:rPr>
                <w:rStyle w:val="font141"/>
                <w:sz w:val="24"/>
                <w:szCs w:val="24"/>
                <w:lang w:val="uk-UA" w:eastAsia="uk-UA"/>
              </w:rPr>
              <w:t xml:space="preserve"> статусу уповноваженого (схваленого) експортера відповідно до Альтернативних правил</w:t>
            </w:r>
          </w:p>
        </w:tc>
      </w:tr>
      <w:tr w:rsidR="00D070AA" w:rsidRPr="00FF426E" w:rsidTr="00FF426E">
        <w:tc>
          <w:tcPr>
            <w:tcW w:w="255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679" w:type="dxa"/>
            <w:vAlign w:val="center"/>
          </w:tcPr>
          <w:p w:rsidR="00C53FFF" w:rsidRPr="005352D4" w:rsidRDefault="00441950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 xml:space="preserve">Вигоди високі, оскільки прийняття нового регуляторного акта </w:t>
            </w:r>
            <w:proofErr w:type="spellStart"/>
            <w:r w:rsidRPr="005352D4">
              <w:rPr>
                <w:rFonts w:eastAsia="Calibri"/>
                <w:lang w:eastAsia="en-US"/>
              </w:rPr>
              <w:t>надасть</w:t>
            </w:r>
            <w:proofErr w:type="spellEnd"/>
            <w:r w:rsidRPr="005352D4">
              <w:rPr>
                <w:rFonts w:eastAsia="Calibri"/>
                <w:lang w:eastAsia="en-US"/>
              </w:rPr>
              <w:t xml:space="preserve"> 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можливість </w:t>
            </w:r>
            <w:r w:rsidR="00C53FFF" w:rsidRPr="005352D4">
              <w:t>митним органам</w:t>
            </w:r>
            <w:r w:rsidR="00C53FFF" w:rsidRPr="005352D4">
              <w:rPr>
                <w:lang w:val="ru-RU"/>
              </w:rPr>
              <w:t>:</w:t>
            </w:r>
            <w:r w:rsidR="00C53FFF" w:rsidRPr="005352D4">
              <w:t xml:space="preserve"> </w:t>
            </w:r>
          </w:p>
          <w:p w:rsidR="00B9066B" w:rsidRDefault="00B9066B" w:rsidP="00F906CB">
            <w:pPr>
              <w:jc w:val="both"/>
              <w:rPr>
                <w:rStyle w:val="font141"/>
                <w:sz w:val="24"/>
                <w:szCs w:val="24"/>
              </w:rPr>
            </w:pPr>
            <w:r>
              <w:rPr>
                <w:rStyle w:val="font141"/>
                <w:sz w:val="24"/>
                <w:szCs w:val="24"/>
              </w:rPr>
              <w:t>вида</w:t>
            </w:r>
            <w:r w:rsidR="006E5749">
              <w:rPr>
                <w:rStyle w:val="font141"/>
                <w:sz w:val="24"/>
                <w:szCs w:val="24"/>
              </w:rPr>
              <w:t>вати сертифікати</w:t>
            </w:r>
            <w:r>
              <w:rPr>
                <w:rStyle w:val="font141"/>
                <w:sz w:val="24"/>
                <w:szCs w:val="24"/>
              </w:rPr>
              <w:t xml:space="preserve"> з перевезення товарів </w:t>
            </w:r>
            <w:r>
              <w:rPr>
                <w:rStyle w:val="font141"/>
                <w:sz w:val="24"/>
                <w:szCs w:val="24"/>
                <w:lang w:val="en-US"/>
              </w:rPr>
              <w:t>EUR</w:t>
            </w:r>
            <w:r w:rsidRPr="00B9066B">
              <w:rPr>
                <w:rStyle w:val="font141"/>
                <w:sz w:val="24"/>
                <w:szCs w:val="24"/>
                <w:lang w:val="ru-RU"/>
              </w:rPr>
              <w:t>.1</w:t>
            </w:r>
            <w:r>
              <w:rPr>
                <w:rStyle w:val="font141"/>
                <w:sz w:val="24"/>
                <w:szCs w:val="24"/>
              </w:rPr>
              <w:t xml:space="preserve"> </w:t>
            </w:r>
            <w:r w:rsidR="006E5749">
              <w:rPr>
                <w:rStyle w:val="font141"/>
                <w:sz w:val="24"/>
                <w:szCs w:val="24"/>
              </w:rPr>
              <w:t>та надавати</w:t>
            </w:r>
            <w:r w:rsidR="00D070AA">
              <w:rPr>
                <w:rStyle w:val="font141"/>
                <w:sz w:val="24"/>
                <w:szCs w:val="24"/>
              </w:rPr>
              <w:t xml:space="preserve"> суб’єктам господарювання</w:t>
            </w:r>
            <w:r w:rsidR="006E5749">
              <w:rPr>
                <w:rStyle w:val="font141"/>
                <w:rFonts w:eastAsia="Times New Roman"/>
                <w:sz w:val="24"/>
                <w:szCs w:val="24"/>
              </w:rPr>
              <w:t xml:space="preserve"> статус</w:t>
            </w:r>
            <w:r w:rsidR="00D070AA" w:rsidRPr="00000227">
              <w:rPr>
                <w:rStyle w:val="font141"/>
                <w:sz w:val="24"/>
                <w:szCs w:val="24"/>
              </w:rPr>
              <w:t xml:space="preserve"> уповноваженого (схваленого) експортера</w:t>
            </w:r>
            <w:r w:rsidR="00D070AA" w:rsidRPr="00000227"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Style w:val="font141"/>
                <w:sz w:val="24"/>
                <w:szCs w:val="24"/>
              </w:rPr>
              <w:t>на умовах Альтернативних правил</w:t>
            </w:r>
            <w:r w:rsidR="00D070AA" w:rsidRPr="00D070AA">
              <w:rPr>
                <w:rStyle w:val="font141"/>
                <w:sz w:val="24"/>
                <w:szCs w:val="24"/>
                <w:lang w:val="ru-RU"/>
              </w:rPr>
              <w:t>;</w:t>
            </w:r>
            <w:r>
              <w:rPr>
                <w:rStyle w:val="font141"/>
                <w:sz w:val="24"/>
                <w:szCs w:val="24"/>
              </w:rPr>
              <w:t xml:space="preserve"> </w:t>
            </w:r>
          </w:p>
          <w:p w:rsidR="00C53FFF" w:rsidRPr="005352D4" w:rsidRDefault="00C53FFF" w:rsidP="00F906CB">
            <w:pPr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5352D4">
              <w:rPr>
                <w:rStyle w:val="font141"/>
                <w:sz w:val="24"/>
                <w:szCs w:val="24"/>
              </w:rPr>
              <w:t>анулювати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</w:t>
            </w:r>
            <w:r w:rsidRPr="005352D4">
              <w:rPr>
                <w:rStyle w:val="font141"/>
                <w:sz w:val="24"/>
                <w:szCs w:val="24"/>
              </w:rPr>
              <w:t>сертифікат</w:t>
            </w:r>
            <w:r w:rsidR="00D070AA">
              <w:rPr>
                <w:rStyle w:val="font141"/>
                <w:sz w:val="24"/>
                <w:szCs w:val="24"/>
              </w:rPr>
              <w:t xml:space="preserve"> з перевезення товару </w:t>
            </w:r>
            <w:r w:rsidR="00D070AA">
              <w:rPr>
                <w:rStyle w:val="font141"/>
                <w:sz w:val="24"/>
                <w:szCs w:val="24"/>
                <w:lang w:val="en-US"/>
              </w:rPr>
              <w:t>EUR</w:t>
            </w:r>
            <w:r w:rsidR="00D070AA" w:rsidRPr="00D070AA">
              <w:rPr>
                <w:rStyle w:val="font141"/>
                <w:sz w:val="24"/>
                <w:szCs w:val="24"/>
                <w:lang w:val="ru-RU"/>
              </w:rPr>
              <w:t xml:space="preserve">.1 </w:t>
            </w:r>
            <w:r w:rsidR="00D070AA">
              <w:rPr>
                <w:rStyle w:val="font141"/>
                <w:sz w:val="24"/>
                <w:szCs w:val="24"/>
              </w:rPr>
              <w:t>за заявою експортера з технічних причин</w:t>
            </w:r>
            <w:r w:rsidRPr="005352D4">
              <w:rPr>
                <w:rStyle w:val="font141"/>
                <w:sz w:val="24"/>
                <w:szCs w:val="24"/>
                <w:lang w:val="ru-RU"/>
              </w:rPr>
              <w:t>;</w:t>
            </w:r>
          </w:p>
          <w:p w:rsidR="00441950" w:rsidRPr="005352D4" w:rsidRDefault="00C53FFF" w:rsidP="00D070AA">
            <w:pPr>
              <w:jc w:val="both"/>
            </w:pPr>
            <w:r w:rsidRPr="005352D4">
              <w:rPr>
                <w:rStyle w:val="font141"/>
                <w:sz w:val="24"/>
                <w:szCs w:val="24"/>
              </w:rPr>
              <w:t>забезпечити контроль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за достовірністю </w:t>
            </w:r>
            <w:r w:rsidR="00675645" w:rsidRPr="005352D4">
              <w:rPr>
                <w:rStyle w:val="font141"/>
                <w:sz w:val="24"/>
                <w:szCs w:val="24"/>
              </w:rPr>
              <w:t xml:space="preserve">декларування </w:t>
            </w:r>
            <w:r w:rsidR="00D070AA">
              <w:rPr>
                <w:rStyle w:val="font141"/>
                <w:sz w:val="24"/>
                <w:szCs w:val="24"/>
              </w:rPr>
              <w:t xml:space="preserve">експортерами, які не є виробниками товарів, </w:t>
            </w:r>
            <w:r w:rsidR="00A553BA" w:rsidRPr="005352D4">
              <w:rPr>
                <w:rStyle w:val="font141"/>
                <w:sz w:val="24"/>
                <w:szCs w:val="24"/>
              </w:rPr>
              <w:t>пре</w:t>
            </w:r>
            <w:r w:rsidR="00675645" w:rsidRPr="005352D4">
              <w:rPr>
                <w:rStyle w:val="font141"/>
                <w:sz w:val="24"/>
                <w:szCs w:val="24"/>
              </w:rPr>
              <w:t>ференційного</w:t>
            </w:r>
            <w:r w:rsidRPr="005352D4">
              <w:rPr>
                <w:rStyle w:val="font141"/>
                <w:sz w:val="24"/>
                <w:szCs w:val="24"/>
              </w:rPr>
              <w:t xml:space="preserve"> походження,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на які законодавством України встановлено </w:t>
            </w:r>
            <w:r w:rsidR="00B9066B">
              <w:rPr>
                <w:rStyle w:val="font141"/>
                <w:sz w:val="24"/>
                <w:szCs w:val="24"/>
              </w:rPr>
              <w:t>вивізне мито</w:t>
            </w:r>
          </w:p>
        </w:tc>
        <w:tc>
          <w:tcPr>
            <w:tcW w:w="2268" w:type="dxa"/>
            <w:vAlign w:val="center"/>
          </w:tcPr>
          <w:p w:rsidR="00441950" w:rsidRPr="00FF426E" w:rsidRDefault="00441950" w:rsidP="005352D4">
            <w:pPr>
              <w:jc w:val="center"/>
              <w:rPr>
                <w:rStyle w:val="font141"/>
                <w:rFonts w:eastAsia="Times New Roman"/>
                <w:sz w:val="24"/>
                <w:szCs w:val="24"/>
              </w:rPr>
            </w:pPr>
            <w:r w:rsidRPr="00FF426E">
              <w:rPr>
                <w:rStyle w:val="font141"/>
                <w:rFonts w:eastAsia="Times New Roman"/>
                <w:sz w:val="24"/>
                <w:szCs w:val="24"/>
              </w:rPr>
              <w:t>Додаткові витрати відсутні</w:t>
            </w:r>
          </w:p>
        </w:tc>
      </w:tr>
    </w:tbl>
    <w:p w:rsidR="00441950" w:rsidRDefault="00441950" w:rsidP="00F906CB">
      <w:pPr>
        <w:ind w:firstLine="567"/>
        <w:rPr>
          <w:rFonts w:eastAsia="Times New Roman"/>
          <w:vanish/>
        </w:rPr>
      </w:pPr>
    </w:p>
    <w:p w:rsidR="00441950" w:rsidRPr="00F906CB" w:rsidRDefault="001C0D1D" w:rsidP="00F906CB">
      <w:pPr>
        <w:ind w:firstLine="567"/>
        <w:jc w:val="both"/>
        <w:rPr>
          <w:rFonts w:eastAsia="Times New Roman"/>
          <w:vanish/>
          <w:sz w:val="28"/>
          <w:szCs w:val="28"/>
        </w:rPr>
      </w:pPr>
      <w:r w:rsidRPr="00F906CB">
        <w:rPr>
          <w:rFonts w:eastAsia="Times New Roman"/>
          <w:vanish/>
          <w:sz w:val="28"/>
          <w:szCs w:val="28"/>
        </w:rPr>
        <w:t xml:space="preserve">2.2. </w:t>
      </w:r>
      <w:r w:rsidR="00415218">
        <w:rPr>
          <w:rFonts w:eastAsia="Times New Roman"/>
          <w:vanish/>
          <w:sz w:val="28"/>
          <w:szCs w:val="28"/>
        </w:rPr>
        <w:t>Проє</w:t>
      </w:r>
      <w:r w:rsidR="00441950" w:rsidRPr="00F906CB">
        <w:rPr>
          <w:rFonts w:eastAsia="Times New Roman"/>
          <w:vanish/>
          <w:sz w:val="28"/>
          <w:szCs w:val="28"/>
        </w:rPr>
        <w:t>кт наказу не поширюється на сферу інтересів громадян.</w:t>
      </w:r>
    </w:p>
    <w:p w:rsidR="00A562AC" w:rsidRDefault="00A562AC" w:rsidP="00A45649">
      <w:pPr>
        <w:rPr>
          <w:rStyle w:val="font171"/>
        </w:rPr>
      </w:pPr>
    </w:p>
    <w:p w:rsidR="00441950" w:rsidRPr="008C05FC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2.3. </w:t>
      </w:r>
      <w:r w:rsidR="00441950">
        <w:rPr>
          <w:rStyle w:val="font171"/>
        </w:rPr>
        <w:t>Оцінка впливу на сферу інтересів суб’єктів господарювання</w:t>
      </w:r>
      <w:r>
        <w:rPr>
          <w:rStyle w:val="font171"/>
        </w:rPr>
        <w:t>.</w:t>
      </w:r>
    </w:p>
    <w:p w:rsidR="00F906CB" w:rsidRDefault="001C0D1D" w:rsidP="00E20DDE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 xml:space="preserve">За даними інформаційних систем Держмитслужби </w:t>
      </w:r>
      <w:r w:rsidR="00D75EF8" w:rsidRPr="00F906CB">
        <w:rPr>
          <w:rStyle w:val="font171"/>
        </w:rPr>
        <w:t xml:space="preserve">протягом </w:t>
      </w:r>
      <w:r w:rsidR="005352D4">
        <w:rPr>
          <w:rStyle w:val="font171"/>
        </w:rPr>
        <w:t xml:space="preserve">                      </w:t>
      </w:r>
      <w:r w:rsidR="00D75EF8" w:rsidRPr="00F906CB">
        <w:rPr>
          <w:rStyle w:val="font171"/>
        </w:rPr>
        <w:t>2023</w:t>
      </w:r>
      <w:r w:rsidR="00E20DDE">
        <w:rPr>
          <w:rStyle w:val="font171"/>
        </w:rPr>
        <w:t>–</w:t>
      </w:r>
      <w:r w:rsidR="00D070AA">
        <w:rPr>
          <w:rStyle w:val="font171"/>
        </w:rPr>
        <w:t xml:space="preserve">2024 </w:t>
      </w:r>
      <w:r w:rsidR="00D75EF8" w:rsidRPr="00F906CB">
        <w:rPr>
          <w:rStyle w:val="font171"/>
        </w:rPr>
        <w:t>років</w:t>
      </w:r>
      <w:r w:rsidR="00D070AA">
        <w:rPr>
          <w:rFonts w:eastAsia="Times New Roman"/>
          <w:sz w:val="28"/>
          <w:szCs w:val="28"/>
          <w:lang w:eastAsia="ru-RU"/>
        </w:rPr>
        <w:t xml:space="preserve"> станом на 01.06.2024</w:t>
      </w:r>
      <w:r w:rsidR="00D75EF8" w:rsidRPr="00F906CB">
        <w:rPr>
          <w:rFonts w:eastAsia="Times New Roman"/>
          <w:sz w:val="28"/>
          <w:szCs w:val="28"/>
          <w:lang w:eastAsia="ru-RU"/>
        </w:rPr>
        <w:t xml:space="preserve"> </w:t>
      </w:r>
      <w:r w:rsidR="00411838" w:rsidRPr="00F906CB">
        <w:rPr>
          <w:rFonts w:eastAsia="Times New Roman"/>
          <w:sz w:val="28"/>
          <w:szCs w:val="28"/>
          <w:lang w:eastAsia="ru-RU"/>
        </w:rPr>
        <w:t>експортні операції</w:t>
      </w:r>
      <w:r w:rsidR="00F906CB">
        <w:rPr>
          <w:rFonts w:eastAsia="Times New Roman"/>
          <w:sz w:val="28"/>
          <w:szCs w:val="28"/>
          <w:lang w:eastAsia="ru-RU"/>
        </w:rPr>
        <w:t xml:space="preserve"> </w:t>
      </w:r>
      <w:r w:rsidR="005E5665">
        <w:rPr>
          <w:rFonts w:eastAsia="Times New Roman"/>
          <w:sz w:val="28"/>
          <w:szCs w:val="28"/>
          <w:lang w:eastAsia="ru-RU"/>
        </w:rPr>
        <w:t>здійснено</w:t>
      </w:r>
      <w:r w:rsidR="005E5665" w:rsidRPr="00F906CB">
        <w:rPr>
          <w:rFonts w:eastAsia="Times New Roman"/>
          <w:sz w:val="28"/>
          <w:szCs w:val="28"/>
          <w:lang w:eastAsia="ru-RU"/>
        </w:rPr>
        <w:t xml:space="preserve"> </w:t>
      </w:r>
      <w:r w:rsidR="00E20DDE">
        <w:rPr>
          <w:rFonts w:eastAsia="Times New Roman"/>
          <w:sz w:val="28"/>
          <w:szCs w:val="28"/>
          <w:lang w:eastAsia="ru-RU"/>
        </w:rPr>
        <w:t xml:space="preserve">                      </w:t>
      </w:r>
      <w:r w:rsidR="005E5665">
        <w:rPr>
          <w:rStyle w:val="font171"/>
        </w:rPr>
        <w:t>7853</w:t>
      </w:r>
      <w:r w:rsidR="005E5665" w:rsidRPr="00F906CB">
        <w:rPr>
          <w:rStyle w:val="font171"/>
        </w:rPr>
        <w:t xml:space="preserve"> суб’єкт</w:t>
      </w:r>
      <w:r w:rsidR="005E5665">
        <w:rPr>
          <w:rStyle w:val="font171"/>
        </w:rPr>
        <w:t>ами</w:t>
      </w:r>
      <w:r w:rsidR="005E5665" w:rsidRPr="00F906CB">
        <w:rPr>
          <w:rStyle w:val="font171"/>
        </w:rPr>
        <w:t xml:space="preserve"> господарювання</w:t>
      </w:r>
      <w:r w:rsidR="005E5665">
        <w:rPr>
          <w:rFonts w:eastAsia="Times New Roman"/>
          <w:sz w:val="28"/>
          <w:szCs w:val="28"/>
          <w:lang w:eastAsia="ru-RU"/>
        </w:rPr>
        <w:t xml:space="preserve"> </w:t>
      </w:r>
      <w:r w:rsidR="00D070AA">
        <w:rPr>
          <w:rFonts w:eastAsia="Times New Roman"/>
          <w:sz w:val="28"/>
          <w:szCs w:val="28"/>
          <w:lang w:eastAsia="ru-RU"/>
        </w:rPr>
        <w:t xml:space="preserve">із застосуванням сертифікатів з перевезення товару </w:t>
      </w:r>
      <w:r w:rsidR="00D070AA">
        <w:rPr>
          <w:rFonts w:eastAsia="Times New Roman"/>
          <w:sz w:val="28"/>
          <w:szCs w:val="28"/>
          <w:lang w:val="en-US" w:eastAsia="ru-RU"/>
        </w:rPr>
        <w:t>EUR</w:t>
      </w:r>
      <w:r w:rsidR="00D070AA" w:rsidRPr="00E20DDE">
        <w:rPr>
          <w:rFonts w:eastAsia="Times New Roman"/>
          <w:sz w:val="28"/>
          <w:szCs w:val="28"/>
          <w:lang w:eastAsia="ru-RU"/>
        </w:rPr>
        <w:t>.1</w:t>
      </w:r>
      <w:r w:rsidR="005E5665" w:rsidRPr="00E20DDE">
        <w:rPr>
          <w:rFonts w:eastAsia="Times New Roman"/>
          <w:sz w:val="28"/>
          <w:szCs w:val="28"/>
          <w:lang w:eastAsia="ru-RU"/>
        </w:rPr>
        <w:t xml:space="preserve"> у </w:t>
      </w:r>
      <w:r w:rsidR="005E5665" w:rsidRPr="005E5665">
        <w:rPr>
          <w:rFonts w:eastAsia="Times New Roman"/>
          <w:sz w:val="28"/>
          <w:szCs w:val="28"/>
          <w:lang w:eastAsia="ru-RU"/>
        </w:rPr>
        <w:t>кількості</w:t>
      </w:r>
      <w:r w:rsidR="00E20DDE" w:rsidRPr="00E20DDE">
        <w:rPr>
          <w:rFonts w:eastAsia="Times New Roman"/>
          <w:sz w:val="28"/>
          <w:szCs w:val="28"/>
          <w:lang w:eastAsia="ru-RU"/>
        </w:rPr>
        <w:t xml:space="preserve"> 355 140 штук</w:t>
      </w:r>
      <w:r w:rsidR="005E5665" w:rsidRPr="00E20DDE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"/>
        <w:gridCol w:w="1277"/>
        <w:gridCol w:w="1384"/>
        <w:gridCol w:w="1568"/>
        <w:gridCol w:w="591"/>
        <w:gridCol w:w="902"/>
        <w:gridCol w:w="1225"/>
      </w:tblGrid>
      <w:tr w:rsidR="001C0D1D" w:rsidRPr="00300D46" w:rsidTr="00875A50">
        <w:tc>
          <w:tcPr>
            <w:tcW w:w="22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Показник</w:t>
            </w:r>
          </w:p>
        </w:tc>
        <w:tc>
          <w:tcPr>
            <w:tcW w:w="1560" w:type="dxa"/>
            <w:gridSpan w:val="2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Великі</w:t>
            </w:r>
          </w:p>
        </w:tc>
        <w:tc>
          <w:tcPr>
            <w:tcW w:w="138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Середні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Малі</w:t>
            </w:r>
          </w:p>
        </w:tc>
        <w:tc>
          <w:tcPr>
            <w:tcW w:w="1493" w:type="dxa"/>
            <w:gridSpan w:val="2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Мікро</w:t>
            </w:r>
          </w:p>
        </w:tc>
        <w:tc>
          <w:tcPr>
            <w:tcW w:w="1225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Разом</w:t>
            </w:r>
          </w:p>
        </w:tc>
      </w:tr>
      <w:tr w:rsidR="001C0D1D" w:rsidRPr="00300D46" w:rsidTr="00875A50">
        <w:tc>
          <w:tcPr>
            <w:tcW w:w="22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Кількість суб’єктів господарювання, що підпадають під дію регулювання одиниць</w:t>
            </w:r>
          </w:p>
        </w:tc>
        <w:tc>
          <w:tcPr>
            <w:tcW w:w="1560" w:type="dxa"/>
            <w:gridSpan w:val="2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852724" w:rsidRDefault="0085272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1384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85272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903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932E5D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5471</w:t>
            </w:r>
          </w:p>
        </w:tc>
        <w:tc>
          <w:tcPr>
            <w:tcW w:w="1493" w:type="dxa"/>
            <w:gridSpan w:val="2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85272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1366</w:t>
            </w:r>
          </w:p>
        </w:tc>
        <w:tc>
          <w:tcPr>
            <w:tcW w:w="1225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85272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7853</w:t>
            </w:r>
          </w:p>
        </w:tc>
      </w:tr>
      <w:tr w:rsidR="001C0D1D" w:rsidRPr="00300D46" w:rsidTr="00875A50">
        <w:tc>
          <w:tcPr>
            <w:tcW w:w="2268" w:type="dxa"/>
          </w:tcPr>
          <w:p w:rsidR="001C0D1D" w:rsidRPr="005352D4" w:rsidRDefault="005352D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Питома </w:t>
            </w:r>
            <w:r w:rsidR="00415218">
              <w:rPr>
                <w:rFonts w:eastAsia="Times New Roman"/>
                <w:lang w:eastAsia="ru-RU"/>
              </w:rPr>
              <w:t>вага</w:t>
            </w:r>
            <w:r w:rsidR="001C0D1D" w:rsidRPr="005352D4">
              <w:rPr>
                <w:rFonts w:eastAsia="Times New Roman"/>
                <w:lang w:eastAsia="ru-RU"/>
              </w:rPr>
              <w:t xml:space="preserve"> групи у загальній кількості, відсотків</w:t>
            </w:r>
          </w:p>
        </w:tc>
        <w:tc>
          <w:tcPr>
            <w:tcW w:w="1560" w:type="dxa"/>
            <w:gridSpan w:val="2"/>
          </w:tcPr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 відсоток</w:t>
            </w:r>
          </w:p>
        </w:tc>
        <w:tc>
          <w:tcPr>
            <w:tcW w:w="1384" w:type="dxa"/>
          </w:tcPr>
          <w:p w:rsidR="0007041B" w:rsidRPr="00852724" w:rsidRDefault="0085272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відсотків</w:t>
            </w:r>
          </w:p>
        </w:tc>
        <w:tc>
          <w:tcPr>
            <w:tcW w:w="1568" w:type="dxa"/>
          </w:tcPr>
          <w:p w:rsidR="0007041B" w:rsidRPr="005352D4" w:rsidRDefault="00932E5D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</w:t>
            </w:r>
            <w:r w:rsidR="00852724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493" w:type="dxa"/>
            <w:gridSpan w:val="2"/>
          </w:tcPr>
          <w:p w:rsidR="0007041B" w:rsidRPr="005352D4" w:rsidRDefault="00932E5D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 відсотків</w:t>
            </w:r>
          </w:p>
        </w:tc>
        <w:tc>
          <w:tcPr>
            <w:tcW w:w="1225" w:type="dxa"/>
          </w:tcPr>
          <w:p w:rsidR="0007041B" w:rsidRPr="005352D4" w:rsidRDefault="0007041B" w:rsidP="005367B0">
            <w:pPr>
              <w:jc w:val="center"/>
              <w:rPr>
                <w:rFonts w:eastAsia="Times New Roman"/>
                <w:lang w:val="en-US" w:eastAsia="ru-RU"/>
              </w:rPr>
            </w:pPr>
            <w:r w:rsidRPr="005352D4">
              <w:rPr>
                <w:rFonts w:eastAsia="Times New Roman"/>
                <w:lang w:val="en-US" w:eastAsia="ru-RU"/>
              </w:rPr>
              <w:t>X</w:t>
            </w:r>
          </w:p>
        </w:tc>
      </w:tr>
      <w:tr w:rsidR="00441950" w:rsidTr="00932E5D">
        <w:trPr>
          <w:tblHeader/>
        </w:trPr>
        <w:tc>
          <w:tcPr>
            <w:tcW w:w="2551" w:type="dxa"/>
            <w:gridSpan w:val="2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820" w:type="dxa"/>
            <w:gridSpan w:val="4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127" w:type="dxa"/>
            <w:gridSpan w:val="2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441950" w:rsidTr="00932E5D">
        <w:tc>
          <w:tcPr>
            <w:tcW w:w="2551" w:type="dxa"/>
            <w:gridSpan w:val="2"/>
            <w:vAlign w:val="center"/>
          </w:tcPr>
          <w:p w:rsidR="00441950" w:rsidRPr="00985801" w:rsidRDefault="00441950" w:rsidP="00F906CB">
            <w:pPr>
              <w:jc w:val="center"/>
              <w:rPr>
                <w:lang w:val="en-US"/>
              </w:rPr>
            </w:pPr>
            <w:r w:rsidRPr="00985801">
              <w:rPr>
                <w:rStyle w:val="font141"/>
                <w:sz w:val="24"/>
                <w:szCs w:val="24"/>
              </w:rPr>
              <w:t xml:space="preserve">Альтернатива </w:t>
            </w:r>
            <w:r w:rsidRPr="00985801">
              <w:rPr>
                <w:rStyle w:val="font141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gridSpan w:val="4"/>
            <w:vAlign w:val="center"/>
          </w:tcPr>
          <w:p w:rsidR="00441950" w:rsidRPr="00985801" w:rsidRDefault="00441950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У разі залишення чинного наказу без змін вигоди відсутні, оскільки проблема залишається невирішеною</w:t>
            </w:r>
          </w:p>
        </w:tc>
        <w:tc>
          <w:tcPr>
            <w:tcW w:w="2127" w:type="dxa"/>
            <w:gridSpan w:val="2"/>
            <w:vAlign w:val="center"/>
          </w:tcPr>
          <w:p w:rsidR="005A0374" w:rsidRPr="00D070AA" w:rsidRDefault="00644F00" w:rsidP="00644F00">
            <w:pPr>
              <w:ind w:firstLine="322"/>
              <w:jc w:val="both"/>
              <w:rPr>
                <w:rStyle w:val="font141"/>
                <w:sz w:val="24"/>
                <w:szCs w:val="24"/>
              </w:rPr>
            </w:pPr>
            <w:r w:rsidRPr="003E54FF">
              <w:rPr>
                <w:rStyle w:val="font141"/>
                <w:sz w:val="24"/>
                <w:szCs w:val="24"/>
              </w:rPr>
              <w:t xml:space="preserve">1) </w:t>
            </w:r>
            <w:r w:rsidR="00EB5657" w:rsidRPr="003E54FF">
              <w:rPr>
                <w:rStyle w:val="font141"/>
                <w:sz w:val="24"/>
                <w:szCs w:val="24"/>
              </w:rPr>
              <w:t xml:space="preserve">Витрати </w:t>
            </w:r>
            <w:r w:rsidR="005A0374" w:rsidRPr="003E54FF">
              <w:rPr>
                <w:rStyle w:val="font141"/>
                <w:sz w:val="24"/>
                <w:szCs w:val="24"/>
              </w:rPr>
              <w:t>фінансові</w:t>
            </w:r>
            <w:r w:rsidR="005A0374" w:rsidRPr="00D070AA">
              <w:rPr>
                <w:rStyle w:val="font141"/>
                <w:sz w:val="24"/>
                <w:szCs w:val="24"/>
              </w:rPr>
              <w:t xml:space="preserve"> </w:t>
            </w:r>
            <w:r w:rsidR="005A0374" w:rsidRPr="003E54FF">
              <w:rPr>
                <w:rStyle w:val="font141"/>
                <w:sz w:val="24"/>
                <w:szCs w:val="24"/>
              </w:rPr>
              <w:t>на</w:t>
            </w:r>
            <w:r w:rsidRPr="00D070AA">
              <w:rPr>
                <w:rStyle w:val="font141"/>
                <w:sz w:val="24"/>
                <w:szCs w:val="24"/>
              </w:rPr>
              <w:t xml:space="preserve"> </w:t>
            </w:r>
            <w:r w:rsidR="00EB5657" w:rsidRPr="003E54FF">
              <w:rPr>
                <w:rStyle w:val="font141"/>
                <w:sz w:val="24"/>
                <w:szCs w:val="24"/>
              </w:rPr>
              <w:t xml:space="preserve">сплату </w:t>
            </w:r>
            <w:r w:rsidR="00875A50">
              <w:rPr>
                <w:rStyle w:val="font141"/>
                <w:sz w:val="24"/>
                <w:szCs w:val="24"/>
              </w:rPr>
              <w:t xml:space="preserve">мита </w:t>
            </w:r>
            <w:r w:rsidR="00EB5657" w:rsidRPr="003E54FF">
              <w:rPr>
                <w:rStyle w:val="font141"/>
                <w:sz w:val="24"/>
                <w:szCs w:val="24"/>
              </w:rPr>
              <w:t xml:space="preserve">при </w:t>
            </w:r>
            <w:r w:rsidR="00EB5657" w:rsidRPr="003E54FF">
              <w:rPr>
                <w:rStyle w:val="font141"/>
                <w:sz w:val="24"/>
                <w:szCs w:val="24"/>
              </w:rPr>
              <w:lastRenderedPageBreak/>
              <w:t>імпорті в країнах призначення у зв’язку</w:t>
            </w:r>
            <w:r w:rsidR="00D070AA" w:rsidRPr="00D070AA">
              <w:rPr>
                <w:rStyle w:val="font141"/>
                <w:sz w:val="24"/>
                <w:szCs w:val="24"/>
              </w:rPr>
              <w:t xml:space="preserve"> </w:t>
            </w:r>
            <w:r w:rsidR="00D070AA">
              <w:rPr>
                <w:rStyle w:val="font141"/>
                <w:sz w:val="24"/>
                <w:szCs w:val="24"/>
              </w:rPr>
              <w:t>з відсутністю</w:t>
            </w:r>
            <w:r w:rsidR="00D070AA" w:rsidRPr="00D070AA">
              <w:rPr>
                <w:rStyle w:val="font141"/>
                <w:sz w:val="24"/>
                <w:szCs w:val="24"/>
              </w:rPr>
              <w:t>.</w:t>
            </w:r>
            <w:r w:rsidR="00EB5657" w:rsidRPr="003E54FF">
              <w:rPr>
                <w:rStyle w:val="font141"/>
                <w:sz w:val="24"/>
                <w:szCs w:val="24"/>
              </w:rPr>
              <w:t xml:space="preserve"> документів, що підтверджують походження товарів з України</w:t>
            </w:r>
            <w:r w:rsidR="00D070AA">
              <w:rPr>
                <w:rStyle w:val="font141"/>
                <w:sz w:val="24"/>
                <w:szCs w:val="24"/>
              </w:rPr>
              <w:t xml:space="preserve"> на умовах Альтернативних правил</w:t>
            </w:r>
            <w:r w:rsidRPr="00D070AA">
              <w:rPr>
                <w:rStyle w:val="font141"/>
                <w:sz w:val="24"/>
                <w:szCs w:val="24"/>
              </w:rPr>
              <w:t>.</w:t>
            </w:r>
          </w:p>
          <w:p w:rsidR="00441950" w:rsidRPr="00644F00" w:rsidRDefault="00644F00" w:rsidP="00644F00">
            <w:pPr>
              <w:ind w:firstLine="322"/>
              <w:jc w:val="both"/>
              <w:rPr>
                <w:color w:val="548DD4" w:themeColor="text2" w:themeTint="99"/>
              </w:rPr>
            </w:pP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2) </w:t>
            </w:r>
            <w:r w:rsidRPr="003E54FF">
              <w:rPr>
                <w:rStyle w:val="font141"/>
                <w:sz w:val="24"/>
                <w:szCs w:val="24"/>
              </w:rPr>
              <w:t>Часові затрати на оформлення товарів без документального підтверджен</w:t>
            </w:r>
            <w:r w:rsidR="00E20DDE">
              <w:rPr>
                <w:rStyle w:val="font141"/>
                <w:sz w:val="24"/>
                <w:szCs w:val="24"/>
              </w:rPr>
              <w:t>ня походження товарів з України</w:t>
            </w:r>
            <w:r w:rsidRPr="003E54FF">
              <w:rPr>
                <w:rStyle w:val="font141"/>
                <w:sz w:val="24"/>
                <w:szCs w:val="24"/>
              </w:rPr>
              <w:t xml:space="preserve"> </w:t>
            </w:r>
          </w:p>
        </w:tc>
      </w:tr>
      <w:tr w:rsidR="00441950" w:rsidTr="00932E5D">
        <w:tc>
          <w:tcPr>
            <w:tcW w:w="2551" w:type="dxa"/>
            <w:gridSpan w:val="2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820" w:type="dxa"/>
            <w:gridSpan w:val="4"/>
            <w:vAlign w:val="center"/>
          </w:tcPr>
          <w:p w:rsidR="001C0D1D" w:rsidRPr="00985801" w:rsidRDefault="00E20DDE" w:rsidP="00F906CB">
            <w:pPr>
              <w:jc w:val="both"/>
              <w:rPr>
                <w:rStyle w:val="font141"/>
                <w:sz w:val="24"/>
                <w:szCs w:val="24"/>
              </w:rPr>
            </w:pPr>
            <w:r>
              <w:t>Реалізація норм проє</w:t>
            </w:r>
            <w:r w:rsidR="00441950" w:rsidRPr="00985801">
              <w:t>кту наказу забезпечить</w:t>
            </w:r>
            <w:r w:rsidR="00DD5931" w:rsidRPr="00985801">
              <w:rPr>
                <w:lang w:val="ru-RU"/>
              </w:rPr>
              <w:t>:</w:t>
            </w:r>
            <w:r w:rsidR="00DD5931"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D070AA" w:rsidRDefault="00875A50" w:rsidP="00F906CB">
            <w:pPr>
              <w:jc w:val="both"/>
              <w:rPr>
                <w:rStyle w:val="font141"/>
                <w:sz w:val="24"/>
                <w:szCs w:val="24"/>
              </w:rPr>
            </w:pPr>
            <w:r>
              <w:rPr>
                <w:rStyle w:val="font141"/>
                <w:sz w:val="24"/>
                <w:szCs w:val="24"/>
              </w:rPr>
              <w:t xml:space="preserve">отримання суб’єктами господарювання </w:t>
            </w:r>
            <w:r w:rsidR="00D070AA">
              <w:rPr>
                <w:rStyle w:val="font141"/>
                <w:sz w:val="24"/>
                <w:szCs w:val="24"/>
              </w:rPr>
              <w:t xml:space="preserve"> сертифікатів з перевезення товарів </w:t>
            </w:r>
            <w:r w:rsidR="00D070AA">
              <w:rPr>
                <w:rStyle w:val="font141"/>
                <w:sz w:val="24"/>
                <w:szCs w:val="24"/>
                <w:lang w:val="en-US"/>
              </w:rPr>
              <w:t>EUR</w:t>
            </w:r>
            <w:r w:rsidR="00D070AA" w:rsidRPr="00B9066B">
              <w:rPr>
                <w:rStyle w:val="font141"/>
                <w:sz w:val="24"/>
                <w:szCs w:val="24"/>
                <w:lang w:val="ru-RU"/>
              </w:rPr>
              <w:t>.1</w:t>
            </w:r>
            <w:r w:rsidR="00D070AA">
              <w:rPr>
                <w:rStyle w:val="font141"/>
                <w:sz w:val="24"/>
                <w:szCs w:val="24"/>
              </w:rPr>
              <w:t xml:space="preserve"> </w:t>
            </w:r>
            <w:r>
              <w:rPr>
                <w:rStyle w:val="font141"/>
                <w:sz w:val="24"/>
                <w:szCs w:val="24"/>
              </w:rPr>
              <w:t xml:space="preserve">та </w:t>
            </w:r>
            <w:r w:rsidR="00D070AA" w:rsidRPr="00000227">
              <w:rPr>
                <w:rStyle w:val="font141"/>
                <w:rFonts w:eastAsia="Times New Roman"/>
                <w:sz w:val="24"/>
                <w:szCs w:val="24"/>
              </w:rPr>
              <w:t>статусу</w:t>
            </w:r>
            <w:r w:rsidR="00D070AA" w:rsidRPr="00000227">
              <w:rPr>
                <w:rStyle w:val="font141"/>
                <w:sz w:val="24"/>
                <w:szCs w:val="24"/>
              </w:rPr>
              <w:t xml:space="preserve"> уповноваженого (схваленого) експортера</w:t>
            </w:r>
            <w:r w:rsidR="00D070AA" w:rsidRPr="00000227"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 w:rsidR="00D070AA">
              <w:rPr>
                <w:rStyle w:val="font141"/>
                <w:sz w:val="24"/>
                <w:szCs w:val="24"/>
              </w:rPr>
              <w:t>на умовах Альтернативних правил</w:t>
            </w:r>
            <w:r w:rsidR="00D070AA" w:rsidRPr="00D070AA">
              <w:rPr>
                <w:rStyle w:val="font141"/>
                <w:sz w:val="24"/>
                <w:szCs w:val="24"/>
                <w:lang w:val="ru-RU"/>
              </w:rPr>
              <w:t>;</w:t>
            </w:r>
          </w:p>
          <w:p w:rsidR="00DD5931" w:rsidRPr="00985801" w:rsidRDefault="00DD5931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достовірність декларування</w:t>
            </w:r>
            <w:r w:rsidR="00875A50">
              <w:rPr>
                <w:rStyle w:val="font141"/>
                <w:sz w:val="24"/>
                <w:szCs w:val="24"/>
              </w:rPr>
              <w:t xml:space="preserve"> експортерами, які не є виробниками товарів,</w:t>
            </w:r>
            <w:r w:rsidRPr="00985801">
              <w:rPr>
                <w:rStyle w:val="font141"/>
                <w:sz w:val="24"/>
                <w:szCs w:val="24"/>
              </w:rPr>
              <w:t xml:space="preserve"> преференційного походження товару з України шляхом перевірки при видачі сертифіката документів про преференційне походження товарів з України</w:t>
            </w:r>
            <w:r w:rsidRPr="00985801">
              <w:rPr>
                <w:rStyle w:val="font141"/>
                <w:sz w:val="24"/>
                <w:szCs w:val="24"/>
                <w:lang w:val="ru-RU"/>
              </w:rPr>
              <w:t>;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441950" w:rsidRPr="00985801" w:rsidRDefault="00875A50" w:rsidP="00875A50">
            <w:pPr>
              <w:jc w:val="both"/>
            </w:pPr>
            <w:r>
              <w:rPr>
                <w:rStyle w:val="font141"/>
                <w:sz w:val="24"/>
                <w:szCs w:val="24"/>
              </w:rPr>
              <w:t xml:space="preserve">анулювання сертифікатів з перевезення товарів </w:t>
            </w:r>
            <w:r>
              <w:rPr>
                <w:rStyle w:val="font141"/>
                <w:sz w:val="24"/>
                <w:szCs w:val="24"/>
                <w:lang w:val="en-US"/>
              </w:rPr>
              <w:t>EUR</w:t>
            </w:r>
            <w:r w:rsidRPr="00875A50">
              <w:rPr>
                <w:rStyle w:val="font141"/>
                <w:sz w:val="24"/>
                <w:szCs w:val="24"/>
              </w:rPr>
              <w:t>.1</w:t>
            </w:r>
            <w:r>
              <w:rPr>
                <w:rStyle w:val="font141"/>
                <w:sz w:val="24"/>
                <w:szCs w:val="24"/>
              </w:rPr>
              <w:t xml:space="preserve"> за заявою</w:t>
            </w:r>
            <w:r w:rsidR="00DD5931" w:rsidRPr="00985801">
              <w:rPr>
                <w:rStyle w:val="font141"/>
                <w:sz w:val="24"/>
                <w:szCs w:val="24"/>
              </w:rPr>
              <w:t xml:space="preserve"> </w:t>
            </w:r>
            <w:r w:rsidR="00932E5D">
              <w:rPr>
                <w:rStyle w:val="font141"/>
                <w:sz w:val="24"/>
                <w:szCs w:val="24"/>
              </w:rPr>
              <w:t>експортера з те</w:t>
            </w:r>
            <w:r>
              <w:rPr>
                <w:rStyle w:val="font141"/>
                <w:sz w:val="24"/>
                <w:szCs w:val="24"/>
              </w:rPr>
              <w:t>хнічних причин</w:t>
            </w:r>
          </w:p>
        </w:tc>
        <w:tc>
          <w:tcPr>
            <w:tcW w:w="2127" w:type="dxa"/>
            <w:gridSpan w:val="2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FD56D5" w:rsidRDefault="00FD56D5" w:rsidP="00F906CB">
      <w:pPr>
        <w:ind w:firstLine="567"/>
        <w:jc w:val="center"/>
        <w:rPr>
          <w:rStyle w:val="font171"/>
          <w:b/>
          <w:bCs/>
          <w:lang w:val="en-US"/>
        </w:rPr>
      </w:pPr>
    </w:p>
    <w:p w:rsidR="00441950" w:rsidRDefault="00441950" w:rsidP="00F906CB">
      <w:pPr>
        <w:ind w:firstLine="567"/>
        <w:jc w:val="center"/>
      </w:pPr>
      <w:r>
        <w:rPr>
          <w:rStyle w:val="font171"/>
          <w:b/>
          <w:bCs/>
        </w:rPr>
        <w:t>IV. Вибір найбільш оптимального альтернативного способу</w:t>
      </w:r>
    </w:p>
    <w:p w:rsidR="00441950" w:rsidRDefault="00441950" w:rsidP="00F906CB">
      <w:pPr>
        <w:ind w:firstLine="567"/>
        <w:jc w:val="center"/>
        <w:rPr>
          <w:rStyle w:val="font171"/>
          <w:b/>
          <w:bCs/>
          <w:lang w:val="en-US"/>
        </w:rPr>
      </w:pPr>
      <w:r>
        <w:rPr>
          <w:rStyle w:val="font171"/>
          <w:b/>
          <w:bCs/>
        </w:rPr>
        <w:t>досягнення цілей</w:t>
      </w:r>
    </w:p>
    <w:p w:rsidR="00FD56D5" w:rsidRPr="00FD56D5" w:rsidRDefault="00FD56D5" w:rsidP="00F906CB">
      <w:pPr>
        <w:ind w:firstLine="567"/>
        <w:jc w:val="center"/>
        <w:rPr>
          <w:rStyle w:val="font171"/>
          <w:b/>
          <w:bCs/>
          <w:lang w:val="en-US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544"/>
      </w:tblGrid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 xml:space="preserve">Коментарі щодо присвоєння відповідного </w:t>
            </w:r>
            <w:proofErr w:type="spellStart"/>
            <w:r w:rsidRPr="00F906CB">
              <w:rPr>
                <w:rStyle w:val="font141"/>
                <w:b/>
                <w:sz w:val="24"/>
                <w:szCs w:val="24"/>
              </w:rPr>
              <w:t>бала</w:t>
            </w:r>
            <w:proofErr w:type="spellEnd"/>
          </w:p>
        </w:tc>
      </w:tr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Не дає змоги досягнути поставлених цілей державного регулювання</w:t>
            </w:r>
          </w:p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Проблема продовжує існувати</w:t>
            </w:r>
          </w:p>
        </w:tc>
      </w:tr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Цілі прийняття регуляторного акта можуть бути досягнуті повною мірою</w:t>
            </w:r>
          </w:p>
        </w:tc>
      </w:tr>
    </w:tbl>
    <w:p w:rsidR="00FD56D5" w:rsidRPr="00EE34A6" w:rsidRDefault="00FD56D5" w:rsidP="00A45649">
      <w:pPr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299"/>
        <w:gridCol w:w="2827"/>
        <w:gridCol w:w="2104"/>
      </w:tblGrid>
      <w:tr w:rsidR="00441950" w:rsidRPr="00985801" w:rsidTr="003E54FF">
        <w:trPr>
          <w:tblHeader/>
        </w:trPr>
        <w:tc>
          <w:tcPr>
            <w:tcW w:w="2268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lastRenderedPageBreak/>
              <w:t>Рейтинг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результативності</w:t>
            </w:r>
          </w:p>
        </w:tc>
        <w:tc>
          <w:tcPr>
            <w:tcW w:w="2299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(підсумок)</w:t>
            </w:r>
          </w:p>
        </w:tc>
        <w:tc>
          <w:tcPr>
            <w:tcW w:w="2104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299" w:type="dxa"/>
            <w:vAlign w:val="center"/>
          </w:tcPr>
          <w:p w:rsidR="00441950" w:rsidRPr="00985801" w:rsidRDefault="00952CDF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У разі залишення чинного регулювання без змін вигоди відсутні, оскільки проблема залишається </w:t>
            </w:r>
            <w:r w:rsidR="00985801" w:rsidRPr="00985801">
              <w:rPr>
                <w:rStyle w:val="font141"/>
                <w:sz w:val="24"/>
                <w:szCs w:val="24"/>
              </w:rPr>
              <w:t>невирішеною</w:t>
            </w:r>
          </w:p>
        </w:tc>
        <w:tc>
          <w:tcPr>
            <w:tcW w:w="2827" w:type="dxa"/>
            <w:vAlign w:val="center"/>
          </w:tcPr>
          <w:p w:rsidR="003E54FF" w:rsidRPr="003E54FF" w:rsidRDefault="003E54FF" w:rsidP="00932E5D">
            <w:pPr>
              <w:ind w:firstLine="3"/>
              <w:jc w:val="both"/>
              <w:rPr>
                <w:rStyle w:val="font141"/>
                <w:sz w:val="24"/>
                <w:szCs w:val="24"/>
              </w:rPr>
            </w:pPr>
            <w:r w:rsidRPr="003E54FF">
              <w:rPr>
                <w:rStyle w:val="font141"/>
                <w:sz w:val="24"/>
                <w:szCs w:val="24"/>
              </w:rPr>
              <w:t>Залишення чинним</w:t>
            </w:r>
            <w:r w:rsidR="00E20DDE">
              <w:rPr>
                <w:rStyle w:val="font141"/>
                <w:sz w:val="24"/>
                <w:szCs w:val="24"/>
              </w:rPr>
              <w:t>и нормативно-правових актів</w:t>
            </w:r>
            <w:r w:rsidR="00932E5D">
              <w:rPr>
                <w:rStyle w:val="font141"/>
                <w:sz w:val="24"/>
                <w:szCs w:val="24"/>
              </w:rPr>
              <w:t xml:space="preserve"> </w:t>
            </w:r>
            <w:r w:rsidRPr="003E54FF">
              <w:rPr>
                <w:rStyle w:val="font141"/>
                <w:sz w:val="24"/>
                <w:szCs w:val="24"/>
              </w:rPr>
              <w:t>буде мати такі негативні наслідки:</w:t>
            </w:r>
          </w:p>
          <w:p w:rsidR="003E54FF" w:rsidRPr="003E54FF" w:rsidRDefault="003E54FF" w:rsidP="00932E5D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>1) Відсутність  документів, що підтверджують походження товарів з України</w:t>
            </w:r>
            <w:r w:rsidR="00E20DDE">
              <w:rPr>
                <w:rStyle w:val="font141"/>
                <w:sz w:val="24"/>
                <w:szCs w:val="24"/>
                <w:lang w:val="uk-UA" w:eastAsia="uk-UA"/>
              </w:rPr>
              <w:t>,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у разі якщо експортер не є виробником товарів</w:t>
            </w:r>
            <w:r w:rsidR="00E20DDE">
              <w:rPr>
                <w:rStyle w:val="font141"/>
                <w:sz w:val="24"/>
                <w:szCs w:val="24"/>
                <w:lang w:val="uk-UA" w:eastAsia="uk-UA"/>
              </w:rPr>
              <w:t>.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</w:t>
            </w:r>
          </w:p>
          <w:p w:rsidR="00932E5D" w:rsidRPr="003E54FF" w:rsidRDefault="003E54FF" w:rsidP="00932E5D">
            <w:pPr>
              <w:tabs>
                <w:tab w:val="left" w:pos="260"/>
              </w:tabs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2) </w:t>
            </w:r>
            <w:r w:rsidR="00932E5D" w:rsidRPr="003E54FF">
              <w:rPr>
                <w:rStyle w:val="font141"/>
                <w:rFonts w:eastAsia="Times New Roman"/>
                <w:sz w:val="24"/>
                <w:szCs w:val="24"/>
              </w:rPr>
              <w:t>Неможливість пільгового режиму оподаткування</w:t>
            </w:r>
            <w:r w:rsidR="00932E5D">
              <w:rPr>
                <w:rStyle w:val="font141"/>
                <w:rFonts w:eastAsia="Times New Roman"/>
                <w:sz w:val="24"/>
                <w:szCs w:val="24"/>
              </w:rPr>
              <w:t xml:space="preserve"> товарів українського походження на умовах Альтернативних правил походження</w:t>
            </w:r>
            <w:r w:rsidR="00E20DDE">
              <w:rPr>
                <w:rStyle w:val="font141"/>
                <w:rFonts w:eastAsia="Times New Roman"/>
                <w:sz w:val="24"/>
                <w:szCs w:val="24"/>
              </w:rPr>
              <w:t>.</w:t>
            </w:r>
          </w:p>
          <w:p w:rsidR="00441950" w:rsidRPr="00985801" w:rsidRDefault="003E54FF" w:rsidP="00932E5D">
            <w:pPr>
              <w:ind w:firstLine="3"/>
              <w:jc w:val="both"/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 w:rsidRPr="003E54FF">
              <w:rPr>
                <w:rStyle w:val="font141"/>
                <w:sz w:val="24"/>
                <w:szCs w:val="24"/>
              </w:rPr>
              <w:t>Негативний вплив на конкурентоспроможність товарів українського</w:t>
            </w:r>
            <w:r w:rsidR="00830243">
              <w:rPr>
                <w:rStyle w:val="font141"/>
                <w:sz w:val="24"/>
                <w:szCs w:val="24"/>
              </w:rPr>
              <w:t xml:space="preserve"> походження на зовнішніх ринках</w:t>
            </w:r>
          </w:p>
        </w:tc>
        <w:tc>
          <w:tcPr>
            <w:tcW w:w="2104" w:type="dxa"/>
            <w:vAlign w:val="center"/>
          </w:tcPr>
          <w:p w:rsidR="00441950" w:rsidRPr="00FF426E" w:rsidRDefault="006B3BE6" w:rsidP="00FF426E">
            <w:pPr>
              <w:ind w:firstLine="319"/>
              <w:jc w:val="both"/>
              <w:rPr>
                <w:rFonts w:eastAsia="Times New Roman"/>
                <w:color w:val="548DD4" w:themeColor="text2" w:themeTint="99"/>
              </w:rPr>
            </w:pPr>
            <w:r>
              <w:rPr>
                <w:rStyle w:val="font141"/>
                <w:sz w:val="24"/>
                <w:szCs w:val="24"/>
              </w:rPr>
              <w:t>Є гіршою серед запропонованих альтернатив, оскільки не дає змоги досягнути поставлених цілей державного регулювання оптимальним способом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299" w:type="dxa"/>
            <w:vAlign w:val="center"/>
          </w:tcPr>
          <w:p w:rsidR="00441950" w:rsidRPr="00985801" w:rsidRDefault="00E20DDE" w:rsidP="00830243">
            <w:pPr>
              <w:jc w:val="both"/>
              <w:rPr>
                <w:rStyle w:val="font141"/>
                <w:sz w:val="24"/>
                <w:szCs w:val="24"/>
              </w:rPr>
            </w:pPr>
            <w:r>
              <w:rPr>
                <w:rStyle w:val="font141"/>
                <w:sz w:val="24"/>
                <w:szCs w:val="24"/>
              </w:rPr>
              <w:t>Прийняття проє</w:t>
            </w:r>
            <w:r w:rsidR="00952CDF" w:rsidRPr="00985801">
              <w:rPr>
                <w:rStyle w:val="font141"/>
                <w:sz w:val="24"/>
                <w:szCs w:val="24"/>
              </w:rPr>
              <w:t xml:space="preserve">кту акта </w:t>
            </w:r>
            <w:r w:rsidR="00932E5D">
              <w:rPr>
                <w:rStyle w:val="font141"/>
                <w:sz w:val="24"/>
                <w:szCs w:val="24"/>
              </w:rPr>
              <w:t>забезпечить реалізацію Альтернативних правил походження, удосконал</w:t>
            </w:r>
            <w:r w:rsidR="00830243">
              <w:rPr>
                <w:rStyle w:val="font141"/>
                <w:sz w:val="24"/>
                <w:szCs w:val="24"/>
              </w:rPr>
              <w:t>ить</w:t>
            </w:r>
            <w:r w:rsidR="00952CDF" w:rsidRPr="00985801">
              <w:rPr>
                <w:rStyle w:val="font141"/>
                <w:sz w:val="24"/>
                <w:szCs w:val="24"/>
              </w:rPr>
              <w:t xml:space="preserve"> правове регулювання процедури</w:t>
            </w:r>
            <w:r w:rsidR="00952CDF" w:rsidRPr="00985801">
              <w:t xml:space="preserve"> анулювання </w:t>
            </w:r>
            <w:r w:rsidR="00952CDF" w:rsidRPr="00830243">
              <w:rPr>
                <w:rStyle w:val="font141"/>
                <w:sz w:val="24"/>
                <w:szCs w:val="24"/>
              </w:rPr>
              <w:t>сертифіката</w:t>
            </w:r>
            <w:r w:rsidR="00932E5D" w:rsidRPr="00830243">
              <w:rPr>
                <w:rStyle w:val="font141"/>
                <w:sz w:val="24"/>
                <w:szCs w:val="24"/>
              </w:rPr>
              <w:t xml:space="preserve"> з перевезення товару EUR.1 за заявою експортера з технічних причин </w:t>
            </w:r>
            <w:r w:rsidR="00F8754C" w:rsidRPr="00830243">
              <w:rPr>
                <w:rStyle w:val="font141"/>
                <w:sz w:val="24"/>
                <w:szCs w:val="24"/>
              </w:rPr>
              <w:t>та документального підтвердження експортерами, які не є виробниками товарів, пре</w:t>
            </w:r>
            <w:r w:rsidR="00830243" w:rsidRPr="00830243">
              <w:rPr>
                <w:rStyle w:val="font141"/>
                <w:sz w:val="24"/>
                <w:szCs w:val="24"/>
              </w:rPr>
              <w:t>ференційного походження товарів</w:t>
            </w:r>
            <w:r w:rsidR="00F8754C">
              <w:rPr>
                <w:lang w:val="ru-RU"/>
              </w:rPr>
              <w:t xml:space="preserve"> 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3E54FF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Витрати відсутні</w:t>
            </w:r>
          </w:p>
        </w:tc>
        <w:tc>
          <w:tcPr>
            <w:tcW w:w="2104" w:type="dxa"/>
          </w:tcPr>
          <w:p w:rsidR="00441950" w:rsidRPr="00985801" w:rsidRDefault="00441950" w:rsidP="00985801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Є найбільш оптимальною із запропонованих альтернатив, оскільки відповідає вимогам регуляторної політики і досягає цілей державного регулювання</w:t>
            </w:r>
          </w:p>
        </w:tc>
      </w:tr>
    </w:tbl>
    <w:p w:rsidR="00441950" w:rsidRDefault="00441950" w:rsidP="00A45649"/>
    <w:p w:rsidR="00F44C52" w:rsidRDefault="00F44C52" w:rsidP="00A45649"/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4478"/>
        <w:gridCol w:w="2640"/>
      </w:tblGrid>
      <w:tr w:rsidR="00441950" w:rsidRPr="00F906CB" w:rsidTr="00E90F0B">
        <w:tc>
          <w:tcPr>
            <w:tcW w:w="238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lastRenderedPageBreak/>
              <w:t>Рейтинг</w:t>
            </w:r>
          </w:p>
        </w:tc>
        <w:tc>
          <w:tcPr>
            <w:tcW w:w="4478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64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478" w:type="dxa"/>
          </w:tcPr>
          <w:p w:rsidR="00441950" w:rsidRPr="00503C9F" w:rsidRDefault="00985801" w:rsidP="005367B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 разі обрання а</w:t>
            </w:r>
            <w:r w:rsidR="00441950" w:rsidRPr="00503C9F">
              <w:rPr>
                <w:rFonts w:eastAsia="Times New Roman"/>
              </w:rPr>
              <w:t xml:space="preserve">льтернативи 1 експортери </w:t>
            </w:r>
            <w:r w:rsidR="00503C9F">
              <w:rPr>
                <w:rFonts w:eastAsia="Times New Roman"/>
              </w:rPr>
              <w:t xml:space="preserve">не зможуть документально підтвердити статус </w:t>
            </w:r>
            <w:r w:rsidR="009F05AB">
              <w:rPr>
                <w:rFonts w:eastAsia="Times New Roman"/>
              </w:rPr>
              <w:t xml:space="preserve">преференційного походження </w:t>
            </w:r>
            <w:r w:rsidR="00503C9F">
              <w:rPr>
                <w:rFonts w:eastAsia="Times New Roman"/>
              </w:rPr>
              <w:t xml:space="preserve">товарів українського походження </w:t>
            </w:r>
            <w:r w:rsidR="00392588">
              <w:rPr>
                <w:rFonts w:eastAsia="Times New Roman"/>
              </w:rPr>
              <w:t xml:space="preserve">на підставі Альтернативних правил </w:t>
            </w:r>
            <w:r w:rsidR="00503C9F">
              <w:rPr>
                <w:rFonts w:eastAsia="Times New Roman"/>
              </w:rPr>
              <w:t xml:space="preserve">та </w:t>
            </w:r>
            <w:r w:rsidR="00441950" w:rsidRPr="00503C9F">
              <w:rPr>
                <w:rFonts w:eastAsia="Times New Roman"/>
              </w:rPr>
              <w:t xml:space="preserve">будуть позбавлені допуску </w:t>
            </w:r>
            <w:r w:rsidR="009F05AB">
              <w:rPr>
                <w:rFonts w:eastAsia="Times New Roman"/>
              </w:rPr>
              <w:t xml:space="preserve">їх </w:t>
            </w:r>
            <w:r w:rsidR="00441950" w:rsidRPr="00503C9F">
              <w:rPr>
                <w:rFonts w:eastAsia="Times New Roman"/>
              </w:rPr>
              <w:t>на зовнішні ринки із застосуванням пільгового режиму оподаткув</w:t>
            </w:r>
            <w:r>
              <w:rPr>
                <w:rFonts w:eastAsia="Times New Roman"/>
              </w:rPr>
              <w:t>ання на умовах вільної торгівлі</w:t>
            </w:r>
          </w:p>
        </w:tc>
        <w:tc>
          <w:tcPr>
            <w:tcW w:w="2640" w:type="dxa"/>
          </w:tcPr>
          <w:p w:rsidR="00441950" w:rsidRPr="00F906CB" w:rsidRDefault="00441950" w:rsidP="00985801">
            <w:pPr>
              <w:jc w:val="center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Відсутні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478" w:type="dxa"/>
          </w:tcPr>
          <w:p w:rsidR="00952CDF" w:rsidRPr="00503C9F" w:rsidRDefault="00441950" w:rsidP="005367B0">
            <w:pPr>
              <w:jc w:val="both"/>
              <w:rPr>
                <w:rFonts w:eastAsia="Times New Roman"/>
              </w:rPr>
            </w:pPr>
            <w:r w:rsidRPr="00503C9F">
              <w:rPr>
                <w:rFonts w:eastAsia="Times New Roman"/>
              </w:rPr>
              <w:t xml:space="preserve">Альтернатива 2 </w:t>
            </w:r>
            <w:r w:rsidR="00952CDF" w:rsidRPr="00503C9F">
              <w:rPr>
                <w:rFonts w:eastAsia="Times New Roman"/>
              </w:rPr>
              <w:t>сприятиме дотриманню експортерами</w:t>
            </w:r>
            <w:r w:rsidR="00392588">
              <w:rPr>
                <w:rFonts w:eastAsia="Times New Roman"/>
              </w:rPr>
              <w:t>, які не є виробниками товарів,</w:t>
            </w:r>
            <w:r w:rsidR="00952CDF" w:rsidRPr="00503C9F">
              <w:rPr>
                <w:rFonts w:eastAsia="Times New Roman"/>
              </w:rPr>
              <w:t xml:space="preserve"> вимог, встановлених законодавством щодо</w:t>
            </w:r>
            <w:r w:rsidR="009F05AB">
              <w:rPr>
                <w:rFonts w:eastAsia="Times New Roman"/>
              </w:rPr>
              <w:t xml:space="preserve"> документального</w:t>
            </w:r>
            <w:r w:rsidR="00952CDF" w:rsidRPr="00503C9F">
              <w:rPr>
                <w:rFonts w:eastAsia="Times New Roman"/>
              </w:rPr>
              <w:t xml:space="preserve"> </w:t>
            </w:r>
            <w:r w:rsidR="00952CDF" w:rsidRPr="00F906CB">
              <w:rPr>
                <w:rFonts w:eastAsia="Times New Roman"/>
              </w:rPr>
              <w:t>підтвердження</w:t>
            </w:r>
            <w:r w:rsidR="009F05AB">
              <w:rPr>
                <w:rFonts w:eastAsia="Times New Roman"/>
              </w:rPr>
              <w:t xml:space="preserve"> українського походження товарів</w:t>
            </w:r>
            <w:r w:rsidR="00952CDF" w:rsidRPr="00F906CB">
              <w:rPr>
                <w:rFonts w:eastAsia="Times New Roman"/>
              </w:rPr>
              <w:t xml:space="preserve"> </w:t>
            </w:r>
            <w:r w:rsidR="009F05AB">
              <w:rPr>
                <w:rFonts w:eastAsia="Times New Roman"/>
              </w:rPr>
              <w:t>для цілей отримання на них сертифіката</w:t>
            </w:r>
            <w:r w:rsidR="00392588">
              <w:rPr>
                <w:rFonts w:eastAsia="Times New Roman"/>
              </w:rPr>
              <w:t xml:space="preserve"> відповідно до Альтернативних правил</w:t>
            </w:r>
            <w:r w:rsidR="00145120">
              <w:rPr>
                <w:rFonts w:eastAsia="Times New Roman"/>
              </w:rPr>
              <w:t>, підтримці</w:t>
            </w:r>
            <w:r w:rsidR="000D0A92">
              <w:rPr>
                <w:rFonts w:eastAsia="Times New Roman"/>
              </w:rPr>
              <w:t xml:space="preserve"> товарів</w:t>
            </w:r>
            <w:r w:rsidR="00C53FFF" w:rsidRPr="00503C9F">
              <w:rPr>
                <w:rFonts w:eastAsia="Times New Roman"/>
              </w:rPr>
              <w:t xml:space="preserve"> </w:t>
            </w:r>
            <w:r w:rsidR="00952CDF" w:rsidRPr="00503C9F">
              <w:rPr>
                <w:rFonts w:eastAsia="Times New Roman"/>
              </w:rPr>
              <w:t>н</w:t>
            </w:r>
            <w:r w:rsidR="00145120">
              <w:rPr>
                <w:rFonts w:eastAsia="Times New Roman"/>
              </w:rPr>
              <w:t>а зовнішніх ринках та підвищенню</w:t>
            </w:r>
            <w:r w:rsidR="00952CDF" w:rsidRPr="00503C9F">
              <w:rPr>
                <w:rFonts w:eastAsia="Times New Roman"/>
              </w:rPr>
              <w:t xml:space="preserve"> рівня конкурентоспр</w:t>
            </w:r>
            <w:r w:rsidR="00145120">
              <w:rPr>
                <w:rFonts w:eastAsia="Times New Roman"/>
              </w:rPr>
              <w:t>оможності вітчизняної продукції</w:t>
            </w:r>
          </w:p>
        </w:tc>
        <w:tc>
          <w:tcPr>
            <w:tcW w:w="2640" w:type="dxa"/>
          </w:tcPr>
          <w:p w:rsidR="00441950" w:rsidRPr="00F906CB" w:rsidRDefault="00441950" w:rsidP="005367B0">
            <w:pPr>
              <w:jc w:val="both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Ризики зовнішніх чинників на дію зап</w:t>
            </w:r>
            <w:r w:rsidR="00145120">
              <w:rPr>
                <w:rFonts w:eastAsia="Times New Roman"/>
              </w:rPr>
              <w:t>ропонованого регуляторного акта</w:t>
            </w:r>
            <w:r w:rsidRPr="00F906CB">
              <w:rPr>
                <w:rFonts w:eastAsia="Times New Roman"/>
              </w:rPr>
              <w:t xml:space="preserve"> відсутні</w:t>
            </w:r>
          </w:p>
        </w:tc>
      </w:tr>
    </w:tbl>
    <w:p w:rsidR="005367B0" w:rsidRDefault="005367B0" w:rsidP="00A45649">
      <w:pPr>
        <w:rPr>
          <w:rStyle w:val="font171"/>
          <w:b/>
          <w:bCs/>
        </w:rPr>
      </w:pPr>
    </w:p>
    <w:p w:rsidR="00B91E6A" w:rsidRDefault="00B91E6A" w:rsidP="005367B0">
      <w:pPr>
        <w:ind w:firstLine="567"/>
        <w:jc w:val="both"/>
      </w:pPr>
      <w:r>
        <w:rPr>
          <w:rStyle w:val="font171"/>
          <w:b/>
          <w:bCs/>
        </w:rPr>
        <w:t>V. Механізми та заходи, які забезпечать розв’язання визначеної проблеми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 Механізм дії регуляторного акта.</w:t>
      </w:r>
    </w:p>
    <w:p w:rsidR="00A92969" w:rsidRPr="00392588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Основним механізмом, що забезпечить розв’язання визначено</w:t>
      </w:r>
      <w:r w:rsidR="00A92969" w:rsidRPr="00F906CB">
        <w:rPr>
          <w:rStyle w:val="font171"/>
        </w:rPr>
        <w:t xml:space="preserve">ї проблеми, є прийняття </w:t>
      </w:r>
      <w:r w:rsidR="00E20DDE">
        <w:rPr>
          <w:rStyle w:val="font171"/>
        </w:rPr>
        <w:t>проє</w:t>
      </w:r>
      <w:r w:rsidR="000412AC" w:rsidRPr="00F906CB">
        <w:rPr>
          <w:rStyle w:val="font171"/>
        </w:rPr>
        <w:t xml:space="preserve">кту </w:t>
      </w:r>
      <w:r w:rsidR="000412AC" w:rsidRPr="00F906CB">
        <w:rPr>
          <w:rStyle w:val="font141"/>
          <w:sz w:val="28"/>
          <w:szCs w:val="28"/>
        </w:rPr>
        <w:t xml:space="preserve">наказу Міністерства фінансів України </w:t>
      </w:r>
      <w:r w:rsidR="000412AC" w:rsidRPr="00392588">
        <w:rPr>
          <w:rStyle w:val="font171"/>
        </w:rPr>
        <w:t>«</w:t>
      </w:r>
      <w:r w:rsidR="00C143EA">
        <w:rPr>
          <w:rStyle w:val="font171"/>
        </w:rPr>
        <w:t xml:space="preserve">Про </w:t>
      </w:r>
      <w:r w:rsidR="00C143EA" w:rsidRPr="00C143EA">
        <w:rPr>
          <w:sz w:val="28"/>
          <w:szCs w:val="28"/>
        </w:rPr>
        <w:t>внесення змін до деяких нормативно-правових актів Міністерства фінансів України</w:t>
      </w:r>
      <w:r w:rsidR="000412AC" w:rsidRPr="00392588">
        <w:rPr>
          <w:rStyle w:val="font171"/>
        </w:rPr>
        <w:t>»</w:t>
      </w:r>
      <w:r w:rsidR="00A92969" w:rsidRPr="00392588">
        <w:rPr>
          <w:rStyle w:val="font171"/>
        </w:rPr>
        <w:t>.</w:t>
      </w:r>
    </w:p>
    <w:p w:rsidR="00503C9F" w:rsidRPr="00C970E1" w:rsidRDefault="000412AC" w:rsidP="00F906CB">
      <w:pPr>
        <w:ind w:firstLine="567"/>
        <w:jc w:val="both"/>
        <w:rPr>
          <w:rStyle w:val="font141"/>
          <w:sz w:val="28"/>
          <w:szCs w:val="28"/>
        </w:rPr>
      </w:pPr>
      <w:r w:rsidRPr="00C970E1">
        <w:rPr>
          <w:rStyle w:val="font141"/>
          <w:sz w:val="28"/>
          <w:szCs w:val="28"/>
        </w:rPr>
        <w:t>Реалізація положень наказу</w:t>
      </w:r>
      <w:r w:rsidR="00710A92" w:rsidRPr="00C970E1">
        <w:rPr>
          <w:rStyle w:val="font141"/>
          <w:sz w:val="28"/>
          <w:szCs w:val="28"/>
        </w:rPr>
        <w:t xml:space="preserve"> </w:t>
      </w:r>
      <w:r w:rsidR="00B91E6A" w:rsidRPr="00C970E1">
        <w:rPr>
          <w:rStyle w:val="font141"/>
          <w:sz w:val="28"/>
          <w:szCs w:val="28"/>
        </w:rPr>
        <w:t xml:space="preserve">сприятиме </w:t>
      </w:r>
      <w:r w:rsidR="00C970E1" w:rsidRPr="00C970E1">
        <w:rPr>
          <w:rStyle w:val="font141"/>
          <w:sz w:val="28"/>
          <w:szCs w:val="28"/>
        </w:rPr>
        <w:t>збільшенню експорту товарів з України із застосуванням пільгового режиму оподаткування на умовах вільної торгівлі в країнах призначення товарів на основі</w:t>
      </w:r>
      <w:r w:rsidR="00392588" w:rsidRPr="00C970E1">
        <w:rPr>
          <w:rStyle w:val="font141"/>
          <w:sz w:val="28"/>
          <w:szCs w:val="28"/>
        </w:rPr>
        <w:t xml:space="preserve"> Альтернативних правил походження, схвалених рішенням Підкомітету Україна – ЄС з питань митного співробітництва від 16 листопада 2023 року № 1/2023</w:t>
      </w:r>
      <w:r w:rsidR="00C970E1">
        <w:rPr>
          <w:rStyle w:val="font141"/>
          <w:sz w:val="28"/>
          <w:szCs w:val="28"/>
        </w:rPr>
        <w:t>.</w:t>
      </w:r>
      <w:r w:rsidR="00392588" w:rsidRPr="00C970E1">
        <w:rPr>
          <w:rStyle w:val="font141"/>
          <w:sz w:val="28"/>
          <w:szCs w:val="28"/>
        </w:rPr>
        <w:t xml:space="preserve"> </w:t>
      </w: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2. Організаційні заходи впровадження регуляторного заходу в дію.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Для в</w:t>
      </w:r>
      <w:r w:rsidR="00E20DDE">
        <w:rPr>
          <w:rStyle w:val="font171"/>
        </w:rPr>
        <w:t>провадження проє</w:t>
      </w:r>
      <w:r w:rsidR="00710A92" w:rsidRPr="00F906CB">
        <w:rPr>
          <w:rStyle w:val="font171"/>
        </w:rPr>
        <w:t>кт</w:t>
      </w:r>
      <w:r w:rsidR="000412AC" w:rsidRPr="00F906CB">
        <w:rPr>
          <w:rStyle w:val="font171"/>
        </w:rPr>
        <w:t xml:space="preserve">у </w:t>
      </w:r>
      <w:r w:rsidR="00C143EA">
        <w:rPr>
          <w:rStyle w:val="font171"/>
        </w:rPr>
        <w:t>акта</w:t>
      </w:r>
      <w:r w:rsidRPr="00F906CB">
        <w:rPr>
          <w:rStyle w:val="font171"/>
        </w:rPr>
        <w:t xml:space="preserve">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</w:t>
      </w:r>
      <w:proofErr w:type="spellStart"/>
      <w:r w:rsidRPr="00F906CB">
        <w:rPr>
          <w:rStyle w:val="font171"/>
        </w:rPr>
        <w:t>вебсайті</w:t>
      </w:r>
      <w:proofErr w:type="spellEnd"/>
      <w:r w:rsidRPr="00F906CB">
        <w:rPr>
          <w:rStyle w:val="font171"/>
        </w:rPr>
        <w:t xml:space="preserve"> Міністерства фінансів України.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Ризику впливу зовнішніх факторів на дію регуляторного акта немає.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Можлива шкода у разі недосягнення мети регуляторного акта не прогнозується.</w:t>
      </w:r>
    </w:p>
    <w:p w:rsidR="00843EDA" w:rsidRPr="006B3BE6" w:rsidRDefault="00843EDA" w:rsidP="00843EDA">
      <w:pPr>
        <w:ind w:firstLine="567"/>
        <w:jc w:val="both"/>
        <w:rPr>
          <w:rStyle w:val="font171"/>
          <w:lang w:val="ru-RU"/>
        </w:rPr>
      </w:pPr>
      <w:r w:rsidRPr="006B3BE6">
        <w:rPr>
          <w:rStyle w:val="font171"/>
        </w:rPr>
        <w:lastRenderedPageBreak/>
        <w:t>Заходи, які необхідно здійснити суб’єктам господарювання</w:t>
      </w:r>
      <w:r w:rsidRPr="006B3BE6">
        <w:rPr>
          <w:rStyle w:val="font171"/>
          <w:lang w:val="ru-RU"/>
        </w:rPr>
        <w:t xml:space="preserve">: </w:t>
      </w:r>
      <w:r w:rsidRPr="006B3BE6">
        <w:rPr>
          <w:rStyle w:val="font171"/>
        </w:rPr>
        <w:t xml:space="preserve">ознайомитися з новим регулюванням (пошук та опрацювання регуляторного акта в мережі </w:t>
      </w:r>
      <w:r w:rsidR="00E20DDE" w:rsidRPr="00E20DDE">
        <w:rPr>
          <w:sz w:val="28"/>
          <w:szCs w:val="28"/>
        </w:rPr>
        <w:t>«</w:t>
      </w:r>
      <w:r w:rsidRPr="006B3BE6">
        <w:rPr>
          <w:rStyle w:val="font171"/>
        </w:rPr>
        <w:t>Інтернет</w:t>
      </w:r>
      <w:r w:rsidR="00E20DDE" w:rsidRPr="00392588">
        <w:rPr>
          <w:rStyle w:val="font171"/>
        </w:rPr>
        <w:t>»</w:t>
      </w:r>
      <w:r w:rsidRPr="006B3BE6">
        <w:rPr>
          <w:rStyle w:val="font171"/>
        </w:rPr>
        <w:t xml:space="preserve">). </w:t>
      </w:r>
    </w:p>
    <w:p w:rsidR="00E20DDE" w:rsidRDefault="00E20DDE" w:rsidP="00145120">
      <w:pPr>
        <w:ind w:firstLine="567"/>
        <w:jc w:val="both"/>
        <w:rPr>
          <w:rStyle w:val="font171"/>
          <w:b/>
          <w:bCs/>
        </w:rPr>
      </w:pPr>
    </w:p>
    <w:p w:rsidR="00B91E6A" w:rsidRPr="00145120" w:rsidRDefault="00B91E6A" w:rsidP="00145120">
      <w:pPr>
        <w:ind w:firstLine="567"/>
        <w:jc w:val="both"/>
        <w:rPr>
          <w:rStyle w:val="font171"/>
          <w:sz w:val="24"/>
          <w:szCs w:val="24"/>
        </w:rPr>
      </w:pPr>
      <w:r>
        <w:rPr>
          <w:rStyle w:val="font171"/>
          <w:b/>
          <w:bCs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</w:t>
      </w:r>
      <w:r w:rsidR="00145120">
        <w:t xml:space="preserve"> </w:t>
      </w:r>
      <w:r>
        <w:rPr>
          <w:rStyle w:val="font171"/>
          <w:b/>
          <w:bCs/>
        </w:rPr>
        <w:t>або виконувати ці вимоги</w:t>
      </w:r>
    </w:p>
    <w:p w:rsidR="00F906CB" w:rsidRDefault="00F906CB" w:rsidP="00F906CB">
      <w:pPr>
        <w:ind w:firstLine="567"/>
        <w:jc w:val="both"/>
      </w:pPr>
    </w:p>
    <w:p w:rsidR="00D053EC" w:rsidRDefault="00E20DDE" w:rsidP="00D053EC">
      <w:pPr>
        <w:ind w:firstLine="567"/>
        <w:jc w:val="both"/>
        <w:rPr>
          <w:rStyle w:val="font171"/>
        </w:rPr>
      </w:pPr>
      <w:r>
        <w:rPr>
          <w:rStyle w:val="font171"/>
        </w:rPr>
        <w:t>Реалізація проє</w:t>
      </w:r>
      <w:r w:rsidR="00D053EC">
        <w:rPr>
          <w:rStyle w:val="font171"/>
        </w:rPr>
        <w:t xml:space="preserve">кту </w:t>
      </w:r>
      <w:r w:rsidR="00C143EA">
        <w:rPr>
          <w:rStyle w:val="font171"/>
        </w:rPr>
        <w:t>акта</w:t>
      </w:r>
      <w:r w:rsidR="00D053EC">
        <w:rPr>
          <w:rStyle w:val="font171"/>
        </w:rPr>
        <w:t xml:space="preserve"> не передбачає додаткових фінансових витрат органами виконавчої влади та відповідно додаткових видатків бюджету.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Виконання вимог регуляторного акта буде забезпечено існуючими у структурі митних органів підрозділами і буде здійснено в межах кошторисних витрат на утримання митних органів та асигнувань, передбачених на відповідний бюджетний рік для органів виконавчої влади.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Розрахунок витрат, які будуть виникати внаслідок дії регуляторного акта, одного суб’єкта господарювання великого та середнього підприємництва наведено у додатку 1.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 xml:space="preserve">Оскільки питома вага </w:t>
      </w:r>
      <w:r w:rsidR="00D053EC">
        <w:rPr>
          <w:rStyle w:val="font171"/>
        </w:rPr>
        <w:t>суб’єктів малого підприємництва</w:t>
      </w:r>
      <w:r w:rsidRPr="006B3BE6">
        <w:rPr>
          <w:rStyle w:val="font171"/>
        </w:rPr>
        <w:t xml:space="preserve"> (малих та мікропідприємств разом) у загальній кількості суб’єктів господарювання, на яких поширюється регулювання, перевищує 10 відсотків, здійснено розрахунок витрат на запровадження державного регулювання для су</w:t>
      </w:r>
      <w:r w:rsidR="00E20DDE">
        <w:rPr>
          <w:rStyle w:val="font171"/>
        </w:rPr>
        <w:t>б’єктів малого підприємництва (т</w:t>
      </w:r>
      <w:r w:rsidRPr="006B3BE6">
        <w:rPr>
          <w:rStyle w:val="font171"/>
        </w:rPr>
        <w:t>ест малого підприємництва наведено у додатку 2).</w:t>
      </w:r>
    </w:p>
    <w:p w:rsidR="00FD56D5" w:rsidRPr="00EE34A6" w:rsidRDefault="00FD56D5" w:rsidP="00F906CB">
      <w:pPr>
        <w:ind w:firstLine="567"/>
        <w:jc w:val="both"/>
      </w:pPr>
    </w:p>
    <w:p w:rsidR="00B91E6A" w:rsidRDefault="00B91E6A" w:rsidP="00F906CB">
      <w:pPr>
        <w:ind w:firstLine="567"/>
        <w:jc w:val="both"/>
      </w:pPr>
      <w:r>
        <w:rPr>
          <w:rStyle w:val="font171"/>
          <w:b/>
          <w:bCs/>
        </w:rPr>
        <w:t xml:space="preserve">VII. </w:t>
      </w:r>
      <w:proofErr w:type="spellStart"/>
      <w:r>
        <w:rPr>
          <w:rStyle w:val="font171"/>
          <w:b/>
          <w:bCs/>
        </w:rPr>
        <w:t>Обгрунтування</w:t>
      </w:r>
      <w:proofErr w:type="spellEnd"/>
      <w:r>
        <w:rPr>
          <w:rStyle w:val="font171"/>
          <w:b/>
          <w:bCs/>
        </w:rPr>
        <w:t xml:space="preserve"> запропонованого строку дії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r>
        <w:rPr>
          <w:rStyle w:val="font171"/>
        </w:rPr>
        <w:t>Строк дії регуляторного акта є необмеженим, оскільки акти законодавства, на виконання яких розроблено акт, мають необмежений строк дії.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Зміна строку дії регуляторного акта можлива в разі зміни положень актів законодавства, на виконання яких розроблено регуляторний акт.</w:t>
      </w:r>
    </w:p>
    <w:p w:rsidR="00FD56D5" w:rsidRPr="00EE34A6" w:rsidRDefault="00FD56D5" w:rsidP="00F906CB">
      <w:pPr>
        <w:jc w:val="both"/>
        <w:rPr>
          <w:lang w:val="ru-RU"/>
        </w:rPr>
      </w:pPr>
    </w:p>
    <w:p w:rsidR="00B91E6A" w:rsidRDefault="00B91E6A" w:rsidP="00F906CB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VIII. Визначення показників результативності дії регуляторного акта</w:t>
      </w:r>
    </w:p>
    <w:p w:rsidR="00FD56D5" w:rsidRPr="00EE34A6" w:rsidRDefault="00FD56D5" w:rsidP="00F906CB">
      <w:pPr>
        <w:ind w:firstLine="567"/>
        <w:jc w:val="both"/>
        <w:rPr>
          <w:rStyle w:val="font171"/>
          <w:lang w:val="ru-RU"/>
        </w:rPr>
      </w:pP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Додаткових надходжень до держбюджету та місцевих бюджетів не передбачається, оскільки регуляторним актом не запроваджуються нові податки і збори (обов’язкові платежі).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2. Дія акта поширюється на суб’єктів господарювання, які здійснюють експортні операції.</w:t>
      </w:r>
    </w:p>
    <w:p w:rsidR="00D75EF8" w:rsidRPr="00F906CB" w:rsidRDefault="00E20DDE" w:rsidP="00F906CB">
      <w:pPr>
        <w:ind w:firstLine="567"/>
        <w:jc w:val="both"/>
        <w:rPr>
          <w:sz w:val="28"/>
          <w:szCs w:val="28"/>
        </w:rPr>
      </w:pPr>
      <w:r>
        <w:rPr>
          <w:rStyle w:val="font171"/>
        </w:rPr>
        <w:t>3. У зв’язку з прийняттям проє</w:t>
      </w:r>
      <w:r w:rsidR="00D75EF8" w:rsidRPr="00F906CB">
        <w:rPr>
          <w:rStyle w:val="font171"/>
        </w:rPr>
        <w:t>кту акта держава та суб’єкти господарювання не витрачатимуть додаткових коштів та часу на реалізацію його норм.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4. Рівень поінформованості суб’єктів господарювання щодо основних положень регуляторно</w:t>
      </w:r>
      <w:r w:rsidR="00E20DDE">
        <w:rPr>
          <w:rStyle w:val="font171"/>
        </w:rPr>
        <w:t>го акта – високий, оскільки проє</w:t>
      </w:r>
      <w:r w:rsidRPr="00F906CB">
        <w:rPr>
          <w:rStyle w:val="font171"/>
        </w:rPr>
        <w:t xml:space="preserve">кт акта </w:t>
      </w:r>
      <w:r w:rsidR="00F906CB" w:rsidRPr="00F906CB">
        <w:rPr>
          <w:rStyle w:val="font171"/>
        </w:rPr>
        <w:t xml:space="preserve">                         </w:t>
      </w:r>
      <w:r w:rsidRPr="00F906CB">
        <w:rPr>
          <w:rStyle w:val="font171"/>
        </w:rPr>
        <w:t xml:space="preserve">оприлюднено на офіційному </w:t>
      </w:r>
      <w:proofErr w:type="spellStart"/>
      <w:r w:rsidRPr="00F906CB">
        <w:rPr>
          <w:rStyle w:val="font171"/>
        </w:rPr>
        <w:t>вебсайті</w:t>
      </w:r>
      <w:proofErr w:type="spellEnd"/>
      <w:r w:rsidRPr="00F906CB">
        <w:rPr>
          <w:rStyle w:val="font171"/>
        </w:rPr>
        <w:t xml:space="preserve"> Міністерства фінансів України (</w:t>
      </w:r>
      <w:r w:rsidRPr="00F906CB">
        <w:rPr>
          <w:rStyle w:val="font171"/>
          <w:lang w:val="en-US"/>
        </w:rPr>
        <w:t>http</w:t>
      </w:r>
      <w:r w:rsidRPr="00F906CB">
        <w:rPr>
          <w:rStyle w:val="font171"/>
        </w:rPr>
        <w:t>:/</w:t>
      </w:r>
      <w:r w:rsidRPr="00F906CB">
        <w:rPr>
          <w:rStyle w:val="font171"/>
          <w:lang w:val="en-US"/>
        </w:rPr>
        <w:t>www</w:t>
      </w:r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minfin</w:t>
      </w:r>
      <w:proofErr w:type="spellEnd"/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gov</w:t>
      </w:r>
      <w:proofErr w:type="spellEnd"/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ua</w:t>
      </w:r>
      <w:proofErr w:type="spellEnd"/>
      <w:r w:rsidRPr="00F906CB">
        <w:rPr>
          <w:rStyle w:val="font171"/>
        </w:rPr>
        <w:t>) з метою отримання зауважень та пропозицій до нього.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lastRenderedPageBreak/>
        <w:t>Після прийняття акт буде оприлюднено у засобах масової інформації для ознайомлення з ним суб’єктами господарської діяльності, а також буде доведено до відома Держмитслужби та її територіальних органів.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5. Кількість виданих митними органами сертифікатів.</w:t>
      </w:r>
    </w:p>
    <w:p w:rsidR="00D75EF8" w:rsidRPr="00F906CB" w:rsidRDefault="00C970E1" w:rsidP="00C970E1">
      <w:pPr>
        <w:tabs>
          <w:tab w:val="left" w:pos="709"/>
        </w:tabs>
        <w:ind w:firstLine="567"/>
        <w:jc w:val="both"/>
        <w:rPr>
          <w:rStyle w:val="font171"/>
        </w:rPr>
      </w:pPr>
      <w:r>
        <w:rPr>
          <w:rStyle w:val="font171"/>
        </w:rPr>
        <w:t>6. Кількість підприємств, якими отримано статус</w:t>
      </w:r>
      <w:r w:rsidR="00C53FFF" w:rsidRPr="00F906CB">
        <w:rPr>
          <w:rStyle w:val="font171"/>
        </w:rPr>
        <w:t xml:space="preserve"> </w:t>
      </w:r>
      <w:r w:rsidRPr="00C970E1">
        <w:rPr>
          <w:rStyle w:val="font171"/>
        </w:rPr>
        <w:t>уповноваженого (схваленого) експортера</w:t>
      </w:r>
      <w:r w:rsidR="00D75EF8" w:rsidRPr="00F906CB">
        <w:rPr>
          <w:rStyle w:val="font171"/>
        </w:rPr>
        <w:t>.</w:t>
      </w:r>
    </w:p>
    <w:p w:rsidR="00D75EF8" w:rsidRPr="00C970E1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7. Кількість експортних митних декларацій, оформлених</w:t>
      </w:r>
      <w:r w:rsidRPr="00C970E1">
        <w:rPr>
          <w:rStyle w:val="font171"/>
        </w:rPr>
        <w:t xml:space="preserve"> із сертифікатом.</w:t>
      </w:r>
    </w:p>
    <w:p w:rsidR="00D75EF8" w:rsidRPr="00F906CB" w:rsidRDefault="00E20DDE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Числові значення показників 5–</w:t>
      </w:r>
      <w:r w:rsidR="00D75EF8" w:rsidRPr="00F906CB">
        <w:rPr>
          <w:rStyle w:val="font171"/>
        </w:rPr>
        <w:t>7 буде визначено під час розробки базового звіту про відстеження результативності регуляторного акта.</w:t>
      </w:r>
    </w:p>
    <w:p w:rsidR="00134EA6" w:rsidRDefault="00134EA6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bookmarkStart w:id="3" w:name="bookmark16"/>
      <w:bookmarkEnd w:id="3"/>
      <w:r>
        <w:rPr>
          <w:rStyle w:val="font171"/>
          <w:b/>
          <w:bCs/>
        </w:rPr>
        <w:t>IX. Визначення заходів, за допомогою</w:t>
      </w:r>
      <w:r w:rsidR="00823235">
        <w:rPr>
          <w:rStyle w:val="font171"/>
          <w:b/>
          <w:bCs/>
        </w:rPr>
        <w:t xml:space="preserve"> яких здійснюва</w:t>
      </w:r>
      <w:r w:rsidR="00430304">
        <w:rPr>
          <w:rStyle w:val="font171"/>
          <w:b/>
          <w:bCs/>
        </w:rPr>
        <w:t xml:space="preserve">тиметься </w:t>
      </w:r>
      <w:r>
        <w:rPr>
          <w:rStyle w:val="font171"/>
          <w:b/>
          <w:bCs/>
        </w:rPr>
        <w:t xml:space="preserve">відстеження </w:t>
      </w:r>
      <w:r w:rsidR="00823235">
        <w:rPr>
          <w:rStyle w:val="font171"/>
          <w:b/>
          <w:bCs/>
        </w:rPr>
        <w:t>результативності дії</w:t>
      </w:r>
      <w:r>
        <w:rPr>
          <w:rStyle w:val="font171"/>
          <w:b/>
          <w:bCs/>
        </w:rPr>
        <w:t xml:space="preserve">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D75EF8" w:rsidRDefault="00D75EF8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Відстеження результативності буде здійснюватися шляхом базового, повторного та періодичного відстеження результативності регуляторного акта за результатами обробки й аналізу статистичної інформації, розпорядником якої є Держмитслужба.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Повторне відстеження буде здійснюватися через два роки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 xml:space="preserve">Періодичне відстеження здійснюватиметься кожні три роки після повторного. </w:t>
      </w: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 xml:space="preserve">Відстеження результативності регуляторного акта буде здійснювати Держмитслужба статистичним методом шляхом аналізу динаміки показників, вказаних у розділі </w:t>
      </w:r>
      <w:r>
        <w:rPr>
          <w:rStyle w:val="font171"/>
          <w:lang w:val="en-US"/>
        </w:rPr>
        <w:t>VIII</w:t>
      </w:r>
      <w:r w:rsidRPr="003C499F">
        <w:rPr>
          <w:rStyle w:val="font171"/>
          <w:lang w:val="ru-RU"/>
        </w:rPr>
        <w:t xml:space="preserve"> </w:t>
      </w:r>
      <w:r w:rsidRPr="00595B32">
        <w:rPr>
          <w:rStyle w:val="font171"/>
        </w:rPr>
        <w:t>цього</w:t>
      </w:r>
      <w:r>
        <w:rPr>
          <w:rStyle w:val="font171"/>
          <w:lang w:val="ru-RU"/>
        </w:rPr>
        <w:t xml:space="preserve"> регуляторного акта. 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змін.</w:t>
      </w:r>
    </w:p>
    <w:p w:rsidR="00D75EF8" w:rsidRPr="00EE34A6" w:rsidRDefault="00D75EF8" w:rsidP="00F906CB">
      <w:pPr>
        <w:jc w:val="both"/>
        <w:rPr>
          <w:rStyle w:val="font171"/>
          <w:b/>
          <w:lang w:val="ru-RU"/>
        </w:rPr>
      </w:pPr>
    </w:p>
    <w:p w:rsidR="00FD56D5" w:rsidRPr="00EE34A6" w:rsidRDefault="00FD56D5" w:rsidP="00F906CB">
      <w:pPr>
        <w:jc w:val="both"/>
        <w:rPr>
          <w:rStyle w:val="font171"/>
          <w:b/>
          <w:lang w:val="ru-RU"/>
        </w:rPr>
      </w:pPr>
    </w:p>
    <w:sectPr w:rsidR="00FD56D5" w:rsidRPr="00EE34A6" w:rsidSect="003420A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0B" w:rsidRDefault="0089430B" w:rsidP="00C12599">
      <w:r>
        <w:separator/>
      </w:r>
    </w:p>
  </w:endnote>
  <w:endnote w:type="continuationSeparator" w:id="0">
    <w:p w:rsidR="0089430B" w:rsidRDefault="0089430B" w:rsidP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0B" w:rsidRDefault="0089430B" w:rsidP="00C12599">
      <w:r>
        <w:separator/>
      </w:r>
    </w:p>
  </w:footnote>
  <w:footnote w:type="continuationSeparator" w:id="0">
    <w:p w:rsidR="0089430B" w:rsidRDefault="0089430B" w:rsidP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3E5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EA" w:rsidRPr="00C143EA">
          <w:rPr>
            <w:noProof/>
            <w:lang w:val="ru-RU"/>
          </w:rPr>
          <w:t>3</w:t>
        </w:r>
        <w:r>
          <w:fldChar w:fldCharType="end"/>
        </w:r>
      </w:p>
    </w:sdtContent>
  </w:sdt>
  <w:p w:rsidR="003E54FF" w:rsidRDefault="003E54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A"/>
    <w:rsid w:val="00000227"/>
    <w:rsid w:val="000220A7"/>
    <w:rsid w:val="000237A0"/>
    <w:rsid w:val="00027DF6"/>
    <w:rsid w:val="000412AC"/>
    <w:rsid w:val="00043263"/>
    <w:rsid w:val="0007041B"/>
    <w:rsid w:val="000756D5"/>
    <w:rsid w:val="000856CE"/>
    <w:rsid w:val="000B5306"/>
    <w:rsid w:val="000C0C9D"/>
    <w:rsid w:val="000D0A92"/>
    <w:rsid w:val="000E2DB1"/>
    <w:rsid w:val="00134EA6"/>
    <w:rsid w:val="00145120"/>
    <w:rsid w:val="00155FF3"/>
    <w:rsid w:val="00187405"/>
    <w:rsid w:val="00195A8B"/>
    <w:rsid w:val="001A000F"/>
    <w:rsid w:val="001A3668"/>
    <w:rsid w:val="001B3C1E"/>
    <w:rsid w:val="001C0D1D"/>
    <w:rsid w:val="001C1306"/>
    <w:rsid w:val="00207B2C"/>
    <w:rsid w:val="002B1D9E"/>
    <w:rsid w:val="002B6190"/>
    <w:rsid w:val="002B74EA"/>
    <w:rsid w:val="002E17F8"/>
    <w:rsid w:val="003420A6"/>
    <w:rsid w:val="00392588"/>
    <w:rsid w:val="003E54FF"/>
    <w:rsid w:val="003F457D"/>
    <w:rsid w:val="00400684"/>
    <w:rsid w:val="00400AD4"/>
    <w:rsid w:val="00411838"/>
    <w:rsid w:val="00415218"/>
    <w:rsid w:val="00430304"/>
    <w:rsid w:val="00441950"/>
    <w:rsid w:val="0044543A"/>
    <w:rsid w:val="00477F0C"/>
    <w:rsid w:val="00494E87"/>
    <w:rsid w:val="004A1D7F"/>
    <w:rsid w:val="004A49E8"/>
    <w:rsid w:val="004B60B0"/>
    <w:rsid w:val="00503C9F"/>
    <w:rsid w:val="005328C6"/>
    <w:rsid w:val="005352D4"/>
    <w:rsid w:val="005367B0"/>
    <w:rsid w:val="00564758"/>
    <w:rsid w:val="005762FD"/>
    <w:rsid w:val="00591357"/>
    <w:rsid w:val="005A0374"/>
    <w:rsid w:val="005B2E53"/>
    <w:rsid w:val="005D0BF0"/>
    <w:rsid w:val="005E5665"/>
    <w:rsid w:val="0061026E"/>
    <w:rsid w:val="00612D04"/>
    <w:rsid w:val="006317BC"/>
    <w:rsid w:val="0064234F"/>
    <w:rsid w:val="00644F00"/>
    <w:rsid w:val="00657A69"/>
    <w:rsid w:val="00675645"/>
    <w:rsid w:val="006A2014"/>
    <w:rsid w:val="006B0623"/>
    <w:rsid w:val="006B3BE6"/>
    <w:rsid w:val="006D6000"/>
    <w:rsid w:val="006E47B4"/>
    <w:rsid w:val="006E5749"/>
    <w:rsid w:val="0070189F"/>
    <w:rsid w:val="00710A92"/>
    <w:rsid w:val="00757A2C"/>
    <w:rsid w:val="007A352A"/>
    <w:rsid w:val="007E6BB8"/>
    <w:rsid w:val="007F5A05"/>
    <w:rsid w:val="00823235"/>
    <w:rsid w:val="008264C0"/>
    <w:rsid w:val="00830243"/>
    <w:rsid w:val="00830C28"/>
    <w:rsid w:val="008372FE"/>
    <w:rsid w:val="00843EDA"/>
    <w:rsid w:val="00852724"/>
    <w:rsid w:val="00866B00"/>
    <w:rsid w:val="00871221"/>
    <w:rsid w:val="00872F4F"/>
    <w:rsid w:val="00875A50"/>
    <w:rsid w:val="0089430B"/>
    <w:rsid w:val="008A3105"/>
    <w:rsid w:val="008C1EE9"/>
    <w:rsid w:val="008D4F2B"/>
    <w:rsid w:val="008D506E"/>
    <w:rsid w:val="00907E5E"/>
    <w:rsid w:val="009329FA"/>
    <w:rsid w:val="00932E5D"/>
    <w:rsid w:val="00946F93"/>
    <w:rsid w:val="00952CDF"/>
    <w:rsid w:val="00982943"/>
    <w:rsid w:val="00985801"/>
    <w:rsid w:val="009A7CC3"/>
    <w:rsid w:val="009D0793"/>
    <w:rsid w:val="009D73BE"/>
    <w:rsid w:val="009F05AB"/>
    <w:rsid w:val="00A06E31"/>
    <w:rsid w:val="00A07F47"/>
    <w:rsid w:val="00A418D5"/>
    <w:rsid w:val="00A45649"/>
    <w:rsid w:val="00A553BA"/>
    <w:rsid w:val="00A56027"/>
    <w:rsid w:val="00A562AC"/>
    <w:rsid w:val="00A92969"/>
    <w:rsid w:val="00AC60F9"/>
    <w:rsid w:val="00AF04CA"/>
    <w:rsid w:val="00B64A88"/>
    <w:rsid w:val="00B66BA5"/>
    <w:rsid w:val="00B67160"/>
    <w:rsid w:val="00B676F1"/>
    <w:rsid w:val="00B9066B"/>
    <w:rsid w:val="00B91E6A"/>
    <w:rsid w:val="00B9620B"/>
    <w:rsid w:val="00BC416E"/>
    <w:rsid w:val="00BE6CB1"/>
    <w:rsid w:val="00BF09A2"/>
    <w:rsid w:val="00C12599"/>
    <w:rsid w:val="00C143EA"/>
    <w:rsid w:val="00C217F9"/>
    <w:rsid w:val="00C5027F"/>
    <w:rsid w:val="00C53FFF"/>
    <w:rsid w:val="00C970E1"/>
    <w:rsid w:val="00CB0021"/>
    <w:rsid w:val="00D053EC"/>
    <w:rsid w:val="00D070AA"/>
    <w:rsid w:val="00D078F4"/>
    <w:rsid w:val="00D16873"/>
    <w:rsid w:val="00D605D0"/>
    <w:rsid w:val="00D75EF8"/>
    <w:rsid w:val="00D94CAC"/>
    <w:rsid w:val="00DD5931"/>
    <w:rsid w:val="00DD5A44"/>
    <w:rsid w:val="00E00BCF"/>
    <w:rsid w:val="00E174F6"/>
    <w:rsid w:val="00E20DDE"/>
    <w:rsid w:val="00E22F1D"/>
    <w:rsid w:val="00E23F06"/>
    <w:rsid w:val="00E90F0B"/>
    <w:rsid w:val="00EA4B0F"/>
    <w:rsid w:val="00EA6430"/>
    <w:rsid w:val="00EB5657"/>
    <w:rsid w:val="00EB75E9"/>
    <w:rsid w:val="00EE1BE7"/>
    <w:rsid w:val="00EE34A6"/>
    <w:rsid w:val="00F0162A"/>
    <w:rsid w:val="00F268B4"/>
    <w:rsid w:val="00F35BBD"/>
    <w:rsid w:val="00F36C1F"/>
    <w:rsid w:val="00F44C52"/>
    <w:rsid w:val="00F8754C"/>
    <w:rsid w:val="00F906CB"/>
    <w:rsid w:val="00FB2A96"/>
    <w:rsid w:val="00FB6020"/>
    <w:rsid w:val="00FD56D5"/>
    <w:rsid w:val="00FE4047"/>
    <w:rsid w:val="00FE6C0C"/>
    <w:rsid w:val="00FE78F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4493"/>
  <w15:docId w15:val="{20DD730B-CF13-444D-B343-70F75B1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027DF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10958</Words>
  <Characters>6247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4</cp:revision>
  <cp:lastPrinted>2024-06-27T09:07:00Z</cp:lastPrinted>
  <dcterms:created xsi:type="dcterms:W3CDTF">2024-08-14T08:23:00Z</dcterms:created>
  <dcterms:modified xsi:type="dcterms:W3CDTF">2024-08-21T13:58:00Z</dcterms:modified>
</cp:coreProperties>
</file>