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BC" w:rsidRPr="00247BBC" w:rsidRDefault="00247BBC" w:rsidP="00247BBC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Додаток 2</w:t>
      </w:r>
    </w:p>
    <w:p w:rsidR="00247BBC" w:rsidRPr="00247BBC" w:rsidRDefault="00247BBC" w:rsidP="00247BB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</w:t>
      </w:r>
      <w:r w:rsidRPr="00247B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7B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малого підприємництва (М-Тест)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n200"/>
      <w:bookmarkEnd w:id="0"/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n201"/>
      <w:bookmarkEnd w:id="1"/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</w:t>
      </w:r>
      <w:r w:rsidR="00165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 розробником у пе</w:t>
      </w:r>
      <w:r w:rsidR="00A66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ріод з “06” квітня 2023р. по “15</w:t>
      </w:r>
      <w:r w:rsidR="00165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”травня 2023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51"/>
        <w:gridCol w:w="3788"/>
        <w:gridCol w:w="1844"/>
        <w:gridCol w:w="2232"/>
      </w:tblGrid>
      <w:tr w:rsidR="00247BBC" w:rsidRPr="00247BBC" w:rsidTr="002267C0">
        <w:trPr>
          <w:jc w:val="center"/>
        </w:trPr>
        <w:tc>
          <w:tcPr>
            <w:tcW w:w="850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2"/>
            <w:bookmarkEnd w:id="2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1950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50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1150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1658D1" w:rsidRPr="008B6DD6" w:rsidTr="002267C0">
        <w:trPr>
          <w:jc w:val="center"/>
        </w:trPr>
        <w:tc>
          <w:tcPr>
            <w:tcW w:w="850" w:type="pct"/>
          </w:tcPr>
          <w:p w:rsidR="001658D1" w:rsidRPr="00247BBC" w:rsidRDefault="001658D1" w:rsidP="00165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0" w:type="pct"/>
          </w:tcPr>
          <w:p w:rsidR="001658D1" w:rsidRDefault="001658D1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D1" w:rsidRPr="00247BBC" w:rsidRDefault="001658D1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Письмові консультації</w:t>
            </w:r>
          </w:p>
        </w:tc>
        <w:tc>
          <w:tcPr>
            <w:tcW w:w="950" w:type="pct"/>
          </w:tcPr>
          <w:p w:rsidR="001658D1" w:rsidRDefault="001658D1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D1" w:rsidRPr="00247BBC" w:rsidRDefault="001658D1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pct"/>
          </w:tcPr>
          <w:p w:rsidR="001658D1" w:rsidRPr="008B6DD6" w:rsidRDefault="008B6DD6" w:rsidP="008B6DD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Надані пропозиції не відповідають меті розробленого проекту.</w:t>
            </w:r>
            <w:bookmarkStart w:id="3" w:name="_GoBack"/>
            <w:bookmarkEnd w:id="3"/>
          </w:p>
        </w:tc>
      </w:tr>
    </w:tbl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n203"/>
      <w:bookmarkEnd w:id="4"/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Вимірювання впливу регулювання на суб’єктів малого підприємництва (мікро- та малі):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n204"/>
      <w:bookmarkEnd w:id="5"/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 суб’єктів малого підприємництва, на яки</w:t>
      </w:r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поширюється регулювання: 357 одиниць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тому </w:t>
      </w:r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 малого підприємництва 328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одиниц</w:t>
      </w:r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та </w:t>
      </w:r>
      <w:proofErr w:type="spellStart"/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мікропідприємництва</w:t>
      </w:r>
      <w:proofErr w:type="spellEnd"/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29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одиниць;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n205"/>
      <w:bookmarkEnd w:id="6"/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питома вага суб’єктів малого підприємництва у загальній кількості суб’єктів господарювання, на я</w:t>
      </w:r>
      <w:r w:rsidR="001E71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 проблема справляє вплив – 32 відсотки</w:t>
      </w: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7" w:name="n206"/>
      <w:bookmarkEnd w:id="7"/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Розрахунок витрат суб’єктів малого підприємництва на виконання вимог регулювання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розрахунку вартості години роботи використано вартість 1 години роботи, яка відповідно до Закону України </w:t>
      </w:r>
      <w:r w:rsidRPr="00247BBC">
        <w:rPr>
          <w:rFonts w:ascii="Times New Roman" w:eastAsiaTheme="minorEastAsia" w:hAnsi="Times New Roman" w:cs="Times New Roman"/>
          <w:bCs/>
          <w:sz w:val="28"/>
          <w:szCs w:val="28"/>
          <w:lang w:eastAsia="uk-UA"/>
        </w:rPr>
        <w:t>«Про Державний бюджет України на 2023 рік</w:t>
      </w: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», з 1 січня 2023 року становить –</w:t>
      </w:r>
      <w:r w:rsidR="00A21012" w:rsidRPr="00A21012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 xml:space="preserve"> </w:t>
      </w: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40,46 грн.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Первинна інформація про вимоги регулювання може бути отримана за результатами пошуку проекту </w:t>
      </w:r>
      <w:r w:rsidR="007E24A0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постанови Кабінету Міністрів України </w:t>
      </w: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«</w:t>
      </w:r>
      <w:r w:rsidR="007E24A0" w:rsidRPr="007E24A0">
        <w:rPr>
          <w:rFonts w:ascii="Times New Roman" w:eastAsiaTheme="minorEastAsia" w:hAnsi="Times New Roman" w:cs="Times New Roman"/>
          <w:sz w:val="28"/>
          <w:szCs w:val="28"/>
          <w:lang w:eastAsia="uk-UA"/>
        </w:rPr>
        <w:t>Про внесення змін до Порядку верифікації (перевірки достовірності) сертифікатів і декларацій про походження товару з України</w:t>
      </w: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».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47BBC">
        <w:rPr>
          <w:rFonts w:ascii="Times New Roman" w:eastAsiaTheme="minorEastAsia" w:hAnsi="Times New Roman" w:cs="Times New Roman"/>
          <w:sz w:val="28"/>
          <w:szCs w:val="28"/>
          <w:lang w:eastAsia="uk-UA"/>
        </w:rPr>
        <w:t>Інформація про розмір часу, який витрачається суб’єктами на отримання зазначеної інформації є оціночною.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65"/>
        <w:gridCol w:w="3652"/>
        <w:gridCol w:w="1766"/>
        <w:gridCol w:w="1663"/>
        <w:gridCol w:w="1413"/>
      </w:tblGrid>
      <w:tr w:rsidR="00247BBC" w:rsidRPr="00247BBC" w:rsidTr="000B5A1E">
        <w:trPr>
          <w:trHeight w:val="12"/>
          <w:tblHeader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207"/>
            <w:bookmarkEnd w:id="8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Порядковий номер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852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723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за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п’ять років</w:t>
            </w:r>
          </w:p>
        </w:tc>
      </w:tr>
      <w:tr w:rsidR="00247BBC" w:rsidRPr="00247BBC" w:rsidTr="000B5A1E">
        <w:trPr>
          <w:trHeight w:val="12"/>
        </w:trPr>
        <w:tc>
          <w:tcPr>
            <w:tcW w:w="5000" w:type="pct"/>
            <w:gridSpan w:val="5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Оцінка </w:t>
            </w:r>
            <w:r w:rsidRPr="00247BB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uk-UA"/>
              </w:rPr>
              <w:t>«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прямих</w:t>
            </w:r>
            <w:r w:rsidRPr="00247BB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»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витрат суб’єктів малого підприємництва на виконання регулювання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гривень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80" w:type="pct"/>
            <w:gridSpan w:val="3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Сумарно, гривень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5000" w:type="pct"/>
            <w:gridSpan w:val="5"/>
            <w:hideMark/>
          </w:tcPr>
          <w:p w:rsidR="00247BBC" w:rsidRPr="00247BBC" w:rsidRDefault="00247BBC" w:rsidP="00247BBC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год. (час, який витрачається суб’єктом господарювання на пошук нормативно-правового акту в мережі Інтернет та ознайомлення з ним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за результатами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консультацій)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40,46 грн.= </w:t>
            </w: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40,46 грн.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 грн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(припущено, що суб’єкт повинен виконувати вимоги регулювання лише в перший рік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за результатами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консультацій)</w:t>
            </w:r>
          </w:p>
        </w:tc>
        <w:tc>
          <w:tcPr>
            <w:tcW w:w="72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офіційного звітування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</w:t>
            </w: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B5A1E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hideMark/>
          </w:tcPr>
          <w:p w:rsid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0B5A1E" w:rsidRDefault="000B5A1E" w:rsidP="000B5A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 щодо забезпечення процесу перевірок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905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905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hideMark/>
          </w:tcPr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Разом, гривень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(сума рядків 9 + 10 + 11 + 12 + 13)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85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85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47BBC" w:rsidRPr="00247BBC" w:rsidTr="000B5A1E">
        <w:trPr>
          <w:trHeight w:val="12"/>
        </w:trPr>
        <w:tc>
          <w:tcPr>
            <w:tcW w:w="648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Сумарно, гривень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905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14 444,22</w:t>
            </w:r>
            <w:r w:rsidR="00247BBC"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85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9" w:name="n208"/>
      <w:bookmarkEnd w:id="9"/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Бюджетні витрати </w:t>
      </w: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адміністрування регулювання суб’єктів великого та середнього підприємництва</w:t>
      </w:r>
    </w:p>
    <w:p w:rsidR="00247BBC" w:rsidRPr="00247BBC" w:rsidRDefault="00247BBC" w:rsidP="00247BBC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n209"/>
      <w:bookmarkEnd w:id="10"/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 витрат на адміністрування регулювання здійснюється Державною митною службою України.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5"/>
        <w:gridCol w:w="1098"/>
        <w:gridCol w:w="1479"/>
        <w:gridCol w:w="1412"/>
        <w:gridCol w:w="2262"/>
        <w:gridCol w:w="1550"/>
      </w:tblGrid>
      <w:tr w:rsidR="00247BBC" w:rsidRPr="00247BBC" w:rsidTr="002267C0">
        <w:trPr>
          <w:tblHeader/>
        </w:trPr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n210"/>
            <w:bookmarkStart w:id="12" w:name="n212"/>
            <w:bookmarkEnd w:id="11"/>
            <w:bookmarkEnd w:id="12"/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Процедура регулювання суб’єктів великого та середнього підприємництва (розрахунок на одного типового суб’єкта господарювання)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 на адміністрування регулювання* (за рік), гривень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камеральні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виїзні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Реалізація одного окремого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рішення щодо порушення вимог регулювання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Інші адміні</w:t>
            </w:r>
            <w:r w:rsidR="000B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стративні процедури (уточнити):</w:t>
            </w:r>
          </w:p>
        </w:tc>
        <w:tc>
          <w:tcPr>
            <w:tcW w:w="571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6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pct"/>
            <w:hideMark/>
          </w:tcPr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BBC" w:rsidRPr="00247BBC" w:rsidTr="002267C0">
        <w:tc>
          <w:tcPr>
            <w:tcW w:w="94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Сумарно за п’ять років</w:t>
            </w:r>
          </w:p>
        </w:tc>
        <w:tc>
          <w:tcPr>
            <w:tcW w:w="571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9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4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6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7" w:type="pct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213"/>
      <w:bookmarkEnd w:id="13"/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14" w:name="n215"/>
      <w:bookmarkStart w:id="15" w:name="n216"/>
      <w:bookmarkEnd w:id="14"/>
      <w:bookmarkEnd w:id="15"/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Розрахунок сумарних витрат суб’єктів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62"/>
        <w:gridCol w:w="3627"/>
        <w:gridCol w:w="2225"/>
        <w:gridCol w:w="2101"/>
      </w:tblGrid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217"/>
            <w:bookmarkEnd w:id="16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22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 рік регулювання (стартовий)</w:t>
            </w:r>
          </w:p>
        </w:tc>
        <w:tc>
          <w:tcPr>
            <w:tcW w:w="2117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234" w:type="dxa"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  <w:tc>
          <w:tcPr>
            <w:tcW w:w="2117" w:type="dxa"/>
          </w:tcPr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234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2117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A1E" w:rsidRDefault="000B5A1E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234" w:type="dxa"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 грн.</w:t>
            </w:r>
          </w:p>
        </w:tc>
        <w:tc>
          <w:tcPr>
            <w:tcW w:w="2117" w:type="dxa"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234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  <w:tc>
          <w:tcPr>
            <w:tcW w:w="2117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грн.</w:t>
            </w:r>
          </w:p>
        </w:tc>
      </w:tr>
      <w:tr w:rsidR="00247BBC" w:rsidRPr="00247BBC" w:rsidTr="002267C0">
        <w:tc>
          <w:tcPr>
            <w:tcW w:w="156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hideMark/>
          </w:tcPr>
          <w:p w:rsidR="00247BBC" w:rsidRPr="00247BBC" w:rsidRDefault="00247BBC" w:rsidP="00247B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2234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proofErr w:type="gramStart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,46</w:t>
            </w:r>
            <w:proofErr w:type="gramEnd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2117" w:type="dxa"/>
          </w:tcPr>
          <w:p w:rsidR="00247BBC" w:rsidRPr="00247BBC" w:rsidRDefault="00247BBC" w:rsidP="00247B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proofErr w:type="gramStart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,46</w:t>
            </w:r>
            <w:proofErr w:type="gramEnd"/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</w:tr>
    </w:tbl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218"/>
      <w:bookmarkEnd w:id="17"/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Розроблення </w:t>
      </w:r>
      <w:r w:rsidR="00305959"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коригуючих</w:t>
      </w:r>
      <w:r w:rsidRPr="00247B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(пом’якшувальних) заходів для малого підприємництва щодо запропонованого регулювання</w:t>
      </w:r>
    </w:p>
    <w:p w:rsidR="00247BBC" w:rsidRPr="00247BBC" w:rsidRDefault="00247BBC" w:rsidP="00247BB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передбачається розроблення коригуючих заходів, оскільки нове регулювання спрямоване виключно на скасування недосконалих інструментів державного регулювання у сфері господарської діяльності або їх оптимізація та відповідно зменшення фінансового навантаження на суб’єктів господарювання.</w:t>
      </w:r>
    </w:p>
    <w:p w:rsidR="00247BBC" w:rsidRPr="00247BBC" w:rsidRDefault="00247BBC" w:rsidP="00247BB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DB0CAE" w:rsidRDefault="00DB0CAE"/>
    <w:sectPr w:rsidR="00DB0CAE" w:rsidSect="005352D4">
      <w:headerReference w:type="default" r:id="rId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56" w:rsidRDefault="00DA5256">
      <w:pPr>
        <w:spacing w:after="0" w:line="240" w:lineRule="auto"/>
      </w:pPr>
      <w:r>
        <w:separator/>
      </w:r>
    </w:p>
  </w:endnote>
  <w:endnote w:type="continuationSeparator" w:id="0">
    <w:p w:rsidR="00DA5256" w:rsidRDefault="00DA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56" w:rsidRDefault="00DA5256">
      <w:pPr>
        <w:spacing w:after="0" w:line="240" w:lineRule="auto"/>
      </w:pPr>
      <w:r>
        <w:separator/>
      </w:r>
    </w:p>
  </w:footnote>
  <w:footnote w:type="continuationSeparator" w:id="0">
    <w:p w:rsidR="00DA5256" w:rsidRDefault="00DA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87813"/>
      <w:docPartObj>
        <w:docPartGallery w:val="Page Numbers (Top of Page)"/>
        <w:docPartUnique/>
      </w:docPartObj>
    </w:sdtPr>
    <w:sdtEndPr/>
    <w:sdtContent>
      <w:p w:rsidR="003E54FF" w:rsidRDefault="00DF3C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114" w:rsidRPr="00086114">
          <w:rPr>
            <w:noProof/>
            <w:lang w:val="ru-RU"/>
          </w:rPr>
          <w:t>6</w:t>
        </w:r>
        <w:r>
          <w:fldChar w:fldCharType="end"/>
        </w:r>
      </w:p>
    </w:sdtContent>
  </w:sdt>
  <w:p w:rsidR="003E54FF" w:rsidRDefault="00DA52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65C"/>
    <w:multiLevelType w:val="hybridMultilevel"/>
    <w:tmpl w:val="2ACE6AE0"/>
    <w:lvl w:ilvl="0" w:tplc="44246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BC"/>
    <w:rsid w:val="00086114"/>
    <w:rsid w:val="000B5A1E"/>
    <w:rsid w:val="00122469"/>
    <w:rsid w:val="001658D1"/>
    <w:rsid w:val="001E71F7"/>
    <w:rsid w:val="00247BBC"/>
    <w:rsid w:val="00305959"/>
    <w:rsid w:val="00631A2E"/>
    <w:rsid w:val="00797D48"/>
    <w:rsid w:val="007E24A0"/>
    <w:rsid w:val="007F5358"/>
    <w:rsid w:val="008B6DD6"/>
    <w:rsid w:val="00A21012"/>
    <w:rsid w:val="00A660C5"/>
    <w:rsid w:val="00AE0A6C"/>
    <w:rsid w:val="00CF1F95"/>
    <w:rsid w:val="00DA5256"/>
    <w:rsid w:val="00DB0CAE"/>
    <w:rsid w:val="00DF3CE5"/>
    <w:rsid w:val="00E30EA9"/>
    <w:rsid w:val="00ED2DAA"/>
    <w:rsid w:val="00F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D165-517C-4FE7-BCB8-970E6AB5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BC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247BBC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1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4912</Words>
  <Characters>2800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Микитюк Ілона Віталіївна</cp:lastModifiedBy>
  <cp:revision>3</cp:revision>
  <cp:lastPrinted>2023-04-11T12:11:00Z</cp:lastPrinted>
  <dcterms:created xsi:type="dcterms:W3CDTF">2023-05-16T13:38:00Z</dcterms:created>
  <dcterms:modified xsi:type="dcterms:W3CDTF">2023-05-16T13:41:00Z</dcterms:modified>
</cp:coreProperties>
</file>