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884E" w14:textId="77777777" w:rsidR="0070189F" w:rsidRPr="00A45649" w:rsidRDefault="00B91E6A" w:rsidP="00A45649">
      <w:pPr>
        <w:jc w:val="center"/>
        <w:rPr>
          <w:rStyle w:val="font171"/>
          <w:b/>
          <w:bCs/>
        </w:rPr>
      </w:pPr>
      <w:bookmarkStart w:id="0" w:name="_GoBack"/>
      <w:bookmarkEnd w:id="0"/>
      <w:r w:rsidRPr="00A45649">
        <w:rPr>
          <w:rStyle w:val="font171"/>
          <w:b/>
          <w:bCs/>
        </w:rPr>
        <w:t>АНАЛІЗ РЕГУЛЯТОРНОГО ВПЛИВУ</w:t>
      </w:r>
    </w:p>
    <w:p w14:paraId="054ED1A9" w14:textId="77777777" w:rsidR="007F5A05" w:rsidRPr="00477F0C" w:rsidRDefault="00E20DDE" w:rsidP="00A45649">
      <w:pPr>
        <w:jc w:val="center"/>
        <w:rPr>
          <w:rFonts w:eastAsiaTheme="minorHAnsi"/>
          <w:b/>
          <w:sz w:val="28"/>
          <w:szCs w:val="28"/>
          <w:lang w:val="ru-RU" w:eastAsia="en-US"/>
        </w:rPr>
      </w:pPr>
      <w:r>
        <w:rPr>
          <w:rStyle w:val="font171"/>
          <w:b/>
        </w:rPr>
        <w:t>проє</w:t>
      </w:r>
      <w:r w:rsidR="00BF09A2" w:rsidRPr="00A45649">
        <w:rPr>
          <w:rStyle w:val="font171"/>
          <w:b/>
        </w:rPr>
        <w:t>кту</w:t>
      </w:r>
      <w:r w:rsidR="00BF09A2" w:rsidRPr="00A4564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57A69" w:rsidRPr="00A45649">
        <w:rPr>
          <w:rFonts w:eastAsiaTheme="minorHAnsi"/>
          <w:b/>
          <w:sz w:val="28"/>
          <w:szCs w:val="28"/>
          <w:lang w:eastAsia="en-US"/>
        </w:rPr>
        <w:t xml:space="preserve">наказу Міністерства фінансів України </w:t>
      </w:r>
    </w:p>
    <w:p w14:paraId="3BCDF226" w14:textId="77777777" w:rsidR="00A06E31" w:rsidRPr="003B765C" w:rsidRDefault="00BF09A2" w:rsidP="00A4564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B765C">
        <w:rPr>
          <w:rFonts w:eastAsiaTheme="minorHAnsi"/>
          <w:b/>
          <w:sz w:val="28"/>
          <w:szCs w:val="28"/>
          <w:lang w:eastAsia="en-US"/>
        </w:rPr>
        <w:t>«</w:t>
      </w:r>
      <w:r w:rsidR="003B765C" w:rsidRPr="003B765C">
        <w:rPr>
          <w:rFonts w:eastAsiaTheme="minorHAnsi"/>
          <w:b/>
          <w:sz w:val="28"/>
          <w:szCs w:val="28"/>
          <w:lang w:eastAsia="en-US"/>
        </w:rPr>
        <w:t xml:space="preserve">Про внесення змін до деяких нормативно-правових актів Міністерства фінансів України» </w:t>
      </w:r>
    </w:p>
    <w:p w14:paraId="66CF66A8" w14:textId="77777777" w:rsidR="00871221" w:rsidRPr="0070189F" w:rsidRDefault="00871221" w:rsidP="00A45649"/>
    <w:p w14:paraId="3DA2267B" w14:textId="77777777" w:rsidR="00B91E6A" w:rsidRDefault="00B91E6A" w:rsidP="00A45649">
      <w:pPr>
        <w:jc w:val="center"/>
        <w:rPr>
          <w:rStyle w:val="font171"/>
          <w:b/>
          <w:bCs/>
        </w:rPr>
      </w:pPr>
      <w:r>
        <w:rPr>
          <w:rStyle w:val="font171"/>
          <w:b/>
          <w:bCs/>
        </w:rPr>
        <w:t>І. Визначення проблеми</w:t>
      </w:r>
    </w:p>
    <w:p w14:paraId="10AB024C" w14:textId="77777777" w:rsidR="00871221" w:rsidRDefault="00871221" w:rsidP="00A45649"/>
    <w:p w14:paraId="0B83C746" w14:textId="77777777" w:rsidR="004148FD" w:rsidRPr="004148FD" w:rsidRDefault="004148FD" w:rsidP="004148F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8FD">
        <w:rPr>
          <w:rFonts w:eastAsiaTheme="minorHAnsi"/>
          <w:sz w:val="28"/>
          <w:szCs w:val="28"/>
          <w:lang w:eastAsia="en-US"/>
        </w:rPr>
        <w:t xml:space="preserve">З 01 січня 2025 року набрала чинності оновлена Регіональна конвенція про пан-євро-середземноморські преференційні правила походження, ратифікована Законом України від 17 грудня 2024 року № 4148-IX «Про ратифікацію Рішення № 1/2023 Спільного комітету Регіональної конвенції про </w:t>
      </w:r>
      <w:r w:rsidR="0035194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4148FD">
        <w:rPr>
          <w:rFonts w:eastAsiaTheme="minorHAnsi"/>
          <w:sz w:val="28"/>
          <w:szCs w:val="28"/>
          <w:lang w:eastAsia="en-US"/>
        </w:rPr>
        <w:t xml:space="preserve">пан-євро-середземноморські преференційні правила походження від 07 грудня 2023 року про внесення змін до Регіональної конвенції про </w:t>
      </w:r>
      <w:r w:rsidR="00351942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4148FD">
        <w:rPr>
          <w:rFonts w:eastAsiaTheme="minorHAnsi"/>
          <w:sz w:val="28"/>
          <w:szCs w:val="28"/>
          <w:lang w:eastAsia="en-US"/>
        </w:rPr>
        <w:t xml:space="preserve">пан-євро-середземноморські преференційні правила походження» (далі – оновлена Конвенція ПЄМ). </w:t>
      </w:r>
    </w:p>
    <w:p w14:paraId="59807B9B" w14:textId="77777777" w:rsidR="004148FD" w:rsidRPr="004148FD" w:rsidRDefault="004148FD" w:rsidP="004148F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8FD">
        <w:rPr>
          <w:rFonts w:eastAsiaTheme="minorHAnsi"/>
          <w:sz w:val="28"/>
          <w:szCs w:val="28"/>
          <w:lang w:eastAsia="en-US"/>
        </w:rPr>
        <w:t>При цьому з цієї ж дати втратили чинність:</w:t>
      </w:r>
    </w:p>
    <w:p w14:paraId="3112C579" w14:textId="77777777" w:rsidR="004148FD" w:rsidRPr="004148FD" w:rsidRDefault="004148FD" w:rsidP="004148F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8FD">
        <w:rPr>
          <w:rFonts w:eastAsiaTheme="minorHAnsi"/>
          <w:sz w:val="28"/>
          <w:szCs w:val="28"/>
          <w:lang w:eastAsia="en-US"/>
        </w:rPr>
        <w:t>правила походження Регіональної конвенції про пан-євро-середземноморські преференційні правила походження (далі – первинна редакція правил походження Конвенції ПЄМ), до якої Україна приєдналася згідно із Законом України від 08 листопада 2017 року № 2187-VIII;</w:t>
      </w:r>
    </w:p>
    <w:p w14:paraId="382E7678" w14:textId="29F229AD" w:rsidR="004148FD" w:rsidRPr="004148FD" w:rsidRDefault="004148FD" w:rsidP="002375D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8FD">
        <w:rPr>
          <w:rFonts w:eastAsiaTheme="minorHAnsi"/>
          <w:sz w:val="28"/>
          <w:szCs w:val="28"/>
          <w:lang w:eastAsia="en-US"/>
        </w:rPr>
        <w:t xml:space="preserve">альтернативні правила походження до Конвенції, схвалені Рішенням                      № 1/2023 Підкомітету Україна </w:t>
      </w:r>
      <w:r w:rsidR="002375DC">
        <w:rPr>
          <w:rFonts w:eastAsiaTheme="minorHAnsi"/>
          <w:sz w:val="28"/>
          <w:szCs w:val="28"/>
          <w:lang w:eastAsia="en-US"/>
        </w:rPr>
        <w:t>–</w:t>
      </w:r>
      <w:r w:rsidRPr="004148FD">
        <w:rPr>
          <w:rFonts w:eastAsiaTheme="minorHAnsi"/>
          <w:sz w:val="28"/>
          <w:szCs w:val="28"/>
          <w:lang w:eastAsia="en-US"/>
        </w:rPr>
        <w:t xml:space="preserve"> ЄС з питань митного співробітництва </w:t>
      </w:r>
      <w:r w:rsidR="00E021E1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4148FD">
        <w:rPr>
          <w:rFonts w:eastAsiaTheme="minorHAnsi"/>
          <w:sz w:val="28"/>
          <w:szCs w:val="28"/>
          <w:lang w:eastAsia="en-US"/>
        </w:rPr>
        <w:t xml:space="preserve">від 16 листопада 2023 року про внесення змін до Протоколу I «Щодо визначення концепції «походження товарів» і методів адміністративного співробітництва» до </w:t>
      </w:r>
      <w:hyperlink r:id="rId8" w:tgtFrame="_blank" w:history="1">
        <w:r w:rsidRPr="004148FD">
          <w:rPr>
            <w:rFonts w:eastAsiaTheme="minorHAnsi"/>
            <w:sz w:val="28"/>
            <w:szCs w:val="28"/>
            <w:lang w:eastAsia="en-US"/>
          </w:rPr>
          <w:t>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</w:r>
      </w:hyperlink>
      <w:r w:rsidRPr="004148FD">
        <w:rPr>
          <w:rFonts w:eastAsiaTheme="minorHAnsi"/>
          <w:sz w:val="28"/>
          <w:szCs w:val="28"/>
          <w:lang w:eastAsia="en-US"/>
        </w:rPr>
        <w:t xml:space="preserve"> (далі – альтернативні правила).</w:t>
      </w:r>
    </w:p>
    <w:p w14:paraId="6983A651" w14:textId="4A3588B2" w:rsidR="004148FD" w:rsidRPr="004148FD" w:rsidRDefault="004148FD" w:rsidP="004148F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48FD">
        <w:rPr>
          <w:rFonts w:eastAsiaTheme="minorHAnsi"/>
          <w:sz w:val="28"/>
          <w:szCs w:val="28"/>
          <w:lang w:eastAsia="en-US"/>
        </w:rPr>
        <w:t xml:space="preserve">Крім того, з 23 травня 2025 року набрали чинності перехідні правила </w:t>
      </w:r>
      <w:r w:rsidR="002375DC">
        <w:rPr>
          <w:rFonts w:eastAsiaTheme="minorHAnsi"/>
          <w:sz w:val="28"/>
          <w:szCs w:val="28"/>
          <w:lang w:eastAsia="en-US"/>
        </w:rPr>
        <w:t xml:space="preserve">            </w:t>
      </w:r>
      <w:r w:rsidRPr="004148FD">
        <w:rPr>
          <w:rFonts w:eastAsiaTheme="minorHAnsi"/>
          <w:sz w:val="28"/>
          <w:szCs w:val="28"/>
          <w:lang w:eastAsia="en-US"/>
        </w:rPr>
        <w:t xml:space="preserve">до оновленої Конвенції ПЄМ, ратифіковані Законом України </w:t>
      </w:r>
      <w:r w:rsidR="00D528A5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Pr="004148FD">
        <w:rPr>
          <w:rFonts w:eastAsiaTheme="minorHAnsi"/>
          <w:sz w:val="28"/>
          <w:szCs w:val="28"/>
          <w:lang w:eastAsia="en-US"/>
        </w:rPr>
        <w:t>від 01 травня 2025 року № 4414-IX «Про ратифікацію Рішення № 2/2024 Спільного комітету Регіональної конвенції про пан-євро-середземноморські преференційні правила походження від 12 грудня 2024 року щодо внесення змін до Рішення № 1/2023 Спільного комітету з метою включення перехідних положень до змін до Регіональної конвенції про пан-євро-середземноморські преференційні правила походження, що застосовуються з 1 січня 2025 року».</w:t>
      </w:r>
    </w:p>
    <w:p w14:paraId="7A9071A0" w14:textId="17961F20" w:rsidR="00B9066B" w:rsidRPr="005762FD" w:rsidRDefault="004148FD" w:rsidP="00B9066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Оновлена Конвенція ПЄМ</w:t>
      </w:r>
      <w:r w:rsidR="00B9066B">
        <w:rPr>
          <w:rFonts w:eastAsia="Times New Roman"/>
          <w:sz w:val="28"/>
          <w:szCs w:val="28"/>
          <w:lang w:eastAsia="ru-RU"/>
        </w:rPr>
        <w:t xml:space="preserve"> </w:t>
      </w:r>
      <w:r w:rsidR="00E20DDE">
        <w:rPr>
          <w:rFonts w:eastAsia="Times New Roman"/>
          <w:sz w:val="28"/>
          <w:szCs w:val="28"/>
          <w:lang w:eastAsia="ru-RU"/>
        </w:rPr>
        <w:t>порівняно</w:t>
      </w:r>
      <w:r w:rsidR="00D070AA">
        <w:rPr>
          <w:rFonts w:eastAsia="Times New Roman"/>
          <w:sz w:val="28"/>
          <w:szCs w:val="28"/>
          <w:lang w:eastAsia="ru-RU"/>
        </w:rPr>
        <w:t xml:space="preserve"> з </w:t>
      </w:r>
      <w:r>
        <w:rPr>
          <w:rFonts w:eastAsia="Times New Roman"/>
          <w:sz w:val="28"/>
          <w:szCs w:val="28"/>
          <w:lang w:eastAsia="ru-RU"/>
        </w:rPr>
        <w:t>первинною редакцією правил</w:t>
      </w:r>
      <w:r w:rsidR="00D070AA">
        <w:rPr>
          <w:rFonts w:eastAsia="Times New Roman"/>
          <w:sz w:val="28"/>
          <w:szCs w:val="28"/>
          <w:lang w:eastAsia="ru-RU"/>
        </w:rPr>
        <w:t xml:space="preserve"> походження Конвенції </w:t>
      </w:r>
      <w:r w:rsidR="00B9066B">
        <w:rPr>
          <w:rFonts w:eastAsia="Times New Roman"/>
          <w:sz w:val="28"/>
          <w:szCs w:val="28"/>
          <w:lang w:eastAsia="ru-RU"/>
        </w:rPr>
        <w:t>міст</w:t>
      </w:r>
      <w:r w:rsidR="002375DC">
        <w:rPr>
          <w:rFonts w:eastAsia="Times New Roman"/>
          <w:sz w:val="28"/>
          <w:szCs w:val="28"/>
          <w:lang w:eastAsia="ru-RU"/>
        </w:rPr>
        <w:t>и</w:t>
      </w:r>
      <w:r w:rsidR="00D070AA">
        <w:rPr>
          <w:rFonts w:eastAsia="Times New Roman"/>
          <w:sz w:val="28"/>
          <w:szCs w:val="28"/>
          <w:lang w:eastAsia="ru-RU"/>
        </w:rPr>
        <w:t>т</w:t>
      </w:r>
      <w:r w:rsidR="006A2014">
        <w:rPr>
          <w:rFonts w:eastAsia="Times New Roman"/>
          <w:sz w:val="28"/>
          <w:szCs w:val="28"/>
          <w:lang w:eastAsia="ru-RU"/>
        </w:rPr>
        <w:t>ь</w:t>
      </w:r>
      <w:r w:rsidR="00D070AA">
        <w:rPr>
          <w:rFonts w:eastAsia="Times New Roman"/>
          <w:sz w:val="28"/>
          <w:szCs w:val="28"/>
          <w:lang w:eastAsia="ru-RU"/>
        </w:rPr>
        <w:t xml:space="preserve"> новації та спрощення для суб’єктів господарювання щодо підтвердження преференційного походження товарів з України.</w:t>
      </w:r>
    </w:p>
    <w:p w14:paraId="1263FF2A" w14:textId="77777777" w:rsidR="005328C6" w:rsidRPr="0077713C" w:rsidRDefault="00AC60F9" w:rsidP="0077713C">
      <w:pPr>
        <w:ind w:firstLine="567"/>
        <w:jc w:val="both"/>
        <w:rPr>
          <w:sz w:val="28"/>
          <w:szCs w:val="28"/>
        </w:rPr>
      </w:pPr>
      <w:r w:rsidRPr="00A45649">
        <w:rPr>
          <w:rStyle w:val="font171"/>
        </w:rPr>
        <w:t xml:space="preserve">На сьогодні </w:t>
      </w:r>
      <w:r w:rsidR="005328C6">
        <w:rPr>
          <w:rStyle w:val="font171"/>
        </w:rPr>
        <w:t>митними органами</w:t>
      </w:r>
      <w:r w:rsidR="00946F93">
        <w:rPr>
          <w:rStyle w:val="font171"/>
        </w:rPr>
        <w:t xml:space="preserve"> із застосуванням вказаних преференційних правил походження </w:t>
      </w:r>
      <w:r w:rsidR="005328C6">
        <w:rPr>
          <w:rStyle w:val="font171"/>
        </w:rPr>
        <w:t xml:space="preserve">здійснюється підтримка експорту </w:t>
      </w:r>
      <w:r w:rsidR="006D6000">
        <w:rPr>
          <w:rStyle w:val="font171"/>
        </w:rPr>
        <w:t xml:space="preserve">(реекспорту) </w:t>
      </w:r>
      <w:r w:rsidR="005328C6">
        <w:rPr>
          <w:rStyle w:val="font171"/>
        </w:rPr>
        <w:t>товарів з України до країн Європейського Союзу шляхом видачі</w:t>
      </w:r>
      <w:r w:rsidR="005328C6">
        <w:rPr>
          <w:sz w:val="28"/>
          <w:szCs w:val="28"/>
        </w:rPr>
        <w:t xml:space="preserve"> сертифікатів</w:t>
      </w:r>
      <w:r w:rsidRPr="00A45649">
        <w:rPr>
          <w:sz w:val="28"/>
          <w:szCs w:val="28"/>
        </w:rPr>
        <w:t xml:space="preserve"> з перевезення (походження) товару</w:t>
      </w:r>
      <w:r w:rsidR="005352D4">
        <w:rPr>
          <w:sz w:val="28"/>
          <w:szCs w:val="28"/>
        </w:rPr>
        <w:t xml:space="preserve"> EUR.1</w:t>
      </w:r>
      <w:r w:rsidR="0077713C">
        <w:rPr>
          <w:sz w:val="28"/>
          <w:szCs w:val="28"/>
        </w:rPr>
        <w:t xml:space="preserve"> (далі – сертифікат </w:t>
      </w:r>
      <w:r w:rsidR="0077713C">
        <w:rPr>
          <w:sz w:val="28"/>
          <w:szCs w:val="28"/>
          <w:lang w:val="en-US"/>
        </w:rPr>
        <w:t>EUR</w:t>
      </w:r>
      <w:r w:rsidR="0077713C" w:rsidRPr="0077713C">
        <w:rPr>
          <w:sz w:val="28"/>
          <w:szCs w:val="28"/>
        </w:rPr>
        <w:t>.1</w:t>
      </w:r>
      <w:r w:rsidR="0077713C">
        <w:rPr>
          <w:sz w:val="28"/>
          <w:szCs w:val="28"/>
        </w:rPr>
        <w:t>)</w:t>
      </w:r>
      <w:r w:rsidR="00435F7D" w:rsidRPr="00435F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28C6">
        <w:rPr>
          <w:sz w:val="28"/>
          <w:szCs w:val="28"/>
        </w:rPr>
        <w:t xml:space="preserve">у Порядку, </w:t>
      </w:r>
      <w:r w:rsidR="005328C6">
        <w:rPr>
          <w:sz w:val="28"/>
          <w:szCs w:val="28"/>
        </w:rPr>
        <w:lastRenderedPageBreak/>
        <w:t>встановленому на</w:t>
      </w:r>
      <w:r w:rsidRPr="00A45649">
        <w:rPr>
          <w:sz w:val="28"/>
          <w:szCs w:val="28"/>
        </w:rPr>
        <w:t>казом Міністерства фінансів України від 02 березня 2021 року № 139</w:t>
      </w:r>
      <w:r w:rsidR="0077713C">
        <w:rPr>
          <w:sz w:val="28"/>
          <w:szCs w:val="28"/>
        </w:rPr>
        <w:t xml:space="preserve"> (далі –</w:t>
      </w:r>
      <w:r w:rsidR="0077713C" w:rsidRPr="0077713C">
        <w:rPr>
          <w:sz w:val="28"/>
          <w:szCs w:val="28"/>
        </w:rPr>
        <w:t xml:space="preserve"> </w:t>
      </w:r>
      <w:r w:rsidR="00946F93">
        <w:rPr>
          <w:sz w:val="28"/>
          <w:szCs w:val="28"/>
        </w:rPr>
        <w:t>наказ № 139)</w:t>
      </w:r>
      <w:r w:rsidR="005352D4">
        <w:rPr>
          <w:sz w:val="28"/>
          <w:szCs w:val="28"/>
        </w:rPr>
        <w:t>,</w:t>
      </w:r>
      <w:r w:rsidR="005328C6">
        <w:rPr>
          <w:sz w:val="28"/>
          <w:szCs w:val="28"/>
        </w:rPr>
        <w:t xml:space="preserve"> а також </w:t>
      </w:r>
      <w:r w:rsidR="00946F93">
        <w:rPr>
          <w:sz w:val="28"/>
          <w:szCs w:val="28"/>
        </w:rPr>
        <w:t xml:space="preserve">забезпечується відповідно до </w:t>
      </w:r>
      <w:r w:rsidR="00946F93" w:rsidRPr="008B7B9D">
        <w:rPr>
          <w:rStyle w:val="font171"/>
        </w:rPr>
        <w:t>наказ</w:t>
      </w:r>
      <w:r w:rsidR="00946F93">
        <w:rPr>
          <w:rStyle w:val="font171"/>
        </w:rPr>
        <w:t>у</w:t>
      </w:r>
      <w:r w:rsidR="00946F93" w:rsidRPr="008B7B9D">
        <w:rPr>
          <w:rStyle w:val="font171"/>
        </w:rPr>
        <w:t xml:space="preserve"> Міністерства фіна</w:t>
      </w:r>
      <w:r w:rsidR="00946F93">
        <w:rPr>
          <w:rStyle w:val="font171"/>
        </w:rPr>
        <w:t>нсів України від 07 жовтня 2014 </w:t>
      </w:r>
      <w:r w:rsidR="00946F93" w:rsidRPr="008B7B9D">
        <w:rPr>
          <w:rStyle w:val="font171"/>
        </w:rPr>
        <w:t>року № 1013 «Про затвердження Порядку надання та анулювання митницею статусу уповноваженого (схваленого) експортера</w:t>
      </w:r>
      <w:r w:rsidR="00946F93" w:rsidRPr="005762FD">
        <w:rPr>
          <w:rFonts w:eastAsia="Times New Roman"/>
          <w:sz w:val="28"/>
          <w:szCs w:val="28"/>
          <w:lang w:eastAsia="ru-RU"/>
        </w:rPr>
        <w:t>»</w:t>
      </w:r>
      <w:r w:rsidR="00946F93">
        <w:rPr>
          <w:rFonts w:eastAsia="Times New Roman"/>
          <w:sz w:val="28"/>
          <w:szCs w:val="28"/>
          <w:lang w:eastAsia="ru-RU"/>
        </w:rPr>
        <w:t xml:space="preserve"> (далі – наказ</w:t>
      </w:r>
      <w:r w:rsidR="009A7CC3">
        <w:rPr>
          <w:rFonts w:eastAsia="Times New Roman"/>
          <w:sz w:val="28"/>
          <w:szCs w:val="28"/>
          <w:lang w:eastAsia="ru-RU"/>
        </w:rPr>
        <w:t xml:space="preserve"> № 1013)</w:t>
      </w:r>
      <w:r w:rsidR="00946F93">
        <w:rPr>
          <w:sz w:val="28"/>
          <w:szCs w:val="28"/>
        </w:rPr>
        <w:t xml:space="preserve"> адміністрування в Україні інституту уповноважених (схвалених) експортерів, які мають можливість</w:t>
      </w:r>
      <w:r w:rsidR="00E20DDE">
        <w:rPr>
          <w:sz w:val="28"/>
          <w:szCs w:val="28"/>
        </w:rPr>
        <w:t xml:space="preserve"> без оформлення сертифіката</w:t>
      </w:r>
      <w:r w:rsidR="00946F93">
        <w:rPr>
          <w:sz w:val="28"/>
          <w:szCs w:val="28"/>
        </w:rPr>
        <w:t xml:space="preserve"> EUR.1 самостійно деклар</w:t>
      </w:r>
      <w:r w:rsidR="004148FD">
        <w:rPr>
          <w:sz w:val="28"/>
          <w:szCs w:val="28"/>
        </w:rPr>
        <w:t xml:space="preserve">увати преференційне походження </w:t>
      </w:r>
      <w:r w:rsidR="00946F93">
        <w:rPr>
          <w:sz w:val="28"/>
          <w:szCs w:val="28"/>
        </w:rPr>
        <w:t>товарів на комерційних документах (інвойсах).</w:t>
      </w:r>
    </w:p>
    <w:p w14:paraId="2140A170" w14:textId="77777777" w:rsidR="00435F7D" w:rsidRPr="005E5C6B" w:rsidRDefault="00E20DDE" w:rsidP="005E5C6B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Водночас</w:t>
      </w:r>
      <w:r w:rsidR="005328C6">
        <w:rPr>
          <w:rFonts w:eastAsia="Times New Roman"/>
          <w:sz w:val="28"/>
          <w:szCs w:val="28"/>
        </w:rPr>
        <w:t xml:space="preserve"> вказані </w:t>
      </w:r>
      <w:r w:rsidR="005328C6" w:rsidRPr="005328C6">
        <w:rPr>
          <w:rFonts w:eastAsia="Times New Roman"/>
          <w:sz w:val="28"/>
          <w:szCs w:val="28"/>
        </w:rPr>
        <w:t>нормативно-правові акти</w:t>
      </w:r>
      <w:r w:rsidR="005328C6">
        <w:rPr>
          <w:rFonts w:eastAsia="Times New Roman"/>
          <w:sz w:val="28"/>
          <w:szCs w:val="28"/>
        </w:rPr>
        <w:t xml:space="preserve"> Міністерства фінансів України </w:t>
      </w:r>
      <w:r w:rsidR="005328C6" w:rsidRPr="005328C6">
        <w:rPr>
          <w:rFonts w:eastAsia="Times New Roman"/>
          <w:sz w:val="28"/>
          <w:szCs w:val="28"/>
        </w:rPr>
        <w:t>з питань підтвердження преференційного походження товару з України</w:t>
      </w:r>
      <w:r w:rsidR="00946F93" w:rsidRPr="00946F93">
        <w:rPr>
          <w:rFonts w:eastAsia="Times New Roman"/>
          <w:sz w:val="28"/>
          <w:szCs w:val="28"/>
        </w:rPr>
        <w:t xml:space="preserve"> </w:t>
      </w:r>
      <w:r w:rsidR="00946F93">
        <w:rPr>
          <w:rFonts w:eastAsia="Times New Roman"/>
          <w:sz w:val="28"/>
          <w:szCs w:val="28"/>
        </w:rPr>
        <w:t xml:space="preserve">не містять </w:t>
      </w:r>
      <w:r w:rsidR="004148FD">
        <w:rPr>
          <w:rFonts w:eastAsia="Times New Roman"/>
          <w:sz w:val="28"/>
          <w:szCs w:val="28"/>
        </w:rPr>
        <w:t>окремих положень оновленої Конвенції ПЄМ</w:t>
      </w:r>
      <w:r w:rsidR="005E5C6B" w:rsidRPr="005E5C6B">
        <w:rPr>
          <w:rFonts w:eastAsia="Times New Roman"/>
          <w:sz w:val="28"/>
          <w:szCs w:val="28"/>
        </w:rPr>
        <w:t xml:space="preserve"> </w:t>
      </w:r>
      <w:r w:rsidR="005E5C6B">
        <w:rPr>
          <w:rFonts w:eastAsia="Times New Roman"/>
          <w:sz w:val="28"/>
          <w:szCs w:val="28"/>
        </w:rPr>
        <w:t>щодо</w:t>
      </w:r>
      <w:r w:rsidR="00435F7D" w:rsidRPr="00435F7D">
        <w:rPr>
          <w:rFonts w:eastAsiaTheme="minorHAnsi"/>
          <w:sz w:val="28"/>
          <w:szCs w:val="28"/>
          <w:lang w:eastAsia="en-US"/>
        </w:rPr>
        <w:t>:</w:t>
      </w:r>
      <w:r w:rsidR="009A7CC3">
        <w:rPr>
          <w:rFonts w:eastAsiaTheme="minorHAnsi"/>
          <w:sz w:val="28"/>
          <w:szCs w:val="28"/>
          <w:lang w:eastAsia="en-US"/>
        </w:rPr>
        <w:t xml:space="preserve"> </w:t>
      </w:r>
    </w:p>
    <w:p w14:paraId="477DFB7C" w14:textId="77777777" w:rsidR="00435F7D" w:rsidRPr="00435F7D" w:rsidRDefault="00435F7D" w:rsidP="00435F7D">
      <w:pPr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подання </w:t>
      </w:r>
      <w:r w:rsidRPr="00435F7D">
        <w:rPr>
          <w:rFonts w:eastAsiaTheme="minorHAnsi"/>
          <w:sz w:val="28"/>
          <w:szCs w:val="28"/>
          <w:lang w:eastAsia="en-US"/>
        </w:rPr>
        <w:t>документів, необхідних для видачі сертифікатів EUR.1</w:t>
      </w:r>
      <w:r>
        <w:rPr>
          <w:rFonts w:eastAsiaTheme="minorHAnsi"/>
          <w:sz w:val="28"/>
          <w:szCs w:val="28"/>
          <w:lang w:eastAsia="en-US"/>
        </w:rPr>
        <w:t>,</w:t>
      </w:r>
      <w:r w:rsidRPr="00435F7D">
        <w:rPr>
          <w:rFonts w:eastAsiaTheme="minorHAnsi"/>
          <w:sz w:val="28"/>
          <w:szCs w:val="28"/>
          <w:lang w:eastAsia="en-US"/>
        </w:rPr>
        <w:t xml:space="preserve"> що свідчать про о</w:t>
      </w:r>
      <w:r w:rsidR="00E021E1">
        <w:rPr>
          <w:rFonts w:eastAsiaTheme="minorHAnsi"/>
          <w:sz w:val="28"/>
          <w:szCs w:val="28"/>
          <w:lang w:eastAsia="en-US"/>
        </w:rPr>
        <w:t>бробку чи переробку матеріалів у</w:t>
      </w:r>
      <w:r w:rsidRPr="00435F7D">
        <w:rPr>
          <w:rFonts w:eastAsiaTheme="minorHAnsi"/>
          <w:sz w:val="28"/>
          <w:szCs w:val="28"/>
          <w:lang w:eastAsia="en-US"/>
        </w:rPr>
        <w:t xml:space="preserve"> </w:t>
      </w:r>
      <w:r w:rsidR="00E021E1">
        <w:rPr>
          <w:rFonts w:eastAsiaTheme="minorHAnsi"/>
          <w:sz w:val="28"/>
          <w:szCs w:val="28"/>
          <w:lang w:eastAsia="en-US"/>
        </w:rPr>
        <w:t>державах-</w:t>
      </w:r>
      <w:r w:rsidR="00C3031F">
        <w:rPr>
          <w:rFonts w:eastAsiaTheme="minorHAnsi"/>
          <w:sz w:val="28"/>
          <w:szCs w:val="28"/>
          <w:lang w:eastAsia="en-US"/>
        </w:rPr>
        <w:t>учасницях</w:t>
      </w:r>
      <w:r w:rsidRPr="00435F7D">
        <w:rPr>
          <w:rFonts w:eastAsiaTheme="minorHAnsi"/>
          <w:sz w:val="28"/>
          <w:szCs w:val="28"/>
          <w:lang w:eastAsia="en-US"/>
        </w:rPr>
        <w:t xml:space="preserve"> Конвенції без отримання преференційного статусу походження та про доставку товарів походження з України до держав, з якими Україною укладено міжнародні угоди про вільну торгівлю;</w:t>
      </w:r>
    </w:p>
    <w:p w14:paraId="4725ADEC" w14:textId="77777777" w:rsidR="00435F7D" w:rsidRPr="00435F7D" w:rsidRDefault="00E021E1" w:rsidP="00435F7D">
      <w:pPr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можливості</w:t>
      </w:r>
      <w:r w:rsidR="007771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5F7D" w:rsidRPr="00435F7D">
        <w:rPr>
          <w:rFonts w:eastAsiaTheme="minorHAnsi"/>
          <w:bCs/>
          <w:sz w:val="28"/>
          <w:szCs w:val="28"/>
          <w:lang w:eastAsia="en-US"/>
        </w:rPr>
        <w:t>видачі сертифіката EUR.1 після здійснення експорту (реекспорту) товарів</w:t>
      </w:r>
      <w:r w:rsidR="0077713C" w:rsidRPr="007771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7713C" w:rsidRPr="00426303">
        <w:rPr>
          <w:rStyle w:val="font171"/>
          <w:bCs/>
          <w:lang w:eastAsia="en-US"/>
        </w:rPr>
        <w:t>після здійсне</w:t>
      </w:r>
      <w:r w:rsidR="0077713C">
        <w:rPr>
          <w:rStyle w:val="font171"/>
          <w:bCs/>
        </w:rPr>
        <w:t>ння експорту (реекспорту) товарів</w:t>
      </w:r>
      <w:r w:rsidR="0077713C" w:rsidRPr="00DB1E14">
        <w:rPr>
          <w:rStyle w:val="font171"/>
          <w:bCs/>
          <w:lang w:eastAsia="en-US"/>
        </w:rPr>
        <w:t xml:space="preserve"> через відсутність інформації про кінцевий пункт призначення товарів, визначений під час їх транспортування або зберігання та після можливого поділу партії товарів</w:t>
      </w:r>
      <w:r w:rsidR="0077713C">
        <w:rPr>
          <w:rStyle w:val="font171"/>
          <w:bCs/>
        </w:rPr>
        <w:t xml:space="preserve"> в державі транзиту товару</w:t>
      </w:r>
      <w:r w:rsidR="00435F7D" w:rsidRPr="00435F7D">
        <w:rPr>
          <w:rFonts w:eastAsiaTheme="minorHAnsi"/>
          <w:bCs/>
          <w:sz w:val="28"/>
          <w:szCs w:val="28"/>
          <w:lang w:eastAsia="en-US"/>
        </w:rPr>
        <w:t>;</w:t>
      </w:r>
    </w:p>
    <w:p w14:paraId="0B8E0377" w14:textId="77777777" w:rsidR="00435F7D" w:rsidRPr="00435F7D" w:rsidRDefault="00435F7D" w:rsidP="00435F7D">
      <w:pPr>
        <w:widowControl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bookmarkStart w:id="1" w:name="n4"/>
      <w:bookmarkEnd w:id="1"/>
      <w:r w:rsidRPr="00435F7D">
        <w:rPr>
          <w:rFonts w:eastAsiaTheme="minorHAnsi"/>
          <w:sz w:val="28"/>
          <w:szCs w:val="28"/>
          <w:lang w:eastAsia="en-US"/>
        </w:rPr>
        <w:t xml:space="preserve">зазначення в документах, що підтверджують преференційне походження товарів з України, вагових характеристик матеріалів непреференційного походження, використаних при виробництві кінцевого товару. </w:t>
      </w:r>
    </w:p>
    <w:p w14:paraId="62279FB4" w14:textId="77777777" w:rsidR="006317BC" w:rsidRPr="000220A7" w:rsidRDefault="00435F7D" w:rsidP="000220A7">
      <w:pPr>
        <w:ind w:firstLine="567"/>
        <w:jc w:val="both"/>
        <w:rPr>
          <w:rStyle w:val="font171"/>
        </w:rPr>
      </w:pPr>
      <w:r>
        <w:rPr>
          <w:rStyle w:val="font171"/>
        </w:rPr>
        <w:t>Існуючий</w:t>
      </w:r>
      <w:r w:rsidR="009D0793" w:rsidRPr="00A45649">
        <w:rPr>
          <w:rStyle w:val="font171"/>
        </w:rPr>
        <w:t xml:space="preserve"> механізм</w:t>
      </w:r>
      <w:r w:rsidR="000220A7">
        <w:rPr>
          <w:rStyle w:val="font171"/>
        </w:rPr>
        <w:t xml:space="preserve"> </w:t>
      </w:r>
      <w:r w:rsidR="003420A6">
        <w:rPr>
          <w:rStyle w:val="font171"/>
        </w:rPr>
        <w:t xml:space="preserve">не передбачає </w:t>
      </w:r>
      <w:r w:rsidR="000220A7" w:rsidRPr="000220A7">
        <w:rPr>
          <w:rStyle w:val="font171"/>
        </w:rPr>
        <w:t>видачу митними органами сертифікатів з перевезення товару EUR.1</w:t>
      </w:r>
      <w:r w:rsidRPr="00435F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220A7" w:rsidRPr="000220A7">
        <w:rPr>
          <w:rStyle w:val="font171"/>
        </w:rPr>
        <w:t xml:space="preserve">із застосуванням </w:t>
      </w:r>
      <w:r w:rsidR="003420A6">
        <w:rPr>
          <w:rStyle w:val="font171"/>
        </w:rPr>
        <w:t xml:space="preserve">положень </w:t>
      </w:r>
      <w:r>
        <w:rPr>
          <w:rStyle w:val="font171"/>
        </w:rPr>
        <w:t>оновленої Конвенції ПЄМ</w:t>
      </w:r>
      <w:r w:rsidR="000220A7" w:rsidRPr="000220A7">
        <w:rPr>
          <w:rStyle w:val="font171"/>
        </w:rPr>
        <w:t>, що ускладнює доступ товарів українського походження на зовнішні ринки на пільгових умовах оподаткування та не сприяє підвищенню рівня конкурентоспроможності вітчизняної продукції.</w:t>
      </w:r>
    </w:p>
    <w:p w14:paraId="2526B46D" w14:textId="4B0F61EF" w:rsidR="009A7CC3" w:rsidRDefault="00B91E6A" w:rsidP="009A7CC3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5649">
        <w:rPr>
          <w:rStyle w:val="font171"/>
        </w:rPr>
        <w:t xml:space="preserve">Метою </w:t>
      </w:r>
      <w:r w:rsidR="00E23F06" w:rsidRPr="00A45649">
        <w:rPr>
          <w:rStyle w:val="font171"/>
        </w:rPr>
        <w:t>роз</w:t>
      </w:r>
      <w:r w:rsidR="005352D4">
        <w:rPr>
          <w:rStyle w:val="font171"/>
        </w:rPr>
        <w:t xml:space="preserve">роблення </w:t>
      </w:r>
      <w:r w:rsidR="00E20DDE">
        <w:rPr>
          <w:rStyle w:val="font171"/>
        </w:rPr>
        <w:t>проє</w:t>
      </w:r>
      <w:r w:rsidR="007A352A" w:rsidRPr="00A45649">
        <w:rPr>
          <w:rStyle w:val="font171"/>
        </w:rPr>
        <w:t>кту наказу</w:t>
      </w:r>
      <w:r w:rsidR="005352D4" w:rsidRPr="005352D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352D4" w:rsidRPr="005352D4">
        <w:rPr>
          <w:rFonts w:eastAsiaTheme="minorHAnsi"/>
          <w:sz w:val="28"/>
          <w:szCs w:val="28"/>
          <w:lang w:eastAsia="en-US"/>
        </w:rPr>
        <w:t xml:space="preserve">Міністерства фінансів </w:t>
      </w:r>
      <w:r w:rsidR="005352D4" w:rsidRPr="003B765C">
        <w:rPr>
          <w:rStyle w:val="font171"/>
        </w:rPr>
        <w:t xml:space="preserve">України </w:t>
      </w:r>
      <w:r w:rsidR="005352D4" w:rsidRPr="009A7CC3">
        <w:rPr>
          <w:rStyle w:val="font171"/>
        </w:rPr>
        <w:t>«</w:t>
      </w:r>
      <w:r w:rsidR="003B765C" w:rsidRPr="003B765C">
        <w:rPr>
          <w:rStyle w:val="font171"/>
        </w:rPr>
        <w:t xml:space="preserve">Про внесення змін до деяких нормативно-правових актів Міністерства фінансів України» </w:t>
      </w:r>
      <w:r w:rsidR="00E20DDE" w:rsidRPr="00435F7D">
        <w:rPr>
          <w:rStyle w:val="font171"/>
        </w:rPr>
        <w:t>(</w:t>
      </w:r>
      <w:r w:rsidR="00E20DDE">
        <w:rPr>
          <w:rStyle w:val="font171"/>
        </w:rPr>
        <w:t>далі – проє</w:t>
      </w:r>
      <w:r w:rsidR="005352D4">
        <w:rPr>
          <w:rStyle w:val="font171"/>
        </w:rPr>
        <w:t>кт наказу)</w:t>
      </w:r>
      <w:r w:rsidRPr="00A45649">
        <w:rPr>
          <w:rStyle w:val="font171"/>
        </w:rPr>
        <w:t xml:space="preserve"> є</w:t>
      </w:r>
      <w:r w:rsidR="00B676F1" w:rsidRPr="003B765C">
        <w:rPr>
          <w:rStyle w:val="font171"/>
        </w:rPr>
        <w:t xml:space="preserve"> </w:t>
      </w:r>
      <w:bookmarkStart w:id="2" w:name="bookmark15"/>
      <w:bookmarkEnd w:id="2"/>
      <w:r w:rsidR="009A7CC3">
        <w:rPr>
          <w:rStyle w:val="font171"/>
        </w:rPr>
        <w:t>забезпечення реалізації положень</w:t>
      </w:r>
      <w:r w:rsidR="00E021E1">
        <w:rPr>
          <w:rStyle w:val="font171"/>
        </w:rPr>
        <w:t xml:space="preserve"> оновленої Регіональної</w:t>
      </w:r>
      <w:r w:rsidR="00F017AB">
        <w:rPr>
          <w:rFonts w:eastAsiaTheme="minorHAnsi"/>
          <w:sz w:val="28"/>
          <w:szCs w:val="28"/>
          <w:lang w:eastAsia="en-US"/>
        </w:rPr>
        <w:t xml:space="preserve"> конвенції</w:t>
      </w:r>
      <w:r w:rsidR="00435F7D" w:rsidRPr="004148FD">
        <w:rPr>
          <w:rFonts w:eastAsiaTheme="minorHAnsi"/>
          <w:sz w:val="28"/>
          <w:szCs w:val="28"/>
          <w:lang w:eastAsia="en-US"/>
        </w:rPr>
        <w:t xml:space="preserve"> про пан-євро-середземноморські преференційні правил</w:t>
      </w:r>
      <w:r w:rsidR="00E021E1">
        <w:rPr>
          <w:rFonts w:eastAsiaTheme="minorHAnsi"/>
          <w:sz w:val="28"/>
          <w:szCs w:val="28"/>
          <w:lang w:eastAsia="en-US"/>
        </w:rPr>
        <w:t>а походження, ратифікованої</w:t>
      </w:r>
      <w:r w:rsidR="00435F7D" w:rsidRPr="004148FD">
        <w:rPr>
          <w:rFonts w:eastAsiaTheme="minorHAnsi"/>
          <w:sz w:val="28"/>
          <w:szCs w:val="28"/>
          <w:lang w:eastAsia="en-US"/>
        </w:rPr>
        <w:t xml:space="preserve"> Законом України від 17 грудня 2024 року </w:t>
      </w:r>
      <w:r w:rsidR="00E021E1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435F7D" w:rsidRPr="004148FD">
        <w:rPr>
          <w:rFonts w:eastAsiaTheme="minorHAnsi"/>
          <w:sz w:val="28"/>
          <w:szCs w:val="28"/>
          <w:lang w:eastAsia="en-US"/>
        </w:rPr>
        <w:t>№ 4148-IX «Про ратифікацію Рішення № 1/2023 Спільного комітету Регіональної конвенції про пан-євро-середземноморські преференційні правила походження від 07 грудня 2023 року про внесення змін до Регіональної конвенції про пан-євро-середземноморські преференційні правила походження»</w:t>
      </w:r>
      <w:r w:rsidR="006E5749">
        <w:rPr>
          <w:rStyle w:val="font171"/>
        </w:rPr>
        <w:t>,</w:t>
      </w:r>
      <w:r w:rsidR="009A7CC3">
        <w:rPr>
          <w:rStyle w:val="font171"/>
        </w:rPr>
        <w:t xml:space="preserve"> шляхом </w:t>
      </w:r>
      <w:r w:rsidR="009A7CC3">
        <w:rPr>
          <w:rFonts w:eastAsia="Times New Roman"/>
          <w:sz w:val="28"/>
          <w:szCs w:val="28"/>
        </w:rPr>
        <w:t>актуалізації</w:t>
      </w:r>
      <w:r w:rsidR="009A7CC3" w:rsidRPr="009A7CC3">
        <w:rPr>
          <w:rFonts w:eastAsia="Times New Roman"/>
          <w:sz w:val="28"/>
          <w:szCs w:val="28"/>
        </w:rPr>
        <w:t xml:space="preserve"> положень нормативно-правових актів</w:t>
      </w:r>
      <w:r w:rsidR="009A7CC3">
        <w:rPr>
          <w:rFonts w:eastAsia="Times New Roman"/>
          <w:sz w:val="28"/>
          <w:szCs w:val="28"/>
        </w:rPr>
        <w:t xml:space="preserve"> Міністерства фінансів України</w:t>
      </w:r>
      <w:r w:rsidR="009A7CC3" w:rsidRPr="009A7CC3">
        <w:rPr>
          <w:rFonts w:eastAsia="Times New Roman"/>
          <w:sz w:val="28"/>
          <w:szCs w:val="28"/>
        </w:rPr>
        <w:t xml:space="preserve"> з питань підтвердження преференційного </w:t>
      </w:r>
      <w:r w:rsidR="003420A6">
        <w:rPr>
          <w:rFonts w:eastAsia="Times New Roman"/>
          <w:sz w:val="28"/>
          <w:szCs w:val="28"/>
        </w:rPr>
        <w:t>походження товарів з України</w:t>
      </w:r>
      <w:r w:rsidR="009A7CC3">
        <w:rPr>
          <w:rFonts w:eastAsia="Times New Roman"/>
          <w:sz w:val="28"/>
          <w:szCs w:val="28"/>
        </w:rPr>
        <w:t>, а також</w:t>
      </w:r>
      <w:r w:rsidR="009A7CC3" w:rsidRPr="009A7CC3">
        <w:rPr>
          <w:rFonts w:eastAsiaTheme="minorHAnsi"/>
          <w:sz w:val="28"/>
          <w:szCs w:val="28"/>
          <w:lang w:eastAsia="en-US"/>
        </w:rPr>
        <w:t xml:space="preserve"> уточнення </w:t>
      </w:r>
      <w:r w:rsidR="0077713C">
        <w:rPr>
          <w:rFonts w:eastAsiaTheme="minorHAnsi"/>
          <w:sz w:val="28"/>
          <w:szCs w:val="28"/>
          <w:lang w:eastAsia="en-US"/>
        </w:rPr>
        <w:t xml:space="preserve">переліку документів, необхідних для видачі </w:t>
      </w:r>
      <w:r w:rsidR="009A7CC3" w:rsidRPr="009A7CC3">
        <w:rPr>
          <w:rFonts w:eastAsiaTheme="minorHAnsi"/>
          <w:sz w:val="28"/>
          <w:szCs w:val="28"/>
          <w:lang w:eastAsia="en-US"/>
        </w:rPr>
        <w:t>сертифікатів EUR.1</w:t>
      </w:r>
      <w:r w:rsidR="00E83604">
        <w:rPr>
          <w:rFonts w:eastAsiaTheme="minorHAnsi"/>
          <w:sz w:val="28"/>
          <w:szCs w:val="28"/>
          <w:lang w:eastAsia="en-US"/>
        </w:rPr>
        <w:t>, у</w:t>
      </w:r>
      <w:r w:rsidR="0077713C">
        <w:rPr>
          <w:rFonts w:eastAsiaTheme="minorHAnsi"/>
          <w:sz w:val="28"/>
          <w:szCs w:val="28"/>
          <w:lang w:eastAsia="en-US"/>
        </w:rPr>
        <w:t xml:space="preserve"> тому числі уточнення</w:t>
      </w:r>
      <w:r w:rsidR="009A7CC3" w:rsidRPr="009A7CC3">
        <w:rPr>
          <w:rFonts w:eastAsiaTheme="minorHAnsi"/>
          <w:sz w:val="28"/>
          <w:szCs w:val="28"/>
          <w:lang w:eastAsia="en-US"/>
        </w:rPr>
        <w:t xml:space="preserve"> </w:t>
      </w:r>
      <w:r w:rsidR="0077713C" w:rsidRPr="00435F7D">
        <w:rPr>
          <w:rFonts w:eastAsiaTheme="minorHAnsi"/>
          <w:sz w:val="28"/>
          <w:szCs w:val="28"/>
          <w:lang w:eastAsia="en-US"/>
        </w:rPr>
        <w:t xml:space="preserve">випадків </w:t>
      </w:r>
      <w:r w:rsidR="0077713C" w:rsidRPr="00435F7D">
        <w:rPr>
          <w:rFonts w:eastAsiaTheme="minorHAnsi"/>
          <w:bCs/>
          <w:sz w:val="28"/>
          <w:szCs w:val="28"/>
          <w:lang w:eastAsia="en-US"/>
        </w:rPr>
        <w:t xml:space="preserve">видачі сертифіката EUR.1 </w:t>
      </w:r>
      <w:r w:rsidR="0077713C" w:rsidRPr="00435F7D">
        <w:rPr>
          <w:rFonts w:eastAsiaTheme="minorHAnsi"/>
          <w:bCs/>
          <w:sz w:val="28"/>
          <w:szCs w:val="28"/>
          <w:lang w:eastAsia="en-US"/>
        </w:rPr>
        <w:lastRenderedPageBreak/>
        <w:t>після здійснення експорту (реекспорту) товарів</w:t>
      </w:r>
      <w:r w:rsidR="0077713C" w:rsidRPr="0077713C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77713C">
        <w:rPr>
          <w:rFonts w:eastAsiaTheme="minorHAnsi"/>
          <w:sz w:val="28"/>
          <w:szCs w:val="28"/>
          <w:lang w:eastAsia="en-US"/>
        </w:rPr>
        <w:t>підтвердження преференційного</w:t>
      </w:r>
      <w:r w:rsidR="0077713C" w:rsidRPr="00435F7D">
        <w:rPr>
          <w:rFonts w:eastAsiaTheme="minorHAnsi"/>
          <w:sz w:val="28"/>
          <w:szCs w:val="28"/>
          <w:lang w:eastAsia="en-US"/>
        </w:rPr>
        <w:t xml:space="preserve"> походження товарів</w:t>
      </w:r>
      <w:r w:rsidR="0077713C">
        <w:rPr>
          <w:rFonts w:eastAsiaTheme="minorHAnsi"/>
          <w:sz w:val="28"/>
          <w:szCs w:val="28"/>
          <w:lang w:eastAsia="en-US"/>
        </w:rPr>
        <w:t xml:space="preserve"> з України з урахуванням</w:t>
      </w:r>
      <w:r w:rsidR="0077713C" w:rsidRPr="00435F7D">
        <w:rPr>
          <w:rFonts w:eastAsiaTheme="minorHAnsi"/>
          <w:sz w:val="28"/>
          <w:szCs w:val="28"/>
          <w:lang w:eastAsia="en-US"/>
        </w:rPr>
        <w:t xml:space="preserve"> вагових характеристик матеріалів непреференційного походження, використаних при виробництві кінцевого товару</w:t>
      </w:r>
      <w:r w:rsidR="009A7CC3" w:rsidRPr="009A7CC3">
        <w:rPr>
          <w:rFonts w:eastAsiaTheme="minorHAnsi"/>
          <w:sz w:val="28"/>
          <w:szCs w:val="28"/>
          <w:lang w:eastAsia="en-US"/>
        </w:rPr>
        <w:t>.</w:t>
      </w:r>
    </w:p>
    <w:p w14:paraId="58E492FC" w14:textId="77777777" w:rsidR="003B765C" w:rsidRPr="00EF3062" w:rsidRDefault="003B765C" w:rsidP="00A45649">
      <w:pPr>
        <w:ind w:firstLine="567"/>
        <w:rPr>
          <w:rStyle w:val="font171"/>
        </w:rPr>
      </w:pPr>
    </w:p>
    <w:p w14:paraId="53E7C222" w14:textId="77777777" w:rsidR="002B1D9E" w:rsidRDefault="002B1D9E" w:rsidP="00A45649">
      <w:pPr>
        <w:ind w:firstLine="567"/>
        <w:rPr>
          <w:rFonts w:eastAsiaTheme="minorHAnsi"/>
          <w:lang w:eastAsia="en-US"/>
        </w:rPr>
      </w:pPr>
      <w:r>
        <w:rPr>
          <w:rStyle w:val="font171"/>
        </w:rPr>
        <w:t>Основні групи (підгрупи), на які проблема справляє вплив: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72"/>
        <w:gridCol w:w="1134"/>
        <w:gridCol w:w="1085"/>
      </w:tblGrid>
      <w:tr w:rsidR="002B1D9E" w:rsidRPr="00691089" w14:paraId="78FEE1FE" w14:textId="77777777" w:rsidTr="005A0374">
        <w:trPr>
          <w:tblHeader/>
          <w:jc w:val="center"/>
        </w:trPr>
        <w:tc>
          <w:tcPr>
            <w:tcW w:w="5672" w:type="dxa"/>
          </w:tcPr>
          <w:p w14:paraId="7D0F8477" w14:textId="77777777" w:rsidR="002B1D9E" w:rsidRPr="00691089" w:rsidRDefault="002B1D9E" w:rsidP="00A45649">
            <w:r w:rsidRPr="00691089">
              <w:rPr>
                <w:rStyle w:val="font141"/>
                <w:sz w:val="24"/>
                <w:szCs w:val="24"/>
              </w:rPr>
              <w:t>Групи (підгрупи)</w:t>
            </w:r>
          </w:p>
        </w:tc>
        <w:tc>
          <w:tcPr>
            <w:tcW w:w="1134" w:type="dxa"/>
            <w:vAlign w:val="center"/>
          </w:tcPr>
          <w:p w14:paraId="5759BB92" w14:textId="77777777" w:rsidR="002B1D9E" w:rsidRPr="00691089" w:rsidRDefault="002B1D9E" w:rsidP="00A45649">
            <w:r w:rsidRPr="00691089">
              <w:rPr>
                <w:rStyle w:val="font141"/>
                <w:sz w:val="24"/>
                <w:szCs w:val="24"/>
              </w:rPr>
              <w:t>Так</w:t>
            </w:r>
          </w:p>
        </w:tc>
        <w:tc>
          <w:tcPr>
            <w:tcW w:w="1085" w:type="dxa"/>
            <w:vAlign w:val="center"/>
          </w:tcPr>
          <w:p w14:paraId="287DB113" w14:textId="77777777" w:rsidR="002B1D9E" w:rsidRPr="00691089" w:rsidRDefault="002B1D9E" w:rsidP="00A45649">
            <w:r w:rsidRPr="00691089">
              <w:rPr>
                <w:rStyle w:val="font141"/>
                <w:sz w:val="24"/>
                <w:szCs w:val="24"/>
              </w:rPr>
              <w:t>Ні</w:t>
            </w:r>
          </w:p>
        </w:tc>
      </w:tr>
      <w:tr w:rsidR="002B1D9E" w:rsidRPr="00691089" w14:paraId="4F00F737" w14:textId="77777777" w:rsidTr="005A0374">
        <w:trPr>
          <w:jc w:val="center"/>
        </w:trPr>
        <w:tc>
          <w:tcPr>
            <w:tcW w:w="5672" w:type="dxa"/>
            <w:vAlign w:val="center"/>
          </w:tcPr>
          <w:p w14:paraId="6530C109" w14:textId="77777777" w:rsidR="002B1D9E" w:rsidRPr="00691089" w:rsidRDefault="002B1D9E" w:rsidP="00A45649">
            <w:r w:rsidRPr="00691089">
              <w:rPr>
                <w:rStyle w:val="font141"/>
                <w:sz w:val="24"/>
                <w:szCs w:val="24"/>
              </w:rPr>
              <w:t>Громадяни</w:t>
            </w:r>
          </w:p>
        </w:tc>
        <w:tc>
          <w:tcPr>
            <w:tcW w:w="1134" w:type="dxa"/>
            <w:vAlign w:val="center"/>
          </w:tcPr>
          <w:p w14:paraId="1A6A688A" w14:textId="77777777" w:rsidR="002B1D9E" w:rsidRPr="00691089" w:rsidRDefault="002B1D9E" w:rsidP="00145120">
            <w:pPr>
              <w:jc w:val="center"/>
            </w:pPr>
          </w:p>
        </w:tc>
        <w:tc>
          <w:tcPr>
            <w:tcW w:w="1085" w:type="dxa"/>
          </w:tcPr>
          <w:p w14:paraId="7F3929AE" w14:textId="77777777" w:rsidR="002B1D9E" w:rsidRPr="00691089" w:rsidRDefault="002B1D9E" w:rsidP="00145120">
            <w:pPr>
              <w:jc w:val="center"/>
            </w:pPr>
            <w:r w:rsidRPr="00691089">
              <w:rPr>
                <w:rStyle w:val="font141"/>
                <w:sz w:val="24"/>
                <w:szCs w:val="24"/>
              </w:rPr>
              <w:t>+</w:t>
            </w:r>
          </w:p>
        </w:tc>
      </w:tr>
      <w:tr w:rsidR="002B1D9E" w:rsidRPr="00691089" w14:paraId="4F965D47" w14:textId="77777777" w:rsidTr="005A0374">
        <w:trPr>
          <w:jc w:val="center"/>
        </w:trPr>
        <w:tc>
          <w:tcPr>
            <w:tcW w:w="5672" w:type="dxa"/>
            <w:vAlign w:val="center"/>
          </w:tcPr>
          <w:p w14:paraId="7318CE52" w14:textId="77777777" w:rsidR="002B1D9E" w:rsidRPr="00691089" w:rsidRDefault="002B1D9E" w:rsidP="00A45649">
            <w:r w:rsidRPr="00691089">
              <w:rPr>
                <w:rStyle w:val="font141"/>
                <w:sz w:val="24"/>
                <w:szCs w:val="24"/>
              </w:rPr>
              <w:t>Держава</w:t>
            </w:r>
          </w:p>
        </w:tc>
        <w:tc>
          <w:tcPr>
            <w:tcW w:w="1134" w:type="dxa"/>
            <w:vAlign w:val="center"/>
          </w:tcPr>
          <w:p w14:paraId="19B01BB9" w14:textId="77777777" w:rsidR="002B1D9E" w:rsidRPr="00691089" w:rsidRDefault="002B1D9E" w:rsidP="00145120">
            <w:pPr>
              <w:jc w:val="center"/>
            </w:pPr>
            <w:r w:rsidRPr="00691089">
              <w:rPr>
                <w:rStyle w:val="font141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14244C78" w14:textId="77777777" w:rsidR="002B1D9E" w:rsidRPr="00691089" w:rsidRDefault="007A5280" w:rsidP="00145120">
            <w:pPr>
              <w:jc w:val="center"/>
            </w:pPr>
            <w:r>
              <w:t>-</w:t>
            </w:r>
          </w:p>
        </w:tc>
      </w:tr>
      <w:tr w:rsidR="002B1D9E" w:rsidRPr="00691089" w14:paraId="7828450E" w14:textId="77777777" w:rsidTr="005A0374">
        <w:trPr>
          <w:jc w:val="center"/>
        </w:trPr>
        <w:tc>
          <w:tcPr>
            <w:tcW w:w="5672" w:type="dxa"/>
            <w:vAlign w:val="center"/>
          </w:tcPr>
          <w:p w14:paraId="568543C9" w14:textId="77777777" w:rsidR="002B1D9E" w:rsidRPr="00691089" w:rsidRDefault="002B1D9E" w:rsidP="00A45649">
            <w:r w:rsidRPr="00691089">
              <w:rPr>
                <w:rStyle w:val="font141"/>
                <w:sz w:val="24"/>
                <w:szCs w:val="24"/>
              </w:rPr>
              <w:t>Суб’єкти господарювання,</w:t>
            </w:r>
          </w:p>
        </w:tc>
        <w:tc>
          <w:tcPr>
            <w:tcW w:w="1134" w:type="dxa"/>
            <w:vAlign w:val="center"/>
          </w:tcPr>
          <w:p w14:paraId="51864B70" w14:textId="77777777" w:rsidR="002B1D9E" w:rsidRPr="00691089" w:rsidRDefault="002B1D9E" w:rsidP="00145120">
            <w:pPr>
              <w:jc w:val="center"/>
            </w:pPr>
            <w:r w:rsidRPr="00691089">
              <w:rPr>
                <w:rStyle w:val="font141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2808E43A" w14:textId="77777777" w:rsidR="002B1D9E" w:rsidRPr="00691089" w:rsidRDefault="007A5280" w:rsidP="00145120">
            <w:pPr>
              <w:jc w:val="center"/>
            </w:pPr>
            <w:r>
              <w:t>-</w:t>
            </w:r>
          </w:p>
        </w:tc>
      </w:tr>
      <w:tr w:rsidR="002B1D9E" w:rsidRPr="00691089" w14:paraId="209DB583" w14:textId="77777777" w:rsidTr="005A0374">
        <w:trPr>
          <w:jc w:val="center"/>
        </w:trPr>
        <w:tc>
          <w:tcPr>
            <w:tcW w:w="5672" w:type="dxa"/>
            <w:vAlign w:val="center"/>
          </w:tcPr>
          <w:p w14:paraId="3BEE2EEF" w14:textId="77777777" w:rsidR="002B1D9E" w:rsidRPr="009C147F" w:rsidRDefault="002B1D9E" w:rsidP="00A45649">
            <w:r w:rsidRPr="00691089">
              <w:rPr>
                <w:rStyle w:val="font141"/>
                <w:sz w:val="24"/>
                <w:szCs w:val="24"/>
              </w:rPr>
              <w:t>у тому числі суб’єкти малого підприємництва</w:t>
            </w:r>
          </w:p>
        </w:tc>
        <w:tc>
          <w:tcPr>
            <w:tcW w:w="1134" w:type="dxa"/>
            <w:vAlign w:val="center"/>
          </w:tcPr>
          <w:p w14:paraId="3B8B629D" w14:textId="77777777" w:rsidR="002B1D9E" w:rsidRPr="00691089" w:rsidRDefault="002B1D9E" w:rsidP="00145120">
            <w:pPr>
              <w:jc w:val="center"/>
            </w:pPr>
            <w:r w:rsidRPr="00691089">
              <w:rPr>
                <w:rStyle w:val="font141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6D52E811" w14:textId="77777777" w:rsidR="002B1D9E" w:rsidRPr="00691089" w:rsidRDefault="007A5280" w:rsidP="00145120">
            <w:pPr>
              <w:jc w:val="center"/>
            </w:pPr>
            <w:r>
              <w:t>-</w:t>
            </w:r>
          </w:p>
        </w:tc>
      </w:tr>
    </w:tbl>
    <w:p w14:paraId="5D491444" w14:textId="77777777" w:rsidR="008264C0" w:rsidRDefault="008264C0" w:rsidP="005352D4">
      <w:pPr>
        <w:ind w:firstLine="567"/>
        <w:jc w:val="both"/>
        <w:rPr>
          <w:rStyle w:val="font171"/>
        </w:rPr>
      </w:pPr>
    </w:p>
    <w:p w14:paraId="579B5EF3" w14:textId="77777777" w:rsidR="00C12599" w:rsidRDefault="00B91E6A" w:rsidP="00A45649">
      <w:pPr>
        <w:ind w:firstLine="567"/>
        <w:jc w:val="both"/>
        <w:rPr>
          <w:rStyle w:val="font171"/>
        </w:rPr>
      </w:pPr>
      <w:r>
        <w:rPr>
          <w:rStyle w:val="font171"/>
        </w:rPr>
        <w:t xml:space="preserve">Врегулювання зазначеного питання не може бути здійснено за допомогою: </w:t>
      </w:r>
    </w:p>
    <w:p w14:paraId="7E967FD8" w14:textId="77777777" w:rsidR="00B91E6A" w:rsidRDefault="00B91E6A" w:rsidP="00A45649">
      <w:pPr>
        <w:ind w:firstLine="567"/>
        <w:jc w:val="both"/>
      </w:pPr>
      <w:r>
        <w:rPr>
          <w:rStyle w:val="font171"/>
        </w:rPr>
        <w:t>ринкових механізмів, оскільки такі питання регулюються виключно нормативно-правовим актом;</w:t>
      </w:r>
    </w:p>
    <w:p w14:paraId="6EB36D10" w14:textId="77777777" w:rsidR="00B91E6A" w:rsidRPr="007C2D85" w:rsidRDefault="00B91E6A" w:rsidP="006E5749">
      <w:pPr>
        <w:ind w:firstLine="567"/>
        <w:jc w:val="both"/>
        <w:rPr>
          <w:rStyle w:val="font171"/>
          <w:lang w:val="ru-RU"/>
        </w:rPr>
      </w:pPr>
      <w:r>
        <w:rPr>
          <w:rStyle w:val="font171"/>
        </w:rPr>
        <w:t>чинного регуляторного акта, оскільки він не дає змоги усунути зазначені проблеми.</w:t>
      </w:r>
    </w:p>
    <w:p w14:paraId="746BF8B8" w14:textId="77777777" w:rsidR="007C2D85" w:rsidRPr="007C2D85" w:rsidRDefault="00E83604" w:rsidP="006E5749">
      <w:pPr>
        <w:ind w:firstLine="567"/>
        <w:jc w:val="both"/>
        <w:rPr>
          <w:rStyle w:val="font171"/>
        </w:rPr>
      </w:pPr>
      <w:r w:rsidRPr="00E83604">
        <w:rPr>
          <w:rStyle w:val="font171"/>
        </w:rPr>
        <w:t>На сьогодні</w:t>
      </w:r>
      <w:r w:rsidR="007C2D85" w:rsidRPr="00E83604">
        <w:rPr>
          <w:rStyle w:val="font171"/>
        </w:rPr>
        <w:t xml:space="preserve"> нормативно-правові акти, які регулюють суспільні відносини у сфері підтвердження преференційного походження товарів</w:t>
      </w:r>
      <w:r w:rsidR="007C2D85">
        <w:rPr>
          <w:rStyle w:val="font171"/>
        </w:rPr>
        <w:t xml:space="preserve"> </w:t>
      </w:r>
      <w:r w:rsidR="007C2D85" w:rsidRPr="00E83604">
        <w:rPr>
          <w:rStyle w:val="font171"/>
        </w:rPr>
        <w:t>та видачі сертифікатів EUR.1, не враховують положення оновленої Конвенції ПЄМ</w:t>
      </w:r>
      <w:r w:rsidR="007A5280">
        <w:rPr>
          <w:rStyle w:val="font171"/>
        </w:rPr>
        <w:t>.</w:t>
      </w:r>
    </w:p>
    <w:p w14:paraId="6D319910" w14:textId="77777777" w:rsidR="00A45649" w:rsidRDefault="00A45649" w:rsidP="00A45649">
      <w:pPr>
        <w:ind w:firstLine="567"/>
      </w:pPr>
    </w:p>
    <w:p w14:paraId="22C9DC25" w14:textId="77777777" w:rsidR="00B91E6A" w:rsidRDefault="00B91E6A" w:rsidP="00A45649">
      <w:pPr>
        <w:ind w:firstLine="567"/>
        <w:rPr>
          <w:rStyle w:val="font171"/>
          <w:b/>
          <w:bCs/>
        </w:rPr>
      </w:pPr>
      <w:bookmarkStart w:id="3" w:name="bookmark14"/>
      <w:bookmarkEnd w:id="3"/>
      <w:r>
        <w:rPr>
          <w:rStyle w:val="font171"/>
          <w:b/>
          <w:bCs/>
        </w:rPr>
        <w:t>II. Цілі державного регулювання</w:t>
      </w:r>
    </w:p>
    <w:p w14:paraId="350F4F7C" w14:textId="77777777" w:rsidR="00A45649" w:rsidRDefault="00A45649" w:rsidP="00A45649"/>
    <w:p w14:paraId="27690BEF" w14:textId="77777777" w:rsidR="00027DF6" w:rsidRPr="00027DF6" w:rsidRDefault="00027DF6" w:rsidP="006D6000">
      <w:pPr>
        <w:ind w:firstLine="567"/>
        <w:jc w:val="both"/>
        <w:rPr>
          <w:rStyle w:val="font171"/>
          <w:lang w:val="ru-RU"/>
        </w:rPr>
      </w:pPr>
      <w:r>
        <w:rPr>
          <w:rStyle w:val="font171"/>
        </w:rPr>
        <w:t>Цілями державного регулювання у цій сфері є</w:t>
      </w:r>
      <w:r w:rsidRPr="00027DF6">
        <w:rPr>
          <w:rStyle w:val="font171"/>
          <w:lang w:val="ru-RU"/>
        </w:rPr>
        <w:t>:</w:t>
      </w:r>
    </w:p>
    <w:p w14:paraId="03FB9908" w14:textId="282CE6EA" w:rsidR="004D4A87" w:rsidRPr="004D4A87" w:rsidRDefault="006D6000" w:rsidP="004D4A87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000227">
        <w:rPr>
          <w:sz w:val="28"/>
          <w:szCs w:val="28"/>
        </w:rPr>
        <w:t>реалізація положень</w:t>
      </w:r>
      <w:r w:rsidR="004D4A87">
        <w:rPr>
          <w:sz w:val="28"/>
          <w:szCs w:val="28"/>
        </w:rPr>
        <w:t xml:space="preserve"> оновленої Конвенції ПЄМ шляхом </w:t>
      </w:r>
      <w:r w:rsidR="00F017AB">
        <w:rPr>
          <w:sz w:val="28"/>
          <w:szCs w:val="28"/>
        </w:rPr>
        <w:t xml:space="preserve">внесення </w:t>
      </w:r>
      <w:r w:rsidR="004D4A87">
        <w:rPr>
          <w:sz w:val="28"/>
          <w:szCs w:val="28"/>
        </w:rPr>
        <w:t>змін</w:t>
      </w:r>
      <w:r w:rsidR="004D4A87" w:rsidRPr="004D4A87">
        <w:rPr>
          <w:sz w:val="28"/>
          <w:szCs w:val="28"/>
        </w:rPr>
        <w:t xml:space="preserve"> до </w:t>
      </w:r>
      <w:r w:rsidR="004D4A87">
        <w:rPr>
          <w:sz w:val="28"/>
          <w:szCs w:val="28"/>
        </w:rPr>
        <w:t xml:space="preserve">нормативно-правових актів </w:t>
      </w:r>
      <w:r w:rsidR="004D4A87" w:rsidRPr="004D4A87">
        <w:rPr>
          <w:sz w:val="28"/>
          <w:szCs w:val="28"/>
        </w:rPr>
        <w:t>з питань підтвердження преференційного походження товарів з України</w:t>
      </w:r>
      <w:r w:rsidR="004D4A87" w:rsidRPr="004D4A87">
        <w:rPr>
          <w:rFonts w:eastAsia="Times New Roman"/>
          <w:sz w:val="28"/>
          <w:szCs w:val="28"/>
          <w:lang w:val="ru-RU"/>
        </w:rPr>
        <w:t>;</w:t>
      </w:r>
    </w:p>
    <w:p w14:paraId="662A8D23" w14:textId="77777777" w:rsidR="004D4A87" w:rsidRPr="004D4A87" w:rsidRDefault="004D4A87" w:rsidP="004D4A87">
      <w:pPr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4D4A87">
        <w:rPr>
          <w:rFonts w:eastAsiaTheme="minorHAnsi"/>
          <w:sz w:val="28"/>
          <w:szCs w:val="28"/>
          <w:lang w:eastAsia="en-US"/>
        </w:rPr>
        <w:t>доповнення переліку документів, необхідних для видачі сертифікатів з перевезення товару EUR.1, зокрема</w:t>
      </w:r>
      <w:r w:rsidR="00E83604">
        <w:rPr>
          <w:rFonts w:eastAsiaTheme="minorHAnsi"/>
          <w:sz w:val="28"/>
          <w:szCs w:val="28"/>
          <w:lang w:eastAsia="en-US"/>
        </w:rPr>
        <w:t>,</w:t>
      </w:r>
      <w:r w:rsidRPr="004D4A87">
        <w:rPr>
          <w:rFonts w:eastAsiaTheme="minorHAnsi"/>
          <w:sz w:val="28"/>
          <w:szCs w:val="28"/>
          <w:lang w:eastAsia="en-US"/>
        </w:rPr>
        <w:t xml:space="preserve"> документами, що свідчать про о</w:t>
      </w:r>
      <w:r w:rsidR="00E83604">
        <w:rPr>
          <w:rFonts w:eastAsiaTheme="minorHAnsi"/>
          <w:sz w:val="28"/>
          <w:szCs w:val="28"/>
          <w:lang w:eastAsia="en-US"/>
        </w:rPr>
        <w:t>бробку чи переробку матеріалів у</w:t>
      </w:r>
      <w:r w:rsidRPr="004D4A87">
        <w:rPr>
          <w:rFonts w:eastAsiaTheme="minorHAnsi"/>
          <w:sz w:val="28"/>
          <w:szCs w:val="28"/>
          <w:lang w:eastAsia="en-US"/>
        </w:rPr>
        <w:t xml:space="preserve"> </w:t>
      </w:r>
      <w:r w:rsidR="00C3031F">
        <w:rPr>
          <w:rFonts w:eastAsiaTheme="minorHAnsi"/>
          <w:sz w:val="28"/>
          <w:szCs w:val="28"/>
          <w:lang w:eastAsia="en-US"/>
        </w:rPr>
        <w:t>державах-учасницях</w:t>
      </w:r>
      <w:r w:rsidRPr="004D4A87">
        <w:rPr>
          <w:rFonts w:eastAsiaTheme="minorHAnsi"/>
          <w:sz w:val="28"/>
          <w:szCs w:val="28"/>
          <w:lang w:eastAsia="en-US"/>
        </w:rPr>
        <w:t xml:space="preserve"> Конвенції без отримання преференційного статусу походження та про доставку товарів походження з України до держав, з якими Україною укладено міжнародні угоди про вільну торгівлю</w:t>
      </w:r>
      <w:r w:rsidRPr="004D4A87">
        <w:rPr>
          <w:rFonts w:eastAsiaTheme="minorHAnsi"/>
          <w:sz w:val="28"/>
          <w:szCs w:val="28"/>
          <w:lang w:val="ru-RU" w:eastAsia="en-US"/>
        </w:rPr>
        <w:t>;</w:t>
      </w:r>
    </w:p>
    <w:p w14:paraId="097571A0" w14:textId="77777777" w:rsidR="004D4A87" w:rsidRPr="004D4A87" w:rsidRDefault="004D4A87" w:rsidP="004D4A87">
      <w:pPr>
        <w:autoSpaceDE w:val="0"/>
        <w:autoSpaceDN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D4A87">
        <w:rPr>
          <w:rFonts w:eastAsiaTheme="minorHAnsi"/>
          <w:bCs/>
          <w:sz w:val="28"/>
          <w:szCs w:val="28"/>
          <w:lang w:eastAsia="en-US"/>
        </w:rPr>
        <w:t xml:space="preserve">можливість видачі сертифіката EUR.1 після здійснення експорту (реекспорту) товарів </w:t>
      </w:r>
      <w:r w:rsidR="000623EB">
        <w:rPr>
          <w:rFonts w:eastAsiaTheme="minorHAnsi"/>
          <w:bCs/>
          <w:sz w:val="28"/>
          <w:szCs w:val="28"/>
          <w:lang w:eastAsia="en-US"/>
        </w:rPr>
        <w:t>у випадку відсутності</w:t>
      </w:r>
      <w:r w:rsidRPr="004D4A87">
        <w:rPr>
          <w:rFonts w:eastAsiaTheme="minorHAnsi"/>
          <w:bCs/>
          <w:sz w:val="28"/>
          <w:szCs w:val="28"/>
          <w:lang w:eastAsia="en-US"/>
        </w:rPr>
        <w:t xml:space="preserve"> інформації про кінцевий пункт призначення товарів, визначений під час їх транспортування або зберігання та після можливого поділу партії товарів</w:t>
      </w:r>
      <w:r w:rsidR="00773E23">
        <w:rPr>
          <w:rFonts w:eastAsiaTheme="minorHAnsi"/>
          <w:bCs/>
          <w:sz w:val="28"/>
          <w:szCs w:val="28"/>
          <w:lang w:eastAsia="en-US"/>
        </w:rPr>
        <w:t xml:space="preserve"> у</w:t>
      </w:r>
      <w:r w:rsidR="000623EB">
        <w:rPr>
          <w:rFonts w:eastAsiaTheme="minorHAnsi"/>
          <w:bCs/>
          <w:sz w:val="28"/>
          <w:szCs w:val="28"/>
          <w:lang w:eastAsia="en-US"/>
        </w:rPr>
        <w:t xml:space="preserve"> державах</w:t>
      </w:r>
      <w:r w:rsidRPr="004D4A87">
        <w:rPr>
          <w:rFonts w:eastAsiaTheme="minorHAnsi"/>
          <w:bCs/>
          <w:sz w:val="28"/>
          <w:szCs w:val="28"/>
          <w:lang w:eastAsia="en-US"/>
        </w:rPr>
        <w:t xml:space="preserve"> транзиту товару;</w:t>
      </w:r>
    </w:p>
    <w:p w14:paraId="7994CEE7" w14:textId="77777777" w:rsidR="004D4A87" w:rsidRPr="004D4A87" w:rsidRDefault="004D4A87" w:rsidP="004D4A87">
      <w:pPr>
        <w:widowControl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4D4A87">
        <w:rPr>
          <w:rFonts w:eastAsiaTheme="minorHAnsi"/>
          <w:bCs/>
          <w:sz w:val="28"/>
          <w:szCs w:val="28"/>
          <w:lang w:eastAsia="en-US"/>
        </w:rPr>
        <w:t>зазначення в документах, що підтверджують преференційне</w:t>
      </w:r>
      <w:r w:rsidRPr="004D4A87">
        <w:rPr>
          <w:rFonts w:eastAsiaTheme="minorHAnsi"/>
          <w:sz w:val="28"/>
          <w:szCs w:val="28"/>
          <w:lang w:eastAsia="en-US"/>
        </w:rPr>
        <w:t xml:space="preserve"> походження товарів з України, вагових характеристик матеріалів непреференційного походження, використаних при виробництві кінцевого товару. </w:t>
      </w:r>
    </w:p>
    <w:p w14:paraId="33E0C77D" w14:textId="77777777" w:rsidR="00412175" w:rsidRPr="00B52AA1" w:rsidRDefault="00412175" w:rsidP="00F906CB">
      <w:pPr>
        <w:ind w:firstLine="567"/>
        <w:rPr>
          <w:rStyle w:val="font171"/>
          <w:b/>
          <w:bCs/>
          <w:lang w:val="ru-RU"/>
        </w:rPr>
      </w:pPr>
    </w:p>
    <w:p w14:paraId="5151DEC0" w14:textId="77777777" w:rsidR="00412175" w:rsidRPr="00B52AA1" w:rsidRDefault="00412175" w:rsidP="00F906CB">
      <w:pPr>
        <w:ind w:firstLine="567"/>
        <w:rPr>
          <w:rStyle w:val="font171"/>
          <w:b/>
          <w:bCs/>
          <w:lang w:val="ru-RU"/>
        </w:rPr>
      </w:pPr>
    </w:p>
    <w:p w14:paraId="6A96F76D" w14:textId="77777777" w:rsidR="00B91E6A" w:rsidRDefault="00B91E6A" w:rsidP="00F906CB">
      <w:pPr>
        <w:ind w:firstLine="567"/>
        <w:rPr>
          <w:rStyle w:val="font171"/>
          <w:b/>
          <w:bCs/>
        </w:rPr>
      </w:pPr>
      <w:r>
        <w:rPr>
          <w:rStyle w:val="font171"/>
          <w:b/>
          <w:bCs/>
        </w:rPr>
        <w:t>III. Визначення та оцінка альтернативних способів досягнення цілей</w:t>
      </w:r>
    </w:p>
    <w:p w14:paraId="3C9F0350" w14:textId="77777777" w:rsidR="00F906CB" w:rsidRDefault="00F906CB" w:rsidP="00F906CB">
      <w:pPr>
        <w:ind w:firstLine="567"/>
        <w:rPr>
          <w:rStyle w:val="font171"/>
          <w:bCs/>
        </w:rPr>
      </w:pPr>
    </w:p>
    <w:p w14:paraId="3B4EF16C" w14:textId="77777777" w:rsidR="00441950" w:rsidRDefault="00441950" w:rsidP="00F906CB">
      <w:pPr>
        <w:ind w:firstLine="567"/>
        <w:rPr>
          <w:rStyle w:val="font171"/>
        </w:rPr>
      </w:pPr>
      <w:r w:rsidRPr="00817C30">
        <w:rPr>
          <w:rStyle w:val="font171"/>
          <w:bCs/>
        </w:rPr>
        <w:t xml:space="preserve">1. </w:t>
      </w:r>
      <w:r w:rsidR="001C0D1D">
        <w:rPr>
          <w:rStyle w:val="font171"/>
        </w:rPr>
        <w:t>Визначення альтернативних способів</w:t>
      </w:r>
    </w:p>
    <w:p w14:paraId="5E90A283" w14:textId="77777777" w:rsidR="00777361" w:rsidRDefault="00777361" w:rsidP="00F906CB">
      <w:pPr>
        <w:ind w:firstLine="567"/>
        <w:rPr>
          <w:rStyle w:val="font171"/>
        </w:rPr>
      </w:pPr>
    </w:p>
    <w:tbl>
      <w:tblPr>
        <w:tblStyle w:val="ac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441950" w:rsidRPr="00691089" w14:paraId="5D6403B4" w14:textId="77777777" w:rsidTr="005352D4">
        <w:tc>
          <w:tcPr>
            <w:tcW w:w="2552" w:type="dxa"/>
            <w:vAlign w:val="center"/>
          </w:tcPr>
          <w:p w14:paraId="6DB7531B" w14:textId="77777777" w:rsidR="00441950" w:rsidRPr="00691089" w:rsidRDefault="00441950" w:rsidP="00F906CB">
            <w:pPr>
              <w:jc w:val="center"/>
            </w:pPr>
            <w:r w:rsidRPr="00691089">
              <w:rPr>
                <w:rStyle w:val="font141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6946" w:type="dxa"/>
            <w:vAlign w:val="center"/>
          </w:tcPr>
          <w:p w14:paraId="2CFC12A5" w14:textId="77777777" w:rsidR="00441950" w:rsidRPr="00691089" w:rsidRDefault="00441950" w:rsidP="00F906CB">
            <w:pPr>
              <w:jc w:val="center"/>
            </w:pPr>
            <w:r w:rsidRPr="00691089">
              <w:rPr>
                <w:rStyle w:val="font141"/>
                <w:b/>
                <w:sz w:val="24"/>
                <w:szCs w:val="24"/>
              </w:rPr>
              <w:t>Опис альтернативи</w:t>
            </w:r>
          </w:p>
        </w:tc>
      </w:tr>
      <w:tr w:rsidR="00441950" w:rsidRPr="00691089" w14:paraId="508109F1" w14:textId="77777777" w:rsidTr="005352D4">
        <w:tc>
          <w:tcPr>
            <w:tcW w:w="2552" w:type="dxa"/>
            <w:vAlign w:val="center"/>
          </w:tcPr>
          <w:p w14:paraId="60EF0055" w14:textId="77777777" w:rsidR="00441950" w:rsidRPr="00691089" w:rsidRDefault="00441950" w:rsidP="005352D4">
            <w:pPr>
              <w:jc w:val="center"/>
              <w:rPr>
                <w:rStyle w:val="font141"/>
                <w:sz w:val="24"/>
                <w:szCs w:val="24"/>
              </w:rPr>
            </w:pPr>
            <w:r w:rsidRPr="00691089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6946" w:type="dxa"/>
            <w:vAlign w:val="center"/>
          </w:tcPr>
          <w:p w14:paraId="4BECA4F4" w14:textId="77777777" w:rsidR="00441950" w:rsidRPr="00691089" w:rsidRDefault="00777361" w:rsidP="00777361">
            <w:pPr>
              <w:jc w:val="both"/>
              <w:rPr>
                <w:rStyle w:val="font141"/>
                <w:sz w:val="24"/>
                <w:szCs w:val="24"/>
              </w:rPr>
            </w:pPr>
            <w:r w:rsidRPr="00777361">
              <w:rPr>
                <w:rStyle w:val="font141"/>
                <w:sz w:val="24"/>
                <w:szCs w:val="24"/>
              </w:rPr>
              <w:t>Відсутні.</w:t>
            </w:r>
            <w:r>
              <w:rPr>
                <w:rStyle w:val="font141"/>
                <w:sz w:val="24"/>
                <w:szCs w:val="24"/>
              </w:rPr>
              <w:t xml:space="preserve"> </w:t>
            </w:r>
            <w:r w:rsidRPr="00777361">
              <w:rPr>
                <w:rStyle w:val="font141"/>
                <w:sz w:val="24"/>
                <w:szCs w:val="24"/>
              </w:rPr>
              <w:t>Оскільки чинні положе</w:t>
            </w:r>
            <w:r>
              <w:rPr>
                <w:rStyle w:val="font141"/>
                <w:sz w:val="24"/>
                <w:szCs w:val="24"/>
              </w:rPr>
              <w:t>ння нормативно-правового акта не враховують положення оновленої Конвенції ПЄМ</w:t>
            </w:r>
            <w:r w:rsidRPr="00777361">
              <w:rPr>
                <w:rStyle w:val="font141"/>
                <w:sz w:val="24"/>
                <w:szCs w:val="24"/>
              </w:rPr>
              <w:t>, у разі залишення діючого регулювання без змін проблема залишається невирішеною</w:t>
            </w:r>
            <w:r>
              <w:rPr>
                <w:rStyle w:val="font141"/>
                <w:sz w:val="24"/>
                <w:szCs w:val="24"/>
              </w:rPr>
              <w:t xml:space="preserve"> </w:t>
            </w:r>
          </w:p>
        </w:tc>
      </w:tr>
      <w:tr w:rsidR="00441950" w:rsidRPr="00E83604" w14:paraId="2B7F3B07" w14:textId="77777777" w:rsidTr="005352D4">
        <w:tc>
          <w:tcPr>
            <w:tcW w:w="2552" w:type="dxa"/>
            <w:vAlign w:val="center"/>
          </w:tcPr>
          <w:p w14:paraId="01675293" w14:textId="77777777" w:rsidR="00441950" w:rsidRPr="00691089" w:rsidRDefault="00441950" w:rsidP="005352D4">
            <w:pPr>
              <w:jc w:val="center"/>
            </w:pPr>
            <w:r w:rsidRPr="00691089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6946" w:type="dxa"/>
            <w:vAlign w:val="center"/>
          </w:tcPr>
          <w:p w14:paraId="73D773B7" w14:textId="77777777" w:rsidR="00441950" w:rsidRPr="00441950" w:rsidRDefault="005711A0" w:rsidP="003B765C">
            <w:pPr>
              <w:jc w:val="both"/>
              <w:rPr>
                <w:rStyle w:val="font141"/>
                <w:sz w:val="24"/>
                <w:szCs w:val="24"/>
              </w:rPr>
            </w:pPr>
            <w:r>
              <w:rPr>
                <w:rStyle w:val="font141"/>
                <w:sz w:val="24"/>
                <w:szCs w:val="24"/>
              </w:rPr>
              <w:t>Прийняття</w:t>
            </w:r>
            <w:r w:rsidR="008264C0">
              <w:rPr>
                <w:rStyle w:val="font141"/>
                <w:sz w:val="24"/>
                <w:szCs w:val="24"/>
              </w:rPr>
              <w:t xml:space="preserve"> </w:t>
            </w:r>
            <w:r w:rsidR="00E20DDE">
              <w:rPr>
                <w:rStyle w:val="font141"/>
                <w:sz w:val="24"/>
                <w:szCs w:val="24"/>
              </w:rPr>
              <w:t>проє</w:t>
            </w:r>
            <w:r w:rsidR="005352D4">
              <w:rPr>
                <w:rStyle w:val="font141"/>
                <w:sz w:val="24"/>
                <w:szCs w:val="24"/>
              </w:rPr>
              <w:t>кт</w:t>
            </w:r>
            <w:r w:rsidR="00E83604">
              <w:rPr>
                <w:rStyle w:val="font141"/>
                <w:sz w:val="24"/>
                <w:szCs w:val="24"/>
              </w:rPr>
              <w:t>у</w:t>
            </w:r>
            <w:r w:rsidR="005352D4">
              <w:rPr>
                <w:rStyle w:val="font141"/>
                <w:sz w:val="24"/>
                <w:szCs w:val="24"/>
              </w:rPr>
              <w:t xml:space="preserve"> </w:t>
            </w:r>
            <w:r w:rsidR="008264C0">
              <w:rPr>
                <w:rStyle w:val="font141"/>
                <w:sz w:val="24"/>
                <w:szCs w:val="24"/>
              </w:rPr>
              <w:t>наказ</w:t>
            </w:r>
            <w:r w:rsidR="005352D4">
              <w:rPr>
                <w:rStyle w:val="font141"/>
                <w:sz w:val="24"/>
                <w:szCs w:val="24"/>
              </w:rPr>
              <w:t>у</w:t>
            </w:r>
            <w:r w:rsidR="00441950" w:rsidRPr="00691089">
              <w:rPr>
                <w:rStyle w:val="font141"/>
                <w:sz w:val="24"/>
                <w:szCs w:val="24"/>
              </w:rPr>
              <w:t xml:space="preserve"> Міністерства фінансів України «</w:t>
            </w:r>
            <w:r w:rsidR="003B765C" w:rsidRPr="003B765C">
              <w:rPr>
                <w:rStyle w:val="font141"/>
                <w:sz w:val="24"/>
                <w:szCs w:val="24"/>
              </w:rPr>
              <w:t>Про внесення змін до деяких нормативно-правових актів Міністерства фінансів України»</w:t>
            </w:r>
            <w:r>
              <w:rPr>
                <w:rStyle w:val="font141"/>
                <w:sz w:val="24"/>
                <w:szCs w:val="24"/>
              </w:rPr>
              <w:t xml:space="preserve"> </w:t>
            </w:r>
            <w:r w:rsidRPr="00E83604">
              <w:rPr>
                <w:rStyle w:val="font141"/>
                <w:sz w:val="24"/>
                <w:szCs w:val="24"/>
              </w:rPr>
              <w:t>забезпечує досягнення цілей державного регулювання. Така альтернатива забезпечить</w:t>
            </w:r>
            <w:r w:rsidR="00777361" w:rsidRPr="00E83604">
              <w:rPr>
                <w:rStyle w:val="font141"/>
                <w:sz w:val="24"/>
                <w:szCs w:val="24"/>
              </w:rPr>
              <w:t xml:space="preserve"> імплемента</w:t>
            </w:r>
            <w:r w:rsidR="00181FB2" w:rsidRPr="00E83604">
              <w:rPr>
                <w:rStyle w:val="font141"/>
                <w:sz w:val="24"/>
                <w:szCs w:val="24"/>
              </w:rPr>
              <w:t>цію п</w:t>
            </w:r>
            <w:r w:rsidR="00E83604" w:rsidRPr="00E83604">
              <w:rPr>
                <w:rStyle w:val="font141"/>
                <w:sz w:val="24"/>
                <w:szCs w:val="24"/>
              </w:rPr>
              <w:t>оложень оновленої Конвенції ПЄМ</w:t>
            </w:r>
          </w:p>
        </w:tc>
      </w:tr>
    </w:tbl>
    <w:p w14:paraId="4B085130" w14:textId="77777777" w:rsidR="008264C0" w:rsidRPr="005352D4" w:rsidRDefault="008264C0" w:rsidP="003251C2">
      <w:pPr>
        <w:ind w:firstLine="567"/>
        <w:jc w:val="both"/>
        <w:rPr>
          <w:rFonts w:eastAsia="Calibri"/>
          <w:lang w:eastAsia="en-US"/>
        </w:rPr>
      </w:pPr>
      <w:r w:rsidRPr="008264C0">
        <w:rPr>
          <w:rFonts w:eastAsia="Calibri"/>
          <w:sz w:val="27"/>
          <w:szCs w:val="27"/>
          <w:lang w:eastAsia="en-US"/>
        </w:rPr>
        <w:t xml:space="preserve">⃰⃰⃰⃰⃰⃰ </w:t>
      </w:r>
      <w:r w:rsidR="005352D4">
        <w:rPr>
          <w:rFonts w:eastAsia="Calibri"/>
          <w:lang w:eastAsia="en-US"/>
        </w:rPr>
        <w:t>І</w:t>
      </w:r>
      <w:r w:rsidRPr="005352D4">
        <w:rPr>
          <w:rFonts w:eastAsia="Calibri"/>
          <w:lang w:eastAsia="en-US"/>
        </w:rPr>
        <w:t xml:space="preserve">нших альтернативних способів досягнення основної </w:t>
      </w:r>
      <w:r w:rsidR="005352D4">
        <w:rPr>
          <w:rFonts w:eastAsia="Calibri"/>
          <w:lang w:eastAsia="en-US"/>
        </w:rPr>
        <w:t xml:space="preserve">мети, ніж прийняття зазначеного </w:t>
      </w:r>
      <w:r w:rsidRPr="005352D4">
        <w:rPr>
          <w:rFonts w:eastAsia="Calibri"/>
          <w:lang w:eastAsia="en-US"/>
        </w:rPr>
        <w:t>регуляторного акта, не існує.</w:t>
      </w:r>
    </w:p>
    <w:p w14:paraId="191F6985" w14:textId="77777777" w:rsidR="00441950" w:rsidRPr="005352D4" w:rsidRDefault="00441950" w:rsidP="00A45649">
      <w:pPr>
        <w:rPr>
          <w:rStyle w:val="font171"/>
        </w:rPr>
      </w:pPr>
    </w:p>
    <w:p w14:paraId="651FC6F1" w14:textId="77777777" w:rsidR="00441950" w:rsidRDefault="00441950" w:rsidP="00F906CB">
      <w:pPr>
        <w:ind w:firstLine="567"/>
        <w:rPr>
          <w:rStyle w:val="font171"/>
        </w:rPr>
      </w:pPr>
      <w:r>
        <w:rPr>
          <w:rStyle w:val="font171"/>
        </w:rPr>
        <w:t>2. Оцінка вибраних альтернативних способів досягнення цілей</w:t>
      </w:r>
    </w:p>
    <w:p w14:paraId="0F1FEB2A" w14:textId="77777777" w:rsidR="00441950" w:rsidRDefault="00441950" w:rsidP="00F906CB">
      <w:pPr>
        <w:ind w:firstLine="567"/>
        <w:rPr>
          <w:rStyle w:val="font171"/>
        </w:rPr>
      </w:pPr>
    </w:p>
    <w:p w14:paraId="568D550A" w14:textId="77777777" w:rsidR="00441950" w:rsidRDefault="001C0D1D" w:rsidP="00F906CB">
      <w:pPr>
        <w:ind w:firstLine="567"/>
        <w:rPr>
          <w:rStyle w:val="font171"/>
          <w:lang w:val="ru-RU"/>
        </w:rPr>
      </w:pPr>
      <w:r>
        <w:rPr>
          <w:rStyle w:val="font171"/>
        </w:rPr>
        <w:t xml:space="preserve">2.1. </w:t>
      </w:r>
      <w:r w:rsidR="00441950" w:rsidRPr="00EB30EC">
        <w:rPr>
          <w:rStyle w:val="font171"/>
        </w:rPr>
        <w:t>Оцінка впливу на сферу інтересів держави</w:t>
      </w:r>
      <w:r>
        <w:rPr>
          <w:rStyle w:val="font171"/>
        </w:rPr>
        <w:t>.</w:t>
      </w:r>
    </w:p>
    <w:p w14:paraId="070455F9" w14:textId="77777777" w:rsidR="001C0D1D" w:rsidRPr="002F6265" w:rsidRDefault="001C0D1D" w:rsidP="00F906CB">
      <w:pPr>
        <w:ind w:firstLine="567"/>
        <w:rPr>
          <w:lang w:val="ru-RU"/>
        </w:rPr>
      </w:pPr>
    </w:p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2412"/>
        <w:gridCol w:w="3542"/>
        <w:gridCol w:w="3827"/>
      </w:tblGrid>
      <w:tr w:rsidR="000623EB" w14:paraId="72837AE7" w14:textId="77777777" w:rsidTr="00A423B9">
        <w:trPr>
          <w:tblHeader/>
        </w:trPr>
        <w:tc>
          <w:tcPr>
            <w:tcW w:w="2412" w:type="dxa"/>
            <w:vAlign w:val="center"/>
          </w:tcPr>
          <w:p w14:paraId="4C62F62A" w14:textId="77777777" w:rsidR="00441950" w:rsidRPr="005352D4" w:rsidRDefault="00441950" w:rsidP="005352D4">
            <w:pPr>
              <w:jc w:val="center"/>
            </w:pPr>
            <w:r w:rsidRPr="005352D4">
              <w:rPr>
                <w:rStyle w:val="font141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3542" w:type="dxa"/>
            <w:vAlign w:val="center"/>
          </w:tcPr>
          <w:p w14:paraId="0B8A98C1" w14:textId="77777777" w:rsidR="00441950" w:rsidRPr="005352D4" w:rsidRDefault="00441950" w:rsidP="005352D4">
            <w:pPr>
              <w:jc w:val="center"/>
            </w:pPr>
            <w:r w:rsidRPr="005352D4">
              <w:rPr>
                <w:rStyle w:val="font141"/>
                <w:b/>
                <w:sz w:val="24"/>
                <w:szCs w:val="24"/>
              </w:rPr>
              <w:t>Вигоди</w:t>
            </w:r>
          </w:p>
        </w:tc>
        <w:tc>
          <w:tcPr>
            <w:tcW w:w="3827" w:type="dxa"/>
            <w:vAlign w:val="center"/>
          </w:tcPr>
          <w:p w14:paraId="5F12E261" w14:textId="77777777" w:rsidR="00441950" w:rsidRPr="005352D4" w:rsidRDefault="00441950" w:rsidP="005352D4">
            <w:pPr>
              <w:jc w:val="center"/>
            </w:pPr>
            <w:r w:rsidRPr="005352D4">
              <w:rPr>
                <w:rStyle w:val="font141"/>
                <w:b/>
                <w:sz w:val="24"/>
                <w:szCs w:val="24"/>
              </w:rPr>
              <w:t>Витрати</w:t>
            </w:r>
          </w:p>
        </w:tc>
      </w:tr>
      <w:tr w:rsidR="000623EB" w:rsidRPr="00FF426E" w14:paraId="58402C83" w14:textId="77777777" w:rsidTr="00973B80">
        <w:tc>
          <w:tcPr>
            <w:tcW w:w="2412" w:type="dxa"/>
            <w:vAlign w:val="center"/>
          </w:tcPr>
          <w:p w14:paraId="390EDDB0" w14:textId="77777777" w:rsidR="00441950" w:rsidRPr="005352D4" w:rsidRDefault="00441950" w:rsidP="005352D4">
            <w:pPr>
              <w:jc w:val="center"/>
            </w:pPr>
            <w:r w:rsidRPr="005352D4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3542" w:type="dxa"/>
          </w:tcPr>
          <w:p w14:paraId="0A5B86D4" w14:textId="4AFFCBA4" w:rsidR="00441950" w:rsidRPr="00973B80" w:rsidRDefault="005352D4" w:rsidP="00C66B54">
            <w:pPr>
              <w:jc w:val="both"/>
            </w:pPr>
            <w:r w:rsidRPr="00973B80">
              <w:rPr>
                <w:rFonts w:eastAsia="Calibri"/>
                <w:lang w:eastAsia="en-US"/>
              </w:rPr>
              <w:t>Залишаючи чинне</w:t>
            </w:r>
            <w:r w:rsidR="00441950" w:rsidRPr="00973B80">
              <w:rPr>
                <w:rFonts w:eastAsia="Calibri"/>
                <w:lang w:eastAsia="en-US"/>
              </w:rPr>
              <w:t xml:space="preserve"> регулю</w:t>
            </w:r>
            <w:r w:rsidRPr="00973B80">
              <w:rPr>
                <w:rFonts w:eastAsia="Calibri"/>
                <w:lang w:eastAsia="en-US"/>
              </w:rPr>
              <w:t>вання без змін, вигоди відсутні</w:t>
            </w:r>
            <w:r w:rsidR="00DE0EE7" w:rsidRPr="00973B80">
              <w:rPr>
                <w:rFonts w:eastAsia="Calibri"/>
                <w:lang w:eastAsia="en-US"/>
              </w:rPr>
              <w:t xml:space="preserve">, оскільки </w:t>
            </w:r>
            <w:r w:rsidR="00C66B54">
              <w:rPr>
                <w:rStyle w:val="font141"/>
                <w:sz w:val="24"/>
                <w:szCs w:val="24"/>
              </w:rPr>
              <w:t>посадові</w:t>
            </w:r>
            <w:r w:rsidR="00C66B54" w:rsidRPr="00922684">
              <w:rPr>
                <w:rStyle w:val="font141"/>
                <w:sz w:val="24"/>
                <w:szCs w:val="24"/>
              </w:rPr>
              <w:t xml:space="preserve"> о</w:t>
            </w:r>
            <w:r w:rsidR="00C66B54">
              <w:rPr>
                <w:rStyle w:val="font141"/>
                <w:sz w:val="24"/>
                <w:szCs w:val="24"/>
              </w:rPr>
              <w:t>соби  митних органів повинні витрачати додатковий робочий час на</w:t>
            </w:r>
            <w:r w:rsidR="00C66B54" w:rsidRPr="00922684">
              <w:rPr>
                <w:rStyle w:val="font141"/>
                <w:sz w:val="24"/>
                <w:szCs w:val="24"/>
              </w:rPr>
              <w:t xml:space="preserve"> </w:t>
            </w:r>
            <w:r w:rsidR="00C66B54">
              <w:rPr>
                <w:rStyle w:val="font141"/>
                <w:sz w:val="24"/>
                <w:szCs w:val="24"/>
              </w:rPr>
              <w:t>прийняття</w:t>
            </w:r>
            <w:r w:rsidR="00C66B54" w:rsidRPr="00922684">
              <w:rPr>
                <w:rStyle w:val="font141"/>
                <w:sz w:val="24"/>
                <w:szCs w:val="24"/>
              </w:rPr>
              <w:t xml:space="preserve"> рішен</w:t>
            </w:r>
            <w:r w:rsidR="00C66B54">
              <w:rPr>
                <w:rStyle w:val="font141"/>
                <w:sz w:val="24"/>
                <w:szCs w:val="24"/>
              </w:rPr>
              <w:t>ь</w:t>
            </w:r>
            <w:r w:rsidR="00C66B54" w:rsidRPr="00922684">
              <w:rPr>
                <w:rStyle w:val="font141"/>
                <w:sz w:val="24"/>
                <w:szCs w:val="24"/>
              </w:rPr>
              <w:t xml:space="preserve"> про відмову у видачі сертифікатів EUR.1 на умовах оновленої Конвенції ПЄМ</w:t>
            </w:r>
            <w:r w:rsidR="00C66B54" w:rsidRPr="00973B8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45016FA" w14:textId="77777777" w:rsidR="00000227" w:rsidRPr="009B5C98" w:rsidRDefault="009B5C98" w:rsidP="00A2256E">
            <w:pPr>
              <w:pStyle w:val="rvps2"/>
              <w:shd w:val="clear" w:color="auto" w:fill="FFFFFF"/>
              <w:tabs>
                <w:tab w:val="left" w:pos="600"/>
                <w:tab w:val="left" w:pos="1066"/>
              </w:tabs>
              <w:spacing w:before="0" w:beforeAutospacing="0" w:after="0" w:afterAutospacing="0"/>
              <w:jc w:val="both"/>
              <w:rPr>
                <w:rStyle w:val="font141"/>
                <w:sz w:val="24"/>
                <w:szCs w:val="24"/>
                <w:lang w:val="uk-UA"/>
              </w:rPr>
            </w:pPr>
            <w:r w:rsidRPr="00922684">
              <w:rPr>
                <w:lang w:val="uk-UA"/>
              </w:rPr>
              <w:t xml:space="preserve">Витрати, пов’язані із виконанням вимог регуляторного акта, нестимуться </w:t>
            </w:r>
            <w:r w:rsidR="00E83604" w:rsidRPr="00922684">
              <w:rPr>
                <w:lang w:val="uk-UA"/>
              </w:rPr>
              <w:t>митними органами</w:t>
            </w:r>
            <w:r w:rsidRPr="00922684">
              <w:rPr>
                <w:lang w:val="uk-UA"/>
              </w:rPr>
              <w:t xml:space="preserve"> в межах кошторисних витрат на їх утримання та асигн</w:t>
            </w:r>
            <w:r w:rsidR="00A2256E" w:rsidRPr="00922684">
              <w:rPr>
                <w:lang w:val="uk-UA"/>
              </w:rPr>
              <w:t xml:space="preserve">увань, передбачених у бюджеті: </w:t>
            </w:r>
            <w:r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на оплату робочого часу </w:t>
            </w:r>
            <w:r w:rsidR="00F7765B" w:rsidRPr="00922684">
              <w:rPr>
                <w:rStyle w:val="font141"/>
                <w:sz w:val="24"/>
                <w:szCs w:val="24"/>
                <w:lang w:val="uk-UA" w:eastAsia="uk-UA"/>
              </w:rPr>
              <w:t>посадовим</w:t>
            </w:r>
            <w:r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 о</w:t>
            </w:r>
            <w:r w:rsidR="00F7765B" w:rsidRPr="00922684">
              <w:rPr>
                <w:rStyle w:val="font141"/>
                <w:sz w:val="24"/>
                <w:szCs w:val="24"/>
                <w:lang w:val="uk-UA" w:eastAsia="uk-UA"/>
              </w:rPr>
              <w:t>собам</w:t>
            </w:r>
            <w:r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 митних органів, </w:t>
            </w:r>
            <w:r w:rsidR="00F7765B" w:rsidRPr="00922684">
              <w:rPr>
                <w:rStyle w:val="font141"/>
                <w:sz w:val="24"/>
                <w:szCs w:val="24"/>
                <w:lang w:val="uk-UA" w:eastAsia="uk-UA"/>
              </w:rPr>
              <w:t>які уповноважені приймати</w:t>
            </w:r>
            <w:r w:rsidR="00D92683"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 </w:t>
            </w:r>
            <w:r w:rsidRPr="00922684">
              <w:rPr>
                <w:rStyle w:val="font141"/>
                <w:sz w:val="24"/>
                <w:szCs w:val="24"/>
                <w:lang w:val="uk-UA" w:eastAsia="uk-UA"/>
              </w:rPr>
              <w:t>рішен</w:t>
            </w:r>
            <w:r w:rsidR="00F7765B" w:rsidRPr="00922684">
              <w:rPr>
                <w:rStyle w:val="font141"/>
                <w:sz w:val="24"/>
                <w:szCs w:val="24"/>
                <w:lang w:val="uk-UA" w:eastAsia="uk-UA"/>
              </w:rPr>
              <w:t>ня</w:t>
            </w:r>
            <w:r w:rsidR="00D92683"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 про</w:t>
            </w:r>
            <w:r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 </w:t>
            </w:r>
            <w:r w:rsidR="00D92683" w:rsidRPr="00922684">
              <w:rPr>
                <w:rStyle w:val="font141"/>
                <w:sz w:val="24"/>
                <w:szCs w:val="24"/>
                <w:lang w:val="uk-UA" w:eastAsia="uk-UA"/>
              </w:rPr>
              <w:t>відмову у видачі сертифікатів EUR.1 на умовах оновленої Конвенції ПЄМ</w:t>
            </w:r>
            <w:r w:rsidR="00372135" w:rsidRPr="00922684">
              <w:rPr>
                <w:rStyle w:val="font141"/>
                <w:sz w:val="24"/>
                <w:szCs w:val="24"/>
                <w:lang w:val="uk-UA" w:eastAsia="uk-UA"/>
              </w:rPr>
              <w:t xml:space="preserve">. </w:t>
            </w:r>
            <w:r w:rsidR="00372135" w:rsidRPr="009B5C98">
              <w:rPr>
                <w:rStyle w:val="font141"/>
                <w:sz w:val="24"/>
                <w:szCs w:val="24"/>
                <w:lang w:val="uk-UA" w:eastAsia="uk-UA"/>
              </w:rPr>
              <w:t>О</w:t>
            </w:r>
            <w:r w:rsidR="00D92683" w:rsidRPr="009B5C98">
              <w:rPr>
                <w:rStyle w:val="font141"/>
                <w:sz w:val="24"/>
                <w:szCs w:val="24"/>
                <w:lang w:val="uk-UA" w:eastAsia="uk-UA"/>
              </w:rPr>
              <w:t xml:space="preserve">рієнтовні витрати на підготовку та прийняття таких </w:t>
            </w:r>
            <w:r w:rsidR="00E83604">
              <w:rPr>
                <w:rStyle w:val="font141"/>
                <w:sz w:val="24"/>
                <w:szCs w:val="24"/>
                <w:lang w:val="uk-UA" w:eastAsia="uk-UA"/>
              </w:rPr>
              <w:t>рішень становлять 2 год (96 грн</w:t>
            </w:r>
            <w:r w:rsidR="00D92683" w:rsidRPr="009B5C98">
              <w:rPr>
                <w:rStyle w:val="font141"/>
                <w:sz w:val="24"/>
                <w:szCs w:val="24"/>
                <w:lang w:val="uk-UA" w:eastAsia="uk-UA"/>
              </w:rPr>
              <w:t xml:space="preserve">). </w:t>
            </w:r>
          </w:p>
          <w:p w14:paraId="3F8E7C37" w14:textId="1B2B61DF" w:rsidR="00630840" w:rsidRPr="00630840" w:rsidRDefault="009C0F02" w:rsidP="00100E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font141"/>
                <w:bCs/>
                <w:sz w:val="24"/>
                <w:szCs w:val="24"/>
                <w:lang w:val="uk-UA"/>
              </w:rPr>
            </w:pPr>
            <w:r w:rsidRPr="00A423B9">
              <w:rPr>
                <w:bCs/>
                <w:lang w:val="uk-UA"/>
              </w:rPr>
              <w:t>Враховуючи, що митним</w:t>
            </w:r>
            <w:r w:rsidR="00BB4039">
              <w:rPr>
                <w:bCs/>
                <w:lang w:val="uk-UA"/>
              </w:rPr>
              <w:t>и органами щорічно приймається 5</w:t>
            </w:r>
            <w:r w:rsidRPr="00A423B9">
              <w:rPr>
                <w:bCs/>
                <w:lang w:val="uk-UA"/>
              </w:rPr>
              <w:t xml:space="preserve">00 </w:t>
            </w:r>
            <w:r w:rsidRPr="000F0AA3">
              <w:rPr>
                <w:lang w:val="uk-UA"/>
              </w:rPr>
              <w:t>рішень про</w:t>
            </w:r>
            <w:r w:rsidR="00071126" w:rsidRPr="000F0AA3">
              <w:rPr>
                <w:bCs/>
                <w:lang w:val="uk-UA"/>
              </w:rPr>
              <w:t xml:space="preserve"> </w:t>
            </w:r>
            <w:r w:rsidR="00071126" w:rsidRPr="000F0AA3">
              <w:rPr>
                <w:lang w:val="uk-UA"/>
              </w:rPr>
              <w:t>відмову</w:t>
            </w:r>
            <w:r w:rsidR="00071126" w:rsidRPr="00A423B9">
              <w:rPr>
                <w:bCs/>
                <w:lang w:val="uk-UA"/>
              </w:rPr>
              <w:t xml:space="preserve"> у видачі </w:t>
            </w:r>
            <w:r w:rsidR="00071126" w:rsidRPr="00D35E0D">
              <w:rPr>
                <w:bCs/>
                <w:lang w:val="uk-UA"/>
              </w:rPr>
              <w:t>сертифікатів EUR.1</w:t>
            </w:r>
            <w:r w:rsidR="00E83604" w:rsidRPr="00D35E0D">
              <w:rPr>
                <w:bCs/>
                <w:lang w:val="uk-UA"/>
              </w:rPr>
              <w:t>,</w:t>
            </w:r>
            <w:r w:rsidR="00071126" w:rsidRPr="00D35E0D">
              <w:rPr>
                <w:bCs/>
                <w:lang w:val="uk-UA"/>
              </w:rPr>
              <w:t xml:space="preserve"> </w:t>
            </w:r>
            <w:r w:rsidRPr="00D35E0D">
              <w:rPr>
                <w:bCs/>
                <w:lang w:val="uk-UA"/>
              </w:rPr>
              <w:t xml:space="preserve">їх загальні витрати на </w:t>
            </w:r>
            <w:r w:rsidR="00A423B9" w:rsidRPr="00D35E0D">
              <w:rPr>
                <w:bCs/>
                <w:lang w:val="uk-UA"/>
              </w:rPr>
              <w:t>прийняття рішень</w:t>
            </w:r>
            <w:r w:rsidRPr="00D35E0D">
              <w:rPr>
                <w:bCs/>
                <w:lang w:val="uk-UA"/>
              </w:rPr>
              <w:t xml:space="preserve"> за один рік становитимуть </w:t>
            </w:r>
            <w:r w:rsidR="00BB4039" w:rsidRPr="00D35E0D">
              <w:rPr>
                <w:bCs/>
                <w:lang w:val="uk-UA"/>
              </w:rPr>
              <w:t>48 0</w:t>
            </w:r>
            <w:r w:rsidR="009D71F0" w:rsidRPr="00D35E0D">
              <w:rPr>
                <w:bCs/>
                <w:lang w:val="uk-UA"/>
              </w:rPr>
              <w:t>00</w:t>
            </w:r>
            <w:r w:rsidRPr="00D35E0D">
              <w:rPr>
                <w:bCs/>
                <w:lang w:val="uk-UA"/>
              </w:rPr>
              <w:t xml:space="preserve"> грн, а за п’ять років </w:t>
            </w:r>
            <w:r w:rsidR="00BE63DB" w:rsidRPr="00D35E0D">
              <w:rPr>
                <w:bCs/>
                <w:lang w:val="uk-UA"/>
              </w:rPr>
              <w:t xml:space="preserve">– </w:t>
            </w:r>
            <w:r w:rsidR="00BB4039" w:rsidRPr="00D35E0D">
              <w:rPr>
                <w:bCs/>
                <w:lang w:val="uk-UA"/>
              </w:rPr>
              <w:t>240</w:t>
            </w:r>
            <w:r w:rsidR="009D71F0" w:rsidRPr="00D35E0D">
              <w:rPr>
                <w:bCs/>
                <w:lang w:val="uk-UA"/>
              </w:rPr>
              <w:t xml:space="preserve"> 000</w:t>
            </w:r>
            <w:r w:rsidR="00E83604" w:rsidRPr="00D35E0D">
              <w:rPr>
                <w:bCs/>
                <w:lang w:val="uk-UA"/>
              </w:rPr>
              <w:t xml:space="preserve"> грн</w:t>
            </w:r>
            <w:r w:rsidR="00125796" w:rsidRPr="00D35E0D">
              <w:rPr>
                <w:b/>
                <w:bCs/>
                <w:lang w:val="uk-UA"/>
              </w:rPr>
              <w:t xml:space="preserve"> </w:t>
            </w:r>
          </w:p>
        </w:tc>
      </w:tr>
      <w:tr w:rsidR="000623EB" w:rsidRPr="00FF426E" w14:paraId="17DE9945" w14:textId="77777777" w:rsidTr="00A423B9">
        <w:tc>
          <w:tcPr>
            <w:tcW w:w="2412" w:type="dxa"/>
            <w:vAlign w:val="center"/>
          </w:tcPr>
          <w:p w14:paraId="30F871F6" w14:textId="77777777" w:rsidR="00441950" w:rsidRPr="005352D4" w:rsidRDefault="00441950" w:rsidP="005352D4">
            <w:pPr>
              <w:jc w:val="center"/>
            </w:pPr>
            <w:r w:rsidRPr="005352D4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3542" w:type="dxa"/>
            <w:vAlign w:val="center"/>
          </w:tcPr>
          <w:p w14:paraId="4638B213" w14:textId="4EC39FC6" w:rsidR="00C53FFF" w:rsidRPr="000623EB" w:rsidRDefault="00441950" w:rsidP="00F906CB">
            <w:pPr>
              <w:jc w:val="both"/>
              <w:rPr>
                <w:rStyle w:val="font141"/>
                <w:sz w:val="24"/>
                <w:szCs w:val="24"/>
              </w:rPr>
            </w:pPr>
            <w:r w:rsidRPr="000623EB">
              <w:rPr>
                <w:rStyle w:val="font141"/>
                <w:sz w:val="24"/>
                <w:szCs w:val="24"/>
              </w:rPr>
              <w:t>Вигоди високі, оскільки прийняття нового</w:t>
            </w:r>
            <w:r w:rsidR="00C73E49">
              <w:rPr>
                <w:rStyle w:val="font141"/>
                <w:sz w:val="24"/>
                <w:szCs w:val="24"/>
              </w:rPr>
              <w:t xml:space="preserve"> </w:t>
            </w:r>
            <w:r w:rsidR="00E83604">
              <w:rPr>
                <w:rStyle w:val="font141"/>
                <w:sz w:val="24"/>
                <w:szCs w:val="24"/>
              </w:rPr>
              <w:t xml:space="preserve">регуляторного акта </w:t>
            </w:r>
            <w:r w:rsidRPr="000623EB">
              <w:rPr>
                <w:rStyle w:val="font141"/>
                <w:sz w:val="24"/>
                <w:szCs w:val="24"/>
              </w:rPr>
              <w:t xml:space="preserve">дасть </w:t>
            </w:r>
            <w:r w:rsidR="00E83604">
              <w:rPr>
                <w:rStyle w:val="font141"/>
                <w:sz w:val="24"/>
                <w:szCs w:val="24"/>
              </w:rPr>
              <w:t>змогу</w:t>
            </w:r>
            <w:r w:rsidR="00A553BA" w:rsidRPr="005352D4">
              <w:rPr>
                <w:rStyle w:val="font141"/>
                <w:sz w:val="24"/>
                <w:szCs w:val="24"/>
              </w:rPr>
              <w:t xml:space="preserve"> </w:t>
            </w:r>
            <w:r w:rsidR="00C53FFF" w:rsidRPr="000623EB">
              <w:rPr>
                <w:rStyle w:val="font141"/>
                <w:sz w:val="24"/>
                <w:szCs w:val="24"/>
              </w:rPr>
              <w:t xml:space="preserve">митним органам: </w:t>
            </w:r>
          </w:p>
          <w:p w14:paraId="0814563A" w14:textId="77777777" w:rsidR="00B9066B" w:rsidRDefault="00B9066B" w:rsidP="00FA09E4">
            <w:pPr>
              <w:jc w:val="both"/>
              <w:rPr>
                <w:rStyle w:val="font141"/>
                <w:sz w:val="24"/>
                <w:szCs w:val="24"/>
              </w:rPr>
            </w:pPr>
            <w:r>
              <w:rPr>
                <w:rStyle w:val="font141"/>
                <w:sz w:val="24"/>
                <w:szCs w:val="24"/>
              </w:rPr>
              <w:lastRenderedPageBreak/>
              <w:t>вида</w:t>
            </w:r>
            <w:r w:rsidR="006E5749">
              <w:rPr>
                <w:rStyle w:val="font141"/>
                <w:sz w:val="24"/>
                <w:szCs w:val="24"/>
              </w:rPr>
              <w:t>вати сертифікати</w:t>
            </w:r>
            <w:r>
              <w:rPr>
                <w:rStyle w:val="font141"/>
                <w:sz w:val="24"/>
                <w:szCs w:val="24"/>
              </w:rPr>
              <w:t xml:space="preserve"> </w:t>
            </w:r>
            <w:r w:rsidRPr="000623EB">
              <w:rPr>
                <w:rStyle w:val="font141"/>
                <w:sz w:val="24"/>
                <w:szCs w:val="24"/>
              </w:rPr>
              <w:t>EUR.1</w:t>
            </w:r>
            <w:r>
              <w:rPr>
                <w:rStyle w:val="font141"/>
                <w:sz w:val="24"/>
                <w:szCs w:val="24"/>
              </w:rPr>
              <w:t xml:space="preserve"> на умовах </w:t>
            </w:r>
            <w:r w:rsidR="00741039">
              <w:rPr>
                <w:rStyle w:val="font141"/>
                <w:sz w:val="24"/>
                <w:szCs w:val="24"/>
              </w:rPr>
              <w:t>оновленої Конвенції ПЄМ</w:t>
            </w:r>
            <w:r w:rsidR="00D070AA" w:rsidRPr="000623EB">
              <w:rPr>
                <w:rStyle w:val="font141"/>
                <w:sz w:val="24"/>
                <w:szCs w:val="24"/>
              </w:rPr>
              <w:t>;</w:t>
            </w:r>
            <w:r>
              <w:rPr>
                <w:rStyle w:val="font141"/>
                <w:sz w:val="24"/>
                <w:szCs w:val="24"/>
              </w:rPr>
              <w:t xml:space="preserve"> </w:t>
            </w:r>
          </w:p>
          <w:p w14:paraId="0F3CA1F3" w14:textId="77777777" w:rsidR="00C53FFF" w:rsidRDefault="002E0184" w:rsidP="00FA09E4">
            <w:pPr>
              <w:jc w:val="both"/>
              <w:rPr>
                <w:rStyle w:val="font141"/>
                <w:sz w:val="24"/>
                <w:szCs w:val="24"/>
              </w:rPr>
            </w:pPr>
            <w:r>
              <w:rPr>
                <w:rStyle w:val="font141"/>
                <w:sz w:val="24"/>
                <w:szCs w:val="24"/>
              </w:rPr>
              <w:t>видавати</w:t>
            </w:r>
            <w:r w:rsidR="000623EB">
              <w:rPr>
                <w:rStyle w:val="font141"/>
                <w:sz w:val="24"/>
                <w:szCs w:val="24"/>
              </w:rPr>
              <w:t xml:space="preserve"> </w:t>
            </w:r>
            <w:r w:rsidR="00C53FFF" w:rsidRPr="005352D4">
              <w:rPr>
                <w:rStyle w:val="font141"/>
                <w:sz w:val="24"/>
                <w:szCs w:val="24"/>
              </w:rPr>
              <w:t>сертифікат</w:t>
            </w:r>
            <w:r w:rsidR="00D070AA">
              <w:rPr>
                <w:rStyle w:val="font141"/>
                <w:sz w:val="24"/>
                <w:szCs w:val="24"/>
              </w:rPr>
              <w:t xml:space="preserve"> </w:t>
            </w:r>
            <w:r w:rsidR="00D070AA" w:rsidRPr="000623EB">
              <w:rPr>
                <w:rStyle w:val="font141"/>
                <w:sz w:val="24"/>
                <w:szCs w:val="24"/>
              </w:rPr>
              <w:t>EUR.1</w:t>
            </w:r>
            <w:r w:rsidR="000623EB">
              <w:rPr>
                <w:rStyle w:val="font141"/>
                <w:sz w:val="24"/>
                <w:szCs w:val="24"/>
              </w:rPr>
              <w:t xml:space="preserve"> </w:t>
            </w:r>
            <w:r w:rsidR="000623EB" w:rsidRPr="000623EB">
              <w:rPr>
                <w:rStyle w:val="font141"/>
                <w:sz w:val="24"/>
                <w:szCs w:val="24"/>
              </w:rPr>
              <w:t>після здійснення експорту (реекспорту) товарів у випадку відсутності інформації про кінцевий пункт призначення товарів, визначений під час їх транспортування або зберігання та після можливого поділу партії товарів в державах транзиту товару</w:t>
            </w:r>
            <w:r w:rsidR="00C53FFF" w:rsidRPr="000623EB">
              <w:rPr>
                <w:rStyle w:val="font141"/>
                <w:sz w:val="24"/>
                <w:szCs w:val="24"/>
              </w:rPr>
              <w:t>;</w:t>
            </w:r>
          </w:p>
          <w:p w14:paraId="241DA791" w14:textId="77777777" w:rsidR="002E0184" w:rsidRPr="002E0184" w:rsidRDefault="002E0184" w:rsidP="00FA09E4">
            <w:pPr>
              <w:jc w:val="both"/>
              <w:rPr>
                <w:rStyle w:val="font141"/>
                <w:sz w:val="24"/>
                <w:szCs w:val="24"/>
                <w:lang w:val="ru-RU"/>
              </w:rPr>
            </w:pPr>
            <w:r>
              <w:rPr>
                <w:rStyle w:val="font141"/>
                <w:sz w:val="24"/>
                <w:szCs w:val="24"/>
              </w:rPr>
              <w:t xml:space="preserve">видавати </w:t>
            </w:r>
            <w:r w:rsidRPr="005352D4">
              <w:rPr>
                <w:rStyle w:val="font141"/>
                <w:sz w:val="24"/>
                <w:szCs w:val="24"/>
              </w:rPr>
              <w:t>сертифікат</w:t>
            </w:r>
            <w:r>
              <w:rPr>
                <w:rStyle w:val="font141"/>
                <w:sz w:val="24"/>
                <w:szCs w:val="24"/>
              </w:rPr>
              <w:t xml:space="preserve"> </w:t>
            </w:r>
            <w:r w:rsidRPr="000623EB">
              <w:rPr>
                <w:rStyle w:val="font141"/>
                <w:sz w:val="24"/>
                <w:szCs w:val="24"/>
              </w:rPr>
              <w:t>EUR.1</w:t>
            </w:r>
            <w:r>
              <w:rPr>
                <w:rStyle w:val="font141"/>
                <w:sz w:val="24"/>
                <w:szCs w:val="24"/>
              </w:rPr>
              <w:t xml:space="preserve"> на товари із застосуванням кумуляції</w:t>
            </w:r>
            <w:r w:rsidRPr="00C3031F">
              <w:rPr>
                <w:rStyle w:val="font141"/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Style w:val="font141"/>
                <w:rFonts w:eastAsia="Times New Roman"/>
                <w:sz w:val="24"/>
                <w:szCs w:val="24"/>
              </w:rPr>
              <w:t xml:space="preserve">до матеріалів, які пройшли </w:t>
            </w:r>
            <w:r w:rsidRPr="00C3031F">
              <w:rPr>
                <w:rStyle w:val="font141"/>
                <w:rFonts w:eastAsia="Times New Roman"/>
                <w:sz w:val="24"/>
                <w:szCs w:val="24"/>
              </w:rPr>
              <w:t>обробку чи переробку в державах-учасницях Конвенції без отримання преференційного статусу походження</w:t>
            </w:r>
            <w:r w:rsidRPr="002E0184">
              <w:rPr>
                <w:rStyle w:val="font141"/>
                <w:rFonts w:eastAsia="Times New Roman"/>
                <w:sz w:val="24"/>
                <w:szCs w:val="24"/>
                <w:lang w:val="ru-RU"/>
              </w:rPr>
              <w:t>;</w:t>
            </w:r>
          </w:p>
          <w:p w14:paraId="4B1FE04B" w14:textId="77777777" w:rsidR="00441950" w:rsidRPr="00A71231" w:rsidRDefault="000623EB" w:rsidP="00FA09E4">
            <w:pPr>
              <w:jc w:val="both"/>
              <w:rPr>
                <w:rStyle w:val="font141"/>
                <w:sz w:val="24"/>
                <w:szCs w:val="24"/>
                <w:lang w:val="ru-RU"/>
              </w:rPr>
            </w:pPr>
            <w:r w:rsidRPr="000623EB">
              <w:rPr>
                <w:rStyle w:val="font141"/>
                <w:sz w:val="24"/>
                <w:szCs w:val="24"/>
              </w:rPr>
              <w:t xml:space="preserve">забезпечити </w:t>
            </w:r>
            <w:r>
              <w:rPr>
                <w:rStyle w:val="font141"/>
                <w:sz w:val="24"/>
                <w:szCs w:val="24"/>
              </w:rPr>
              <w:t xml:space="preserve">можливість </w:t>
            </w:r>
            <w:r w:rsidRPr="000623EB">
              <w:rPr>
                <w:rStyle w:val="font141"/>
                <w:sz w:val="24"/>
                <w:szCs w:val="24"/>
              </w:rPr>
              <w:t>підтвердження преференційного походження товарів з України з урахуванням вагових характеристик матеріалів непреференційного походження, використаних п</w:t>
            </w:r>
            <w:r w:rsidR="00BB4039">
              <w:rPr>
                <w:rStyle w:val="font141"/>
                <w:sz w:val="24"/>
                <w:szCs w:val="24"/>
              </w:rPr>
              <w:t>ри виробництві кінцевого товару</w:t>
            </w:r>
            <w:r w:rsidR="00A71231" w:rsidRPr="00A71231">
              <w:rPr>
                <w:rStyle w:val="font141"/>
                <w:sz w:val="24"/>
                <w:szCs w:val="24"/>
                <w:lang w:val="ru-RU"/>
              </w:rPr>
              <w:t>;</w:t>
            </w:r>
          </w:p>
          <w:p w14:paraId="20B239AC" w14:textId="57108548" w:rsidR="007315EE" w:rsidRPr="00C66B54" w:rsidRDefault="00A71231" w:rsidP="00FA09E4">
            <w:pPr>
              <w:jc w:val="both"/>
              <w:rPr>
                <w:rStyle w:val="font141"/>
                <w:sz w:val="24"/>
                <w:szCs w:val="24"/>
              </w:rPr>
            </w:pPr>
            <w:r>
              <w:rPr>
                <w:rStyle w:val="font141"/>
                <w:sz w:val="24"/>
                <w:szCs w:val="24"/>
              </w:rPr>
              <w:t>еко</w:t>
            </w:r>
            <w:r w:rsidR="00FC0678">
              <w:rPr>
                <w:rStyle w:val="font141"/>
                <w:sz w:val="24"/>
                <w:szCs w:val="24"/>
              </w:rPr>
              <w:t>номити бюджетні</w:t>
            </w:r>
            <w:r>
              <w:rPr>
                <w:rStyle w:val="font141"/>
                <w:sz w:val="24"/>
                <w:szCs w:val="24"/>
              </w:rPr>
              <w:t xml:space="preserve"> витрат</w:t>
            </w:r>
            <w:r w:rsidR="00FC0678">
              <w:rPr>
                <w:rStyle w:val="font141"/>
                <w:sz w:val="24"/>
                <w:szCs w:val="24"/>
              </w:rPr>
              <w:t>и на закупівлю витратних матеріалів (папір, канцелярія тощо) у зв’язку із можливістю зберігання</w:t>
            </w:r>
            <w:r w:rsidR="006C4F5E">
              <w:rPr>
                <w:rStyle w:val="font141"/>
                <w:sz w:val="24"/>
                <w:szCs w:val="24"/>
              </w:rPr>
              <w:t xml:space="preserve"> в</w:t>
            </w:r>
            <w:r w:rsidR="006C4F5E" w:rsidRPr="00FC0678">
              <w:rPr>
                <w:rStyle w:val="font141"/>
                <w:sz w:val="24"/>
                <w:szCs w:val="24"/>
              </w:rPr>
              <w:t xml:space="preserve"> програмно-інформаційному</w:t>
            </w:r>
            <w:r w:rsidR="006C4F5E">
              <w:rPr>
                <w:rStyle w:val="font141"/>
                <w:sz w:val="24"/>
                <w:szCs w:val="24"/>
              </w:rPr>
              <w:t xml:space="preserve"> </w:t>
            </w:r>
            <w:r w:rsidR="006C4F5E" w:rsidRPr="00FC0678">
              <w:rPr>
                <w:rStyle w:val="font141"/>
                <w:sz w:val="24"/>
                <w:szCs w:val="24"/>
              </w:rPr>
              <w:t xml:space="preserve">комплексі </w:t>
            </w:r>
            <w:r w:rsidR="006C4F5E">
              <w:rPr>
                <w:rStyle w:val="font141"/>
                <w:sz w:val="24"/>
                <w:szCs w:val="24"/>
              </w:rPr>
              <w:t>митних органів в</w:t>
            </w:r>
            <w:r w:rsidR="006C4F5E" w:rsidRPr="006C4F5E">
              <w:rPr>
                <w:rStyle w:val="font141"/>
                <w:sz w:val="24"/>
                <w:szCs w:val="24"/>
              </w:rPr>
              <w:t xml:space="preserve"> </w:t>
            </w:r>
            <w:r w:rsidR="006C4F5E" w:rsidRPr="00FC0678">
              <w:rPr>
                <w:rStyle w:val="font141"/>
                <w:sz w:val="24"/>
                <w:szCs w:val="24"/>
              </w:rPr>
              <w:t>електронній формі</w:t>
            </w:r>
            <w:r w:rsidR="006C4F5E">
              <w:rPr>
                <w:rStyle w:val="font141"/>
                <w:sz w:val="24"/>
                <w:szCs w:val="24"/>
              </w:rPr>
              <w:t xml:space="preserve"> видані сертифікати </w:t>
            </w:r>
            <w:r w:rsidR="006C4F5E" w:rsidRPr="006C4F5E">
              <w:rPr>
                <w:rStyle w:val="font141"/>
                <w:sz w:val="24"/>
                <w:szCs w:val="24"/>
              </w:rPr>
              <w:t>EUR.1 разом із документами, на підставі яких видано такі сертифікати</w:t>
            </w:r>
          </w:p>
        </w:tc>
        <w:tc>
          <w:tcPr>
            <w:tcW w:w="3827" w:type="dxa"/>
          </w:tcPr>
          <w:p w14:paraId="705B46B6" w14:textId="77777777" w:rsidR="00F7765B" w:rsidRDefault="007A5280" w:rsidP="00A423B9">
            <w:pPr>
              <w:jc w:val="both"/>
              <w:rPr>
                <w:rStyle w:val="font141"/>
                <w:sz w:val="24"/>
                <w:szCs w:val="24"/>
              </w:rPr>
            </w:pPr>
            <w:r w:rsidRPr="007A5280">
              <w:rPr>
                <w:rStyle w:val="font141"/>
                <w:sz w:val="24"/>
                <w:szCs w:val="24"/>
              </w:rPr>
              <w:lastRenderedPageBreak/>
              <w:t xml:space="preserve">Витрати, пов’язані із виконанням вимог регуляторного акта, нестимуться </w:t>
            </w:r>
            <w:r w:rsidR="003251C2">
              <w:rPr>
                <w:rStyle w:val="font141"/>
                <w:sz w:val="24"/>
                <w:szCs w:val="24"/>
              </w:rPr>
              <w:t>Держмитслужбою та її територіальними органами</w:t>
            </w:r>
            <w:r w:rsidR="00973B80">
              <w:rPr>
                <w:rStyle w:val="font141"/>
                <w:sz w:val="24"/>
                <w:szCs w:val="24"/>
              </w:rPr>
              <w:t xml:space="preserve"> </w:t>
            </w:r>
            <w:r w:rsidRPr="007A5280">
              <w:rPr>
                <w:rStyle w:val="font141"/>
                <w:sz w:val="24"/>
                <w:szCs w:val="24"/>
              </w:rPr>
              <w:t xml:space="preserve">в межах кошторисних витрат на </w:t>
            </w:r>
            <w:r w:rsidR="001A1D84">
              <w:rPr>
                <w:rStyle w:val="font141"/>
                <w:sz w:val="24"/>
                <w:szCs w:val="24"/>
              </w:rPr>
              <w:t xml:space="preserve">їх </w:t>
            </w:r>
            <w:r w:rsidRPr="007A5280">
              <w:rPr>
                <w:rStyle w:val="font141"/>
                <w:sz w:val="24"/>
                <w:szCs w:val="24"/>
              </w:rPr>
              <w:t xml:space="preserve">утримання відповідних органів та </w:t>
            </w:r>
            <w:r w:rsidRPr="007A5280">
              <w:rPr>
                <w:rStyle w:val="font141"/>
                <w:sz w:val="24"/>
                <w:szCs w:val="24"/>
              </w:rPr>
              <w:lastRenderedPageBreak/>
              <w:t>асигнувань, передбачених у бюджеті</w:t>
            </w:r>
            <w:r w:rsidR="00E83604">
              <w:rPr>
                <w:rStyle w:val="font141"/>
                <w:sz w:val="24"/>
                <w:szCs w:val="24"/>
              </w:rPr>
              <w:t>.</w:t>
            </w:r>
          </w:p>
          <w:p w14:paraId="0D9F062F" w14:textId="77777777" w:rsidR="007121AB" w:rsidRPr="00D35E0D" w:rsidRDefault="00AF1A57" w:rsidP="00FC0678">
            <w:pPr>
              <w:jc w:val="both"/>
              <w:rPr>
                <w:rStyle w:val="font141"/>
                <w:sz w:val="24"/>
                <w:szCs w:val="24"/>
                <w:lang w:val="ru-RU"/>
              </w:rPr>
            </w:pPr>
            <w:r w:rsidRPr="00D35E0D">
              <w:rPr>
                <w:rStyle w:val="font141"/>
                <w:sz w:val="24"/>
                <w:szCs w:val="24"/>
              </w:rPr>
              <w:t xml:space="preserve">Витрати </w:t>
            </w:r>
            <w:r w:rsidR="00F7765B" w:rsidRPr="00D35E0D">
              <w:rPr>
                <w:rStyle w:val="font141"/>
                <w:sz w:val="24"/>
                <w:szCs w:val="24"/>
              </w:rPr>
              <w:t xml:space="preserve">на оплату робочого часу  посадовим особам митних органів, </w:t>
            </w:r>
            <w:r w:rsidRPr="00D35E0D">
              <w:rPr>
                <w:rStyle w:val="font141"/>
                <w:sz w:val="24"/>
                <w:szCs w:val="24"/>
              </w:rPr>
              <w:t>пов’</w:t>
            </w:r>
            <w:r w:rsidR="00584496" w:rsidRPr="00D35E0D">
              <w:rPr>
                <w:rStyle w:val="font141"/>
                <w:sz w:val="24"/>
                <w:szCs w:val="24"/>
              </w:rPr>
              <w:t>язані</w:t>
            </w:r>
            <w:r w:rsidR="00A71231" w:rsidRPr="00D35E0D">
              <w:rPr>
                <w:rStyle w:val="font141"/>
                <w:sz w:val="24"/>
                <w:szCs w:val="24"/>
              </w:rPr>
              <w:t xml:space="preserve"> з</w:t>
            </w:r>
            <w:r w:rsidR="007121AB" w:rsidRPr="00D35E0D">
              <w:rPr>
                <w:rStyle w:val="font141"/>
                <w:sz w:val="24"/>
                <w:szCs w:val="24"/>
                <w:lang w:val="ru-RU"/>
              </w:rPr>
              <w:t>:</w:t>
            </w:r>
          </w:p>
          <w:p w14:paraId="45DBDADF" w14:textId="333A749B" w:rsidR="00FC0678" w:rsidRPr="00A275EA" w:rsidRDefault="00A71231" w:rsidP="00FC0678">
            <w:pPr>
              <w:jc w:val="both"/>
              <w:rPr>
                <w:rStyle w:val="font141"/>
                <w:sz w:val="24"/>
                <w:szCs w:val="24"/>
              </w:rPr>
            </w:pPr>
            <w:r w:rsidRPr="00D35E0D">
              <w:rPr>
                <w:rStyle w:val="font141"/>
                <w:sz w:val="24"/>
                <w:szCs w:val="24"/>
              </w:rPr>
              <w:t xml:space="preserve">перевіркою перед видачею сертифіката EUR.1 правильності заповнення </w:t>
            </w:r>
            <w:r w:rsidR="001909CF" w:rsidRPr="00D35E0D">
              <w:rPr>
                <w:rStyle w:val="font141"/>
                <w:sz w:val="24"/>
                <w:szCs w:val="24"/>
              </w:rPr>
              <w:t xml:space="preserve">документів та інформації до заяви, встановлених цим актом, </w:t>
            </w:r>
            <w:r w:rsidRPr="00D35E0D">
              <w:rPr>
                <w:rStyle w:val="font141"/>
                <w:sz w:val="24"/>
                <w:szCs w:val="24"/>
              </w:rPr>
              <w:t xml:space="preserve">та </w:t>
            </w:r>
            <w:r w:rsidRPr="00A275EA">
              <w:rPr>
                <w:rStyle w:val="font141"/>
                <w:sz w:val="24"/>
                <w:szCs w:val="24"/>
              </w:rPr>
              <w:t>електронної копії сертифіката EUR.1 та усунення суб’єктом господарювання причин, що призвели до прийняття рішення про відмову у видачі сертифіката EUR.1</w:t>
            </w:r>
            <w:r w:rsidR="00371309" w:rsidRPr="00A275EA">
              <w:rPr>
                <w:rStyle w:val="font141"/>
                <w:sz w:val="24"/>
                <w:szCs w:val="24"/>
              </w:rPr>
              <w:t>,</w:t>
            </w:r>
            <w:r w:rsidRPr="00A275EA">
              <w:rPr>
                <w:rStyle w:val="font141"/>
                <w:sz w:val="24"/>
                <w:szCs w:val="24"/>
              </w:rPr>
              <w:t xml:space="preserve"> </w:t>
            </w:r>
            <w:r w:rsidR="00371309" w:rsidRPr="00A275EA">
              <w:rPr>
                <w:rStyle w:val="font141"/>
                <w:sz w:val="24"/>
                <w:szCs w:val="24"/>
              </w:rPr>
              <w:t>надісланням на адресу експортера електронних повідомлень про розгляд заяви</w:t>
            </w:r>
            <w:r w:rsidR="00B0452E">
              <w:rPr>
                <w:rStyle w:val="font141"/>
                <w:sz w:val="24"/>
                <w:szCs w:val="24"/>
              </w:rPr>
              <w:t xml:space="preserve"> </w:t>
            </w:r>
            <w:r w:rsidR="006C4F5E" w:rsidRPr="00A275EA">
              <w:rPr>
                <w:rStyle w:val="font141"/>
                <w:sz w:val="24"/>
                <w:szCs w:val="24"/>
              </w:rPr>
              <w:t xml:space="preserve">– витрати становитимуть </w:t>
            </w:r>
            <w:r w:rsidR="00442353">
              <w:rPr>
                <w:rStyle w:val="font141"/>
                <w:sz w:val="24"/>
                <w:szCs w:val="24"/>
                <w:lang w:val="ru-RU"/>
              </w:rPr>
              <w:t>2</w:t>
            </w:r>
            <w:r w:rsidRPr="00A275EA">
              <w:rPr>
                <w:rStyle w:val="font141"/>
                <w:sz w:val="24"/>
                <w:szCs w:val="24"/>
              </w:rPr>
              <w:t xml:space="preserve"> год</w:t>
            </w:r>
            <w:r w:rsidR="006C4F5E" w:rsidRPr="00A275EA">
              <w:rPr>
                <w:rStyle w:val="font141"/>
                <w:sz w:val="24"/>
                <w:szCs w:val="24"/>
              </w:rPr>
              <w:t xml:space="preserve"> робочого часу (</w:t>
            </w:r>
            <w:r w:rsidR="00442353">
              <w:rPr>
                <w:rStyle w:val="font141"/>
                <w:sz w:val="24"/>
                <w:szCs w:val="24"/>
                <w:lang w:val="ru-RU"/>
              </w:rPr>
              <w:t>96</w:t>
            </w:r>
            <w:r w:rsidR="006C4F5E" w:rsidRPr="00A275EA">
              <w:rPr>
                <w:rStyle w:val="font141"/>
                <w:sz w:val="24"/>
                <w:szCs w:val="24"/>
              </w:rPr>
              <w:t xml:space="preserve"> грн)</w:t>
            </w:r>
            <w:r w:rsidRPr="00A275EA">
              <w:rPr>
                <w:rStyle w:val="font141"/>
                <w:sz w:val="24"/>
                <w:szCs w:val="24"/>
              </w:rPr>
              <w:t>;</w:t>
            </w:r>
          </w:p>
          <w:p w14:paraId="43D32970" w14:textId="012BEF86" w:rsidR="00584496" w:rsidRPr="00D35E0D" w:rsidRDefault="009D71F0" w:rsidP="009D71F0">
            <w:pPr>
              <w:jc w:val="both"/>
              <w:rPr>
                <w:rStyle w:val="font141"/>
                <w:sz w:val="24"/>
                <w:szCs w:val="24"/>
              </w:rPr>
            </w:pPr>
            <w:r w:rsidRPr="00D35E0D">
              <w:rPr>
                <w:rStyle w:val="font141"/>
                <w:sz w:val="24"/>
                <w:szCs w:val="24"/>
              </w:rPr>
              <w:t xml:space="preserve">проведенням </w:t>
            </w:r>
            <w:r w:rsidR="00AF1A57" w:rsidRPr="00D35E0D">
              <w:rPr>
                <w:rStyle w:val="font141"/>
                <w:sz w:val="24"/>
                <w:szCs w:val="24"/>
              </w:rPr>
              <w:t>консультацій за зверненнями експортерів з питань застосування преференційних правил походження</w:t>
            </w:r>
            <w:r w:rsidRPr="00D35E0D">
              <w:rPr>
                <w:rStyle w:val="font141"/>
                <w:sz w:val="24"/>
                <w:szCs w:val="24"/>
              </w:rPr>
              <w:t xml:space="preserve"> та надання додаткових документів</w:t>
            </w:r>
            <w:r w:rsidR="003251C2" w:rsidRPr="00D35E0D">
              <w:rPr>
                <w:rStyle w:val="font141"/>
                <w:sz w:val="24"/>
                <w:szCs w:val="24"/>
              </w:rPr>
              <w:t>,</w:t>
            </w:r>
            <w:r w:rsidR="00AF1A57" w:rsidRPr="00D35E0D">
              <w:rPr>
                <w:rStyle w:val="font141"/>
                <w:sz w:val="24"/>
                <w:szCs w:val="24"/>
              </w:rPr>
              <w:t xml:space="preserve"> становлять</w:t>
            </w:r>
            <w:r w:rsidR="00BE63DB" w:rsidRPr="00D35E0D">
              <w:rPr>
                <w:rStyle w:val="font141"/>
                <w:sz w:val="24"/>
                <w:szCs w:val="24"/>
              </w:rPr>
              <w:t xml:space="preserve"> 2</w:t>
            </w:r>
            <w:r w:rsidR="00AF1A57" w:rsidRPr="00D35E0D">
              <w:rPr>
                <w:rStyle w:val="font141"/>
                <w:sz w:val="24"/>
                <w:szCs w:val="24"/>
              </w:rPr>
              <w:t xml:space="preserve"> год (</w:t>
            </w:r>
            <w:r w:rsidR="00BE63DB" w:rsidRPr="00D35E0D">
              <w:rPr>
                <w:rStyle w:val="font141"/>
                <w:sz w:val="24"/>
                <w:szCs w:val="24"/>
              </w:rPr>
              <w:t>96</w:t>
            </w:r>
            <w:r w:rsidR="00AF1A57" w:rsidRPr="00D35E0D">
              <w:rPr>
                <w:rStyle w:val="font141"/>
                <w:sz w:val="24"/>
                <w:szCs w:val="24"/>
              </w:rPr>
              <w:t xml:space="preserve"> грн).</w:t>
            </w:r>
          </w:p>
          <w:p w14:paraId="3AEB0D40" w14:textId="068E18F1" w:rsidR="0094484C" w:rsidRPr="00D35E0D" w:rsidRDefault="006621FC" w:rsidP="00BB4039">
            <w:pPr>
              <w:jc w:val="both"/>
              <w:rPr>
                <w:rStyle w:val="font141"/>
                <w:sz w:val="24"/>
                <w:szCs w:val="24"/>
              </w:rPr>
            </w:pPr>
            <w:r w:rsidRPr="00D35E0D">
              <w:rPr>
                <w:rStyle w:val="font141"/>
                <w:sz w:val="24"/>
                <w:szCs w:val="24"/>
              </w:rPr>
              <w:t>Процедури щодо</w:t>
            </w:r>
            <w:r w:rsidR="0094484C" w:rsidRPr="00D35E0D">
              <w:rPr>
                <w:rStyle w:val="font141"/>
                <w:sz w:val="24"/>
                <w:szCs w:val="24"/>
              </w:rPr>
              <w:t xml:space="preserve"> верифікації (перевірку достовірності)</w:t>
            </w:r>
            <w:r w:rsidRPr="00D35E0D">
              <w:rPr>
                <w:rStyle w:val="font141"/>
                <w:sz w:val="24"/>
                <w:szCs w:val="24"/>
              </w:rPr>
              <w:t xml:space="preserve"> </w:t>
            </w:r>
            <w:r w:rsidR="0094484C" w:rsidRPr="00D35E0D">
              <w:rPr>
                <w:rStyle w:val="font141"/>
                <w:sz w:val="24"/>
                <w:szCs w:val="24"/>
              </w:rPr>
              <w:t xml:space="preserve">сертифікатів EUR.1 </w:t>
            </w:r>
            <w:r w:rsidRPr="00D35E0D">
              <w:rPr>
                <w:rStyle w:val="font141"/>
                <w:sz w:val="24"/>
                <w:szCs w:val="24"/>
              </w:rPr>
              <w:t>встановлені</w:t>
            </w:r>
            <w:r w:rsidR="0094484C" w:rsidRPr="00D35E0D">
              <w:rPr>
                <w:rStyle w:val="font141"/>
                <w:sz w:val="24"/>
                <w:szCs w:val="24"/>
              </w:rPr>
              <w:t xml:space="preserve"> постанов</w:t>
            </w:r>
            <w:r w:rsidRPr="00D35E0D">
              <w:rPr>
                <w:rStyle w:val="font141"/>
                <w:sz w:val="24"/>
                <w:szCs w:val="24"/>
              </w:rPr>
              <w:t>ою</w:t>
            </w:r>
            <w:r w:rsidR="0094484C" w:rsidRPr="00D35E0D">
              <w:rPr>
                <w:rStyle w:val="font141"/>
                <w:sz w:val="24"/>
                <w:szCs w:val="24"/>
              </w:rPr>
              <w:t xml:space="preserve"> Кабінету Міністрів України від 09 грудня 2015 року №</w:t>
            </w:r>
            <w:r w:rsidR="001909CF" w:rsidRPr="00D35E0D">
              <w:rPr>
                <w:rStyle w:val="font141"/>
                <w:sz w:val="24"/>
                <w:szCs w:val="24"/>
              </w:rPr>
              <w:t> </w:t>
            </w:r>
            <w:r w:rsidR="0094484C" w:rsidRPr="00D35E0D">
              <w:rPr>
                <w:rStyle w:val="font141"/>
                <w:sz w:val="24"/>
                <w:szCs w:val="24"/>
              </w:rPr>
              <w:t>1029 «Про затвердження Порядку верифікації (перевірки достовірності) сертифікатів і декларацій про походження товару з України»</w:t>
            </w:r>
            <w:r w:rsidRPr="00D35E0D">
              <w:rPr>
                <w:rStyle w:val="font141"/>
                <w:sz w:val="24"/>
                <w:szCs w:val="24"/>
              </w:rPr>
              <w:t>, тому актом не запроваджу</w:t>
            </w:r>
            <w:r w:rsidR="00447DD5" w:rsidRPr="00D35E0D">
              <w:rPr>
                <w:rStyle w:val="font141"/>
                <w:sz w:val="24"/>
                <w:szCs w:val="24"/>
              </w:rPr>
              <w:t>ю</w:t>
            </w:r>
            <w:r w:rsidRPr="00D35E0D">
              <w:rPr>
                <w:rStyle w:val="font141"/>
                <w:sz w:val="24"/>
                <w:szCs w:val="24"/>
              </w:rPr>
              <w:t>ться нов</w:t>
            </w:r>
            <w:r w:rsidR="00447DD5" w:rsidRPr="00D35E0D">
              <w:rPr>
                <w:rStyle w:val="font141"/>
                <w:sz w:val="24"/>
                <w:szCs w:val="24"/>
              </w:rPr>
              <w:t>і</w:t>
            </w:r>
            <w:r w:rsidRPr="00D35E0D">
              <w:rPr>
                <w:rStyle w:val="font141"/>
                <w:sz w:val="24"/>
                <w:szCs w:val="24"/>
              </w:rPr>
              <w:t xml:space="preserve"> вимог</w:t>
            </w:r>
            <w:r w:rsidR="00447DD5" w:rsidRPr="00D35E0D">
              <w:rPr>
                <w:rStyle w:val="font141"/>
                <w:sz w:val="24"/>
                <w:szCs w:val="24"/>
              </w:rPr>
              <w:t>и</w:t>
            </w:r>
            <w:r w:rsidRPr="00D35E0D">
              <w:rPr>
                <w:rStyle w:val="font141"/>
                <w:sz w:val="24"/>
                <w:szCs w:val="24"/>
              </w:rPr>
              <w:t>, які потребують розрахунку витрат.</w:t>
            </w:r>
          </w:p>
          <w:p w14:paraId="16E986A1" w14:textId="4A5A5633" w:rsidR="00630840" w:rsidRPr="00412175" w:rsidRDefault="0094484C" w:rsidP="00990683">
            <w:pPr>
              <w:jc w:val="both"/>
              <w:rPr>
                <w:rStyle w:val="font141"/>
                <w:sz w:val="24"/>
                <w:szCs w:val="24"/>
              </w:rPr>
            </w:pPr>
            <w:r w:rsidRPr="00D35E0D">
              <w:rPr>
                <w:rStyle w:val="font141"/>
                <w:sz w:val="24"/>
                <w:szCs w:val="24"/>
              </w:rPr>
              <w:t>Врахову</w:t>
            </w:r>
            <w:r w:rsidR="00BB4039" w:rsidRPr="00D35E0D">
              <w:rPr>
                <w:rStyle w:val="font141"/>
                <w:sz w:val="24"/>
                <w:szCs w:val="24"/>
              </w:rPr>
              <w:t xml:space="preserve">ючи, що </w:t>
            </w:r>
            <w:r w:rsidR="00442353" w:rsidRPr="00D35E0D">
              <w:rPr>
                <w:rStyle w:val="font141"/>
                <w:sz w:val="24"/>
                <w:szCs w:val="24"/>
              </w:rPr>
              <w:t>суб’єкти господарювання щорічно отримують 33</w:t>
            </w:r>
            <w:r w:rsidR="00165016" w:rsidRPr="00D35E0D">
              <w:rPr>
                <w:rStyle w:val="font141"/>
                <w:sz w:val="24"/>
                <w:szCs w:val="24"/>
              </w:rPr>
              <w:t xml:space="preserve"> </w:t>
            </w:r>
            <w:r w:rsidR="00442353" w:rsidRPr="00D35E0D">
              <w:rPr>
                <w:rStyle w:val="font141"/>
                <w:sz w:val="24"/>
                <w:szCs w:val="24"/>
              </w:rPr>
              <w:t>сертифіката</w:t>
            </w:r>
            <w:r w:rsidR="006C4F5E" w:rsidRPr="00D35E0D">
              <w:rPr>
                <w:rStyle w:val="font141"/>
                <w:sz w:val="24"/>
                <w:szCs w:val="24"/>
              </w:rPr>
              <w:t xml:space="preserve"> </w:t>
            </w:r>
            <w:r w:rsidR="006C4F5E" w:rsidRPr="00D35E0D">
              <w:rPr>
                <w:rStyle w:val="font141"/>
                <w:sz w:val="24"/>
                <w:szCs w:val="24"/>
                <w:lang w:val="en-US"/>
              </w:rPr>
              <w:t>EUR</w:t>
            </w:r>
            <w:r w:rsidR="006C4F5E" w:rsidRPr="00D35E0D">
              <w:rPr>
                <w:rStyle w:val="font141"/>
                <w:sz w:val="24"/>
                <w:szCs w:val="24"/>
              </w:rPr>
              <w:t xml:space="preserve">.1 </w:t>
            </w:r>
            <w:r w:rsidR="00371309" w:rsidRPr="00D35E0D">
              <w:rPr>
                <w:rStyle w:val="font141"/>
                <w:sz w:val="24"/>
                <w:szCs w:val="24"/>
              </w:rPr>
              <w:t xml:space="preserve">та </w:t>
            </w:r>
            <w:r w:rsidR="00BB4039" w:rsidRPr="00D35E0D">
              <w:rPr>
                <w:rStyle w:val="font141"/>
                <w:sz w:val="24"/>
                <w:szCs w:val="24"/>
              </w:rPr>
              <w:t>за зверненнями суб’єктів гос</w:t>
            </w:r>
            <w:r w:rsidR="001E5A11" w:rsidRPr="00D35E0D">
              <w:rPr>
                <w:rStyle w:val="font141"/>
                <w:sz w:val="24"/>
                <w:szCs w:val="24"/>
              </w:rPr>
              <w:t xml:space="preserve">подарювання проводиться </w:t>
            </w:r>
            <w:r w:rsidR="001E5A11">
              <w:rPr>
                <w:rStyle w:val="font141"/>
                <w:sz w:val="24"/>
                <w:szCs w:val="24"/>
              </w:rPr>
              <w:t>2</w:t>
            </w:r>
            <w:r w:rsidR="00BB4039" w:rsidRPr="00BB4039">
              <w:rPr>
                <w:rStyle w:val="font141"/>
                <w:sz w:val="24"/>
                <w:szCs w:val="24"/>
              </w:rPr>
              <w:t>00 конс</w:t>
            </w:r>
            <w:r w:rsidR="00371309">
              <w:rPr>
                <w:rStyle w:val="font141"/>
                <w:sz w:val="24"/>
                <w:szCs w:val="24"/>
              </w:rPr>
              <w:t>ультацій, загальні витрати</w:t>
            </w:r>
            <w:r w:rsidR="00004404">
              <w:rPr>
                <w:rStyle w:val="font141"/>
                <w:sz w:val="24"/>
                <w:szCs w:val="24"/>
              </w:rPr>
              <w:t xml:space="preserve"> митних органів</w:t>
            </w:r>
            <w:r w:rsidR="00371309">
              <w:rPr>
                <w:rStyle w:val="font141"/>
                <w:sz w:val="24"/>
                <w:szCs w:val="24"/>
              </w:rPr>
              <w:t>, пов’язані з процедурою видачі сертифікатів</w:t>
            </w:r>
            <w:r w:rsidR="00BB4039" w:rsidRPr="00BB4039">
              <w:rPr>
                <w:rStyle w:val="font141"/>
                <w:sz w:val="24"/>
                <w:szCs w:val="24"/>
              </w:rPr>
              <w:t xml:space="preserve"> </w:t>
            </w:r>
            <w:r w:rsidR="00371309">
              <w:rPr>
                <w:rStyle w:val="font141"/>
                <w:sz w:val="24"/>
                <w:szCs w:val="24"/>
              </w:rPr>
              <w:t xml:space="preserve">та </w:t>
            </w:r>
            <w:r w:rsidR="00BB4039" w:rsidRPr="00412175">
              <w:rPr>
                <w:rStyle w:val="font141"/>
                <w:sz w:val="24"/>
                <w:szCs w:val="24"/>
              </w:rPr>
              <w:t>проведення</w:t>
            </w:r>
            <w:r w:rsidR="00371309" w:rsidRPr="00412175">
              <w:rPr>
                <w:rStyle w:val="font141"/>
                <w:sz w:val="24"/>
                <w:szCs w:val="24"/>
              </w:rPr>
              <w:t>м</w:t>
            </w:r>
            <w:r w:rsidR="00BB4039" w:rsidRPr="00412175">
              <w:rPr>
                <w:rStyle w:val="font141"/>
                <w:sz w:val="24"/>
                <w:szCs w:val="24"/>
              </w:rPr>
              <w:t xml:space="preserve"> консультацій </w:t>
            </w:r>
            <w:r w:rsidR="00962D04" w:rsidRPr="00412175">
              <w:rPr>
                <w:rStyle w:val="font141"/>
                <w:sz w:val="24"/>
                <w:szCs w:val="24"/>
              </w:rPr>
              <w:t xml:space="preserve">за один рік становитимуть </w:t>
            </w:r>
            <w:r w:rsidR="008E295A" w:rsidRPr="00412175">
              <w:rPr>
                <w:rFonts w:eastAsia="Times New Roman"/>
                <w:lang w:eastAsia="ru-RU"/>
              </w:rPr>
              <w:t>13 156 896</w:t>
            </w:r>
            <w:r w:rsidR="00AF5777" w:rsidRPr="00412175">
              <w:rPr>
                <w:rStyle w:val="font141"/>
                <w:sz w:val="24"/>
                <w:szCs w:val="24"/>
              </w:rPr>
              <w:t xml:space="preserve"> </w:t>
            </w:r>
            <w:r w:rsidR="00E50237" w:rsidRPr="00412175">
              <w:rPr>
                <w:rStyle w:val="font141"/>
                <w:sz w:val="24"/>
                <w:szCs w:val="24"/>
              </w:rPr>
              <w:t>грн,</w:t>
            </w:r>
            <w:r w:rsidR="00A85C74" w:rsidRPr="00412175">
              <w:rPr>
                <w:rStyle w:val="font141"/>
                <w:sz w:val="24"/>
                <w:szCs w:val="24"/>
              </w:rPr>
              <w:t xml:space="preserve"> </w:t>
            </w:r>
            <w:r w:rsidR="00990683" w:rsidRPr="00412175">
              <w:rPr>
                <w:rStyle w:val="font141"/>
                <w:sz w:val="24"/>
                <w:szCs w:val="24"/>
              </w:rPr>
              <w:t xml:space="preserve">а за п’ять років – </w:t>
            </w:r>
            <w:r w:rsidR="00990683" w:rsidRPr="00412175">
              <w:rPr>
                <w:rFonts w:eastAsiaTheme="minorHAnsi"/>
                <w:lang w:eastAsia="en-US"/>
              </w:rPr>
              <w:t xml:space="preserve">65 784 480 грн. </w:t>
            </w:r>
            <w:r w:rsidR="00990683" w:rsidRPr="00412175">
              <w:rPr>
                <w:rStyle w:val="font141"/>
                <w:sz w:val="24"/>
                <w:szCs w:val="24"/>
              </w:rPr>
              <w:t xml:space="preserve"> </w:t>
            </w:r>
          </w:p>
        </w:tc>
      </w:tr>
    </w:tbl>
    <w:p w14:paraId="1CE434A7" w14:textId="77777777" w:rsidR="00A423B9" w:rsidRPr="00A423B9" w:rsidRDefault="00A423B9" w:rsidP="00A423B9">
      <w:pPr>
        <w:ind w:firstLine="567"/>
        <w:jc w:val="both"/>
        <w:rPr>
          <w:rFonts w:eastAsia="Times New Roman"/>
          <w:lang w:eastAsia="ru-RU"/>
        </w:rPr>
      </w:pPr>
      <w:r w:rsidRPr="00A423B9">
        <w:rPr>
          <w:rFonts w:eastAsia="Times New Roman"/>
          <w:lang w:eastAsia="ru-RU"/>
        </w:rPr>
        <w:lastRenderedPageBreak/>
        <w:t>*Розрахунок часових і матеріальних витрат посадової особи митного органу за один рік здійснено з урахуванням середньої заробітної плати по Україні відповідно до Закону України «Про державний бюджет України на 2025 рік», яким затверджено розмір мінімальної заробітної плати на 2025 рік (з 1 січня 2025 року мінімальна заробітна плата у місячному розмірі становить 8 000 гривень, погодинна – 48,0 гривень).</w:t>
      </w:r>
    </w:p>
    <w:p w14:paraId="79C4B5D1" w14:textId="77777777" w:rsidR="00AF1A57" w:rsidRDefault="00AF1A57" w:rsidP="00962378">
      <w:pPr>
        <w:ind w:firstLine="567"/>
        <w:jc w:val="both"/>
        <w:rPr>
          <w:rFonts w:eastAsia="Times New Roman"/>
          <w:sz w:val="28"/>
          <w:szCs w:val="28"/>
        </w:rPr>
      </w:pPr>
    </w:p>
    <w:p w14:paraId="47FBBE4F" w14:textId="2FD5ED6E" w:rsidR="009A602A" w:rsidRPr="00D35E0D" w:rsidRDefault="009A602A" w:rsidP="00962378">
      <w:pPr>
        <w:ind w:firstLine="567"/>
        <w:jc w:val="both"/>
        <w:rPr>
          <w:sz w:val="28"/>
          <w:szCs w:val="28"/>
          <w:shd w:val="clear" w:color="auto" w:fill="FFFFFF"/>
        </w:rPr>
      </w:pPr>
      <w:r w:rsidRPr="00D35E0D">
        <w:rPr>
          <w:sz w:val="28"/>
          <w:szCs w:val="28"/>
          <w:shd w:val="clear" w:color="auto" w:fill="FFFFFF"/>
        </w:rPr>
        <w:t>2.2. Оцінка впливу на сферу інтересів громадян</w:t>
      </w:r>
      <w:r w:rsidR="00E70524">
        <w:rPr>
          <w:sz w:val="28"/>
          <w:szCs w:val="28"/>
          <w:shd w:val="clear" w:color="auto" w:fill="FFFFFF"/>
        </w:rPr>
        <w:t>.</w:t>
      </w:r>
    </w:p>
    <w:p w14:paraId="68359E41" w14:textId="77777777" w:rsidR="00B66D03" w:rsidRDefault="00B66D03" w:rsidP="00962378">
      <w:pPr>
        <w:ind w:firstLine="567"/>
        <w:jc w:val="both"/>
        <w:rPr>
          <w:rFonts w:eastAsia="Times New Roman"/>
          <w:sz w:val="28"/>
          <w:szCs w:val="28"/>
        </w:rPr>
      </w:pPr>
    </w:p>
    <w:p w14:paraId="3D800950" w14:textId="31536AD1" w:rsidR="009A602A" w:rsidRPr="00D35E0D" w:rsidRDefault="00A13298" w:rsidP="00962378">
      <w:pPr>
        <w:ind w:firstLine="567"/>
        <w:jc w:val="both"/>
        <w:rPr>
          <w:rFonts w:eastAsia="Times New Roman"/>
          <w:sz w:val="28"/>
          <w:szCs w:val="28"/>
        </w:rPr>
      </w:pPr>
      <w:r w:rsidRPr="00D35E0D">
        <w:rPr>
          <w:rFonts w:eastAsia="Times New Roman"/>
          <w:sz w:val="28"/>
          <w:szCs w:val="28"/>
        </w:rPr>
        <w:t>Процедура видачі сертифікатів EUR.1 не стосується громадян.</w:t>
      </w:r>
    </w:p>
    <w:p w14:paraId="4756D6CD" w14:textId="77777777" w:rsidR="00320779" w:rsidRDefault="00320779" w:rsidP="00F906CB">
      <w:pPr>
        <w:ind w:firstLine="567"/>
        <w:jc w:val="both"/>
        <w:rPr>
          <w:rFonts w:eastAsia="Times New Roman"/>
          <w:sz w:val="28"/>
          <w:szCs w:val="28"/>
        </w:rPr>
      </w:pPr>
    </w:p>
    <w:p w14:paraId="78179CF6" w14:textId="77777777" w:rsidR="00441950" w:rsidRPr="00557B85" w:rsidRDefault="001C0D1D" w:rsidP="00F906CB">
      <w:pPr>
        <w:ind w:firstLine="567"/>
        <w:rPr>
          <w:rStyle w:val="font171"/>
          <w:lang w:val="ru-RU"/>
        </w:rPr>
      </w:pPr>
      <w:r w:rsidRPr="00557B85">
        <w:rPr>
          <w:rStyle w:val="font171"/>
        </w:rPr>
        <w:t xml:space="preserve">2.3. </w:t>
      </w:r>
      <w:r w:rsidR="00441950" w:rsidRPr="00557B85">
        <w:rPr>
          <w:rStyle w:val="font171"/>
        </w:rPr>
        <w:t>Оцінка впливу на сферу інтересів суб’єктів господарювання</w:t>
      </w:r>
      <w:r w:rsidRPr="00557B85">
        <w:rPr>
          <w:rStyle w:val="font171"/>
        </w:rPr>
        <w:t>.</w:t>
      </w:r>
    </w:p>
    <w:p w14:paraId="3CED72B8" w14:textId="77777777" w:rsidR="007434D8" w:rsidRDefault="007434D8" w:rsidP="007434D8">
      <w:pPr>
        <w:ind w:firstLine="567"/>
        <w:jc w:val="both"/>
        <w:rPr>
          <w:rFonts w:eastAsia="Times New Roman"/>
          <w:sz w:val="28"/>
          <w:szCs w:val="28"/>
        </w:rPr>
      </w:pPr>
    </w:p>
    <w:p w14:paraId="7C56BF4D" w14:textId="77777777" w:rsidR="007434D8" w:rsidRPr="007434D8" w:rsidRDefault="007434D8" w:rsidP="003367ED">
      <w:pPr>
        <w:ind w:firstLine="567"/>
        <w:jc w:val="both"/>
        <w:rPr>
          <w:rFonts w:eastAsia="Times New Roman"/>
          <w:sz w:val="28"/>
          <w:szCs w:val="28"/>
        </w:rPr>
      </w:pPr>
      <w:r w:rsidRPr="007434D8">
        <w:rPr>
          <w:rFonts w:eastAsia="Times New Roman"/>
          <w:sz w:val="28"/>
          <w:szCs w:val="28"/>
        </w:rPr>
        <w:t>Відповідно до норм статті 455 Митного кодексу</w:t>
      </w:r>
      <w:r w:rsidR="00242366">
        <w:rPr>
          <w:rFonts w:eastAsia="Times New Roman"/>
          <w:sz w:val="28"/>
          <w:szCs w:val="28"/>
        </w:rPr>
        <w:t xml:space="preserve"> України</w:t>
      </w:r>
      <w:r w:rsidRPr="007434D8">
        <w:rPr>
          <w:rFonts w:eastAsia="Times New Roman"/>
          <w:sz w:val="28"/>
          <w:szCs w:val="28"/>
        </w:rPr>
        <w:t xml:space="preserve"> Держмитслужбою ведеться облік осіб, які під час провадження своєї діяльності є учасниками відносин, що регулюються законодавством України з питань митної справи без їх розподілу на суб’єктів великого, середньог</w:t>
      </w:r>
      <w:r w:rsidR="00242366">
        <w:rPr>
          <w:rFonts w:eastAsia="Times New Roman"/>
          <w:sz w:val="28"/>
          <w:szCs w:val="28"/>
        </w:rPr>
        <w:t>о та малого підприємництва.</w:t>
      </w:r>
      <w:r w:rsidRPr="007434D8">
        <w:rPr>
          <w:rFonts w:eastAsia="Times New Roman"/>
          <w:sz w:val="28"/>
          <w:szCs w:val="28"/>
        </w:rPr>
        <w:t>  </w:t>
      </w:r>
    </w:p>
    <w:p w14:paraId="26F5F199" w14:textId="762A6CCB" w:rsidR="00F906CB" w:rsidRPr="00773E23" w:rsidRDefault="001C0D1D" w:rsidP="003367ED">
      <w:pPr>
        <w:ind w:firstLine="567"/>
        <w:jc w:val="both"/>
        <w:rPr>
          <w:rFonts w:eastAsia="Times New Roman"/>
          <w:sz w:val="28"/>
          <w:szCs w:val="28"/>
          <w:lang w:val="ru-RU" w:eastAsia="ru-RU"/>
        </w:rPr>
      </w:pPr>
      <w:r w:rsidRPr="00557B85">
        <w:rPr>
          <w:rStyle w:val="font171"/>
        </w:rPr>
        <w:t>За даними інформаційних систем Держмитслужби</w:t>
      </w:r>
      <w:r w:rsidR="00242366">
        <w:rPr>
          <w:rStyle w:val="font171"/>
        </w:rPr>
        <w:t>,</w:t>
      </w:r>
      <w:r w:rsidRPr="00557B85">
        <w:rPr>
          <w:rStyle w:val="font171"/>
        </w:rPr>
        <w:t xml:space="preserve"> </w:t>
      </w:r>
      <w:r w:rsidR="00D75EF8" w:rsidRPr="00557B85">
        <w:rPr>
          <w:rStyle w:val="font171"/>
        </w:rPr>
        <w:t xml:space="preserve">протягом </w:t>
      </w:r>
      <w:r w:rsidR="00242366">
        <w:rPr>
          <w:rStyle w:val="font171"/>
        </w:rPr>
        <w:t xml:space="preserve">                            </w:t>
      </w:r>
      <w:r w:rsidR="000623EB" w:rsidRPr="00557B85">
        <w:rPr>
          <w:rStyle w:val="font171"/>
        </w:rPr>
        <w:t>2024</w:t>
      </w:r>
      <w:r w:rsidR="00E20DDE" w:rsidRPr="00557B85">
        <w:rPr>
          <w:rStyle w:val="font171"/>
        </w:rPr>
        <w:t>–</w:t>
      </w:r>
      <w:r w:rsidR="000623EB" w:rsidRPr="00557B85">
        <w:rPr>
          <w:rStyle w:val="font171"/>
        </w:rPr>
        <w:t>2025</w:t>
      </w:r>
      <w:r w:rsidR="00D070AA" w:rsidRPr="00557B85">
        <w:rPr>
          <w:rStyle w:val="font171"/>
        </w:rPr>
        <w:t xml:space="preserve"> </w:t>
      </w:r>
      <w:r w:rsidR="00D75EF8" w:rsidRPr="00557B85">
        <w:rPr>
          <w:rStyle w:val="font171"/>
        </w:rPr>
        <w:t>років</w:t>
      </w:r>
      <w:r w:rsidR="000623EB" w:rsidRPr="00557B85">
        <w:rPr>
          <w:rFonts w:eastAsia="Times New Roman"/>
          <w:sz w:val="28"/>
          <w:szCs w:val="28"/>
          <w:lang w:eastAsia="ru-RU"/>
        </w:rPr>
        <w:t xml:space="preserve"> станом на 01.06.2025</w:t>
      </w:r>
      <w:r w:rsidR="00D75EF8" w:rsidRPr="00557B85">
        <w:rPr>
          <w:rFonts w:eastAsia="Times New Roman"/>
          <w:sz w:val="28"/>
          <w:szCs w:val="28"/>
          <w:lang w:eastAsia="ru-RU"/>
        </w:rPr>
        <w:t xml:space="preserve"> </w:t>
      </w:r>
      <w:r w:rsidR="00411838" w:rsidRPr="00557B85">
        <w:rPr>
          <w:rFonts w:eastAsia="Times New Roman"/>
          <w:sz w:val="28"/>
          <w:szCs w:val="28"/>
          <w:lang w:eastAsia="ru-RU"/>
        </w:rPr>
        <w:t>експортні операції</w:t>
      </w:r>
      <w:r w:rsidR="00F906CB" w:rsidRPr="00557B85">
        <w:rPr>
          <w:rFonts w:eastAsia="Times New Roman"/>
          <w:sz w:val="28"/>
          <w:szCs w:val="28"/>
          <w:lang w:eastAsia="ru-RU"/>
        </w:rPr>
        <w:t xml:space="preserve"> </w:t>
      </w:r>
      <w:r w:rsidR="003367ED">
        <w:rPr>
          <w:rFonts w:eastAsia="Times New Roman"/>
          <w:sz w:val="28"/>
          <w:szCs w:val="28"/>
          <w:lang w:eastAsia="ru-RU"/>
        </w:rPr>
        <w:t>здійснено</w:t>
      </w:r>
      <w:r w:rsidR="00F017AB">
        <w:rPr>
          <w:rFonts w:eastAsia="Times New Roman"/>
          <w:sz w:val="28"/>
          <w:szCs w:val="28"/>
          <w:lang w:eastAsia="ru-RU"/>
        </w:rPr>
        <w:t xml:space="preserve">                 </w:t>
      </w:r>
      <w:r w:rsidR="005E5C6B" w:rsidRPr="00557B85">
        <w:rPr>
          <w:rStyle w:val="font171"/>
          <w:lang w:val="ru-RU"/>
        </w:rPr>
        <w:t>6055</w:t>
      </w:r>
      <w:r w:rsidR="005E5665" w:rsidRPr="00557B85">
        <w:rPr>
          <w:rStyle w:val="font171"/>
        </w:rPr>
        <w:t xml:space="preserve"> суб’єктами господарювання</w:t>
      </w:r>
      <w:r w:rsidR="005E5665" w:rsidRPr="00557B85">
        <w:rPr>
          <w:rFonts w:eastAsia="Times New Roman"/>
          <w:sz w:val="28"/>
          <w:szCs w:val="28"/>
          <w:lang w:eastAsia="ru-RU"/>
        </w:rPr>
        <w:t xml:space="preserve"> </w:t>
      </w:r>
      <w:r w:rsidR="00D070AA" w:rsidRPr="00557B85">
        <w:rPr>
          <w:rFonts w:eastAsia="Times New Roman"/>
          <w:sz w:val="28"/>
          <w:szCs w:val="28"/>
          <w:lang w:eastAsia="ru-RU"/>
        </w:rPr>
        <w:t xml:space="preserve">із застосуванням сертифікатів з перевезення товару </w:t>
      </w:r>
      <w:r w:rsidR="00D070AA" w:rsidRPr="00557B85">
        <w:rPr>
          <w:rFonts w:eastAsia="Times New Roman"/>
          <w:sz w:val="28"/>
          <w:szCs w:val="28"/>
          <w:lang w:val="en-US" w:eastAsia="ru-RU"/>
        </w:rPr>
        <w:t>EUR</w:t>
      </w:r>
      <w:r w:rsidR="00D070AA" w:rsidRPr="00557B85">
        <w:rPr>
          <w:rFonts w:eastAsia="Times New Roman"/>
          <w:sz w:val="28"/>
          <w:szCs w:val="28"/>
          <w:lang w:eastAsia="ru-RU"/>
        </w:rPr>
        <w:t>.1</w:t>
      </w:r>
      <w:r w:rsidR="005E5665" w:rsidRPr="00557B85">
        <w:rPr>
          <w:rFonts w:eastAsia="Times New Roman"/>
          <w:sz w:val="28"/>
          <w:szCs w:val="28"/>
          <w:lang w:eastAsia="ru-RU"/>
        </w:rPr>
        <w:t xml:space="preserve"> у кількості</w:t>
      </w:r>
      <w:r w:rsidR="0096499D" w:rsidRPr="00557B85">
        <w:rPr>
          <w:rFonts w:eastAsia="Times New Roman"/>
          <w:sz w:val="28"/>
          <w:szCs w:val="28"/>
          <w:lang w:eastAsia="ru-RU"/>
        </w:rPr>
        <w:t xml:space="preserve"> 296 217</w:t>
      </w:r>
      <w:r w:rsidR="00E20DDE" w:rsidRPr="00557B85">
        <w:rPr>
          <w:rFonts w:eastAsia="Times New Roman"/>
          <w:sz w:val="28"/>
          <w:szCs w:val="28"/>
          <w:lang w:eastAsia="ru-RU"/>
        </w:rPr>
        <w:t xml:space="preserve"> штук</w:t>
      </w:r>
      <w:r w:rsidR="005E5665" w:rsidRPr="00557B85"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1384"/>
        <w:gridCol w:w="1309"/>
        <w:gridCol w:w="259"/>
        <w:gridCol w:w="1493"/>
        <w:gridCol w:w="1508"/>
      </w:tblGrid>
      <w:tr w:rsidR="001C0D1D" w:rsidRPr="00557B85" w14:paraId="7E93DFDE" w14:textId="77777777" w:rsidTr="00A50C88">
        <w:tc>
          <w:tcPr>
            <w:tcW w:w="2268" w:type="dxa"/>
          </w:tcPr>
          <w:p w14:paraId="4442418A" w14:textId="77777777" w:rsidR="001C0D1D" w:rsidRPr="00557B85" w:rsidRDefault="001C0D1D" w:rsidP="005367B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57B85">
              <w:rPr>
                <w:rFonts w:eastAsia="Times New Roman"/>
                <w:b/>
                <w:lang w:eastAsia="ru-RU"/>
              </w:rPr>
              <w:t>Показник</w:t>
            </w:r>
          </w:p>
        </w:tc>
        <w:tc>
          <w:tcPr>
            <w:tcW w:w="1560" w:type="dxa"/>
          </w:tcPr>
          <w:p w14:paraId="3CD9257F" w14:textId="77777777" w:rsidR="001C0D1D" w:rsidRPr="00557B85" w:rsidRDefault="001C0D1D" w:rsidP="005367B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57B85">
              <w:rPr>
                <w:rFonts w:eastAsia="Times New Roman"/>
                <w:b/>
                <w:lang w:eastAsia="ru-RU"/>
              </w:rPr>
              <w:t>Великі</w:t>
            </w:r>
          </w:p>
        </w:tc>
        <w:tc>
          <w:tcPr>
            <w:tcW w:w="1384" w:type="dxa"/>
          </w:tcPr>
          <w:p w14:paraId="71805539" w14:textId="77777777" w:rsidR="001C0D1D" w:rsidRPr="00557B85" w:rsidRDefault="001C0D1D" w:rsidP="005367B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57B85">
              <w:rPr>
                <w:rFonts w:eastAsia="Times New Roman"/>
                <w:b/>
                <w:lang w:eastAsia="ru-RU"/>
              </w:rPr>
              <w:t>Середні</w:t>
            </w:r>
          </w:p>
        </w:tc>
        <w:tc>
          <w:tcPr>
            <w:tcW w:w="1568" w:type="dxa"/>
            <w:gridSpan w:val="2"/>
          </w:tcPr>
          <w:p w14:paraId="63524E9C" w14:textId="77777777" w:rsidR="001C0D1D" w:rsidRPr="00557B85" w:rsidRDefault="001C0D1D" w:rsidP="005367B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57B85">
              <w:rPr>
                <w:rFonts w:eastAsia="Times New Roman"/>
                <w:b/>
                <w:lang w:eastAsia="ru-RU"/>
              </w:rPr>
              <w:t>Малі</w:t>
            </w:r>
          </w:p>
        </w:tc>
        <w:tc>
          <w:tcPr>
            <w:tcW w:w="1493" w:type="dxa"/>
          </w:tcPr>
          <w:p w14:paraId="679EADE1" w14:textId="77777777" w:rsidR="001C0D1D" w:rsidRPr="00557B85" w:rsidRDefault="001C0D1D" w:rsidP="005367B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57B85">
              <w:rPr>
                <w:rFonts w:eastAsia="Times New Roman"/>
                <w:b/>
                <w:lang w:eastAsia="ru-RU"/>
              </w:rPr>
              <w:t>Мікро</w:t>
            </w:r>
          </w:p>
        </w:tc>
        <w:tc>
          <w:tcPr>
            <w:tcW w:w="1508" w:type="dxa"/>
          </w:tcPr>
          <w:p w14:paraId="4D819091" w14:textId="77777777" w:rsidR="001C0D1D" w:rsidRPr="00557B85" w:rsidRDefault="001C0D1D" w:rsidP="005367B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57B85">
              <w:rPr>
                <w:rFonts w:eastAsia="Times New Roman"/>
                <w:b/>
                <w:lang w:eastAsia="ru-RU"/>
              </w:rPr>
              <w:t>Разом</w:t>
            </w:r>
          </w:p>
        </w:tc>
      </w:tr>
      <w:tr w:rsidR="001C0D1D" w:rsidRPr="00557B85" w14:paraId="78ECAAD8" w14:textId="77777777" w:rsidTr="00A50C88">
        <w:tc>
          <w:tcPr>
            <w:tcW w:w="2268" w:type="dxa"/>
            <w:tcBorders>
              <w:bottom w:val="single" w:sz="4" w:space="0" w:color="auto"/>
            </w:tcBorders>
          </w:tcPr>
          <w:p w14:paraId="0A0035A6" w14:textId="77777777" w:rsidR="001C0D1D" w:rsidRPr="00557B85" w:rsidRDefault="001C0D1D" w:rsidP="005367B0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Кількість суб’єктів господарювання, що підпадають під дію регулювання одиниць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516C74B" w14:textId="77777777" w:rsidR="001C0D1D" w:rsidRPr="00557B85" w:rsidRDefault="001C0D1D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15E8659C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0F8ED197" w14:textId="77777777" w:rsidR="00411838" w:rsidRPr="00557B85" w:rsidRDefault="005E5C6B" w:rsidP="005367B0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50B3F01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4B7D0F8F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17CAC714" w14:textId="77777777" w:rsidR="001C0D1D" w:rsidRPr="00557B85" w:rsidRDefault="005E5C6B" w:rsidP="005367B0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1789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14:paraId="594413D8" w14:textId="77777777" w:rsidR="001C0D1D" w:rsidRPr="00557B85" w:rsidRDefault="001C0D1D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23BA2D8C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387212CD" w14:textId="77777777" w:rsidR="00411838" w:rsidRPr="00557B85" w:rsidRDefault="00557B85" w:rsidP="005367B0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2387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0B480C21" w14:textId="77777777" w:rsidR="001C0D1D" w:rsidRPr="00557B85" w:rsidRDefault="001C0D1D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660616AB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12A07F4E" w14:textId="77777777" w:rsidR="00411838" w:rsidRPr="00557B85" w:rsidRDefault="00557B85" w:rsidP="005367B0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1790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2409D5E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73E1E44E" w14:textId="77777777" w:rsidR="00411838" w:rsidRPr="00557B85" w:rsidRDefault="00411838" w:rsidP="005367B0">
            <w:pPr>
              <w:jc w:val="center"/>
              <w:rPr>
                <w:rFonts w:eastAsia="Times New Roman"/>
                <w:lang w:eastAsia="ru-RU"/>
              </w:rPr>
            </w:pPr>
          </w:p>
          <w:p w14:paraId="3C007747" w14:textId="77777777" w:rsidR="001C0D1D" w:rsidRPr="00557B85" w:rsidRDefault="00557B85" w:rsidP="005367B0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6055</w:t>
            </w:r>
          </w:p>
        </w:tc>
      </w:tr>
      <w:tr w:rsidR="001C0D1D" w:rsidRPr="00557B85" w14:paraId="32DD8CA8" w14:textId="77777777" w:rsidTr="00F11C27">
        <w:trPr>
          <w:trHeight w:val="1021"/>
        </w:trPr>
        <w:tc>
          <w:tcPr>
            <w:tcW w:w="2268" w:type="dxa"/>
            <w:tcBorders>
              <w:bottom w:val="single" w:sz="4" w:space="0" w:color="auto"/>
            </w:tcBorders>
          </w:tcPr>
          <w:p w14:paraId="2A630852" w14:textId="77777777" w:rsidR="001C0D1D" w:rsidRPr="003367ED" w:rsidRDefault="005352D4" w:rsidP="005367B0">
            <w:pPr>
              <w:jc w:val="center"/>
              <w:rPr>
                <w:rFonts w:eastAsia="Times New Roman"/>
                <w:lang w:val="ru-RU" w:eastAsia="ru-RU"/>
              </w:rPr>
            </w:pPr>
            <w:r w:rsidRPr="00557B85">
              <w:rPr>
                <w:rFonts w:eastAsia="Times New Roman"/>
                <w:lang w:eastAsia="ru-RU"/>
              </w:rPr>
              <w:t xml:space="preserve">Питома </w:t>
            </w:r>
            <w:r w:rsidR="00F11C27">
              <w:rPr>
                <w:rFonts w:eastAsia="Times New Roman"/>
                <w:lang w:eastAsia="ru-RU"/>
              </w:rPr>
              <w:t xml:space="preserve">вага </w:t>
            </w:r>
            <w:r w:rsidR="001C0D1D" w:rsidRPr="00557B85">
              <w:rPr>
                <w:rFonts w:eastAsia="Times New Roman"/>
                <w:lang w:eastAsia="ru-RU"/>
              </w:rPr>
              <w:t>групи у загальній кількості, відсотків</w:t>
            </w:r>
            <w:r w:rsidR="003367ED" w:rsidRPr="003367ED">
              <w:rPr>
                <w:rFonts w:eastAsia="Times New Roman"/>
                <w:lang w:val="ru-RU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4430257" w14:textId="77777777" w:rsidR="0007041B" w:rsidRPr="00557B85" w:rsidRDefault="0007041B" w:rsidP="00F11C27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1 відсоток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9BD8133" w14:textId="77777777" w:rsidR="0007041B" w:rsidRPr="00557B85" w:rsidRDefault="00E021E1" w:rsidP="00F11C2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  <w:r w:rsidR="00852724" w:rsidRPr="00557B85">
              <w:rPr>
                <w:rFonts w:eastAsia="Times New Roman"/>
                <w:lang w:val="en-US" w:eastAsia="ru-RU"/>
              </w:rPr>
              <w:t xml:space="preserve"> </w:t>
            </w:r>
            <w:r w:rsidR="00852724" w:rsidRPr="00557B85">
              <w:rPr>
                <w:rFonts w:eastAsia="Times New Roman"/>
                <w:lang w:eastAsia="ru-RU"/>
              </w:rPr>
              <w:t>відсотків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14:paraId="461240D7" w14:textId="77777777" w:rsidR="0007041B" w:rsidRPr="00557B85" w:rsidRDefault="003251C2" w:rsidP="00F11C2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E021E1">
              <w:rPr>
                <w:rFonts w:eastAsia="Times New Roman"/>
                <w:lang w:eastAsia="ru-RU"/>
              </w:rPr>
              <w:t>9</w:t>
            </w:r>
            <w:r w:rsidR="00852724" w:rsidRPr="00557B85">
              <w:rPr>
                <w:rFonts w:eastAsia="Times New Roman"/>
                <w:lang w:eastAsia="ru-RU"/>
              </w:rPr>
              <w:t xml:space="preserve"> відсотків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54E649A" w14:textId="77777777" w:rsidR="0007041B" w:rsidRPr="00557B85" w:rsidRDefault="00557B85" w:rsidP="00F11C27">
            <w:pPr>
              <w:jc w:val="center"/>
              <w:rPr>
                <w:rFonts w:eastAsia="Times New Roman"/>
                <w:lang w:eastAsia="ru-RU"/>
              </w:rPr>
            </w:pPr>
            <w:r w:rsidRPr="00557B85">
              <w:rPr>
                <w:rFonts w:eastAsia="Times New Roman"/>
                <w:lang w:eastAsia="ru-RU"/>
              </w:rPr>
              <w:t>30</w:t>
            </w:r>
            <w:r w:rsidR="00932E5D" w:rsidRPr="00557B85">
              <w:rPr>
                <w:rFonts w:eastAsia="Times New Roman"/>
                <w:lang w:eastAsia="ru-RU"/>
              </w:rPr>
              <w:t xml:space="preserve"> відсотків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6B764262" w14:textId="77777777" w:rsidR="0007041B" w:rsidRPr="00557B85" w:rsidRDefault="0007041B" w:rsidP="00F11C27">
            <w:pPr>
              <w:jc w:val="center"/>
              <w:rPr>
                <w:rFonts w:eastAsia="Times New Roman"/>
                <w:lang w:val="en-US" w:eastAsia="ru-RU"/>
              </w:rPr>
            </w:pPr>
            <w:r w:rsidRPr="00557B85">
              <w:rPr>
                <w:rFonts w:eastAsia="Times New Roman"/>
                <w:lang w:val="en-US" w:eastAsia="ru-RU"/>
              </w:rPr>
              <w:t>X</w:t>
            </w:r>
          </w:p>
        </w:tc>
      </w:tr>
      <w:tr w:rsidR="005946A1" w:rsidRPr="00557B85" w14:paraId="778B71AD" w14:textId="77777777" w:rsidTr="00682D71"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4CDE4" w14:textId="1015E783" w:rsidR="00F11C27" w:rsidRPr="00406F3B" w:rsidRDefault="005946A1" w:rsidP="002D60FA">
            <w:pPr>
              <w:ind w:firstLine="60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*</w:t>
            </w:r>
            <w:r w:rsidR="00242366">
              <w:rPr>
                <w:rFonts w:eastAsia="Times New Roman"/>
                <w:lang w:eastAsia="ru-RU"/>
              </w:rPr>
              <w:t>П</w:t>
            </w:r>
            <w:r w:rsidRPr="005946A1">
              <w:rPr>
                <w:rFonts w:eastAsia="Times New Roman"/>
                <w:lang w:eastAsia="ru-RU"/>
              </w:rPr>
              <w:t>оділ осіб, які підпадають під дію регулювання, здійснено з урахуванням вартісних показників обсягів експортних операцій</w:t>
            </w:r>
            <w:r w:rsidR="00242366">
              <w:rPr>
                <w:rFonts w:eastAsia="Times New Roman"/>
                <w:lang w:eastAsia="ru-RU"/>
              </w:rPr>
              <w:t>,</w:t>
            </w:r>
            <w:r w:rsidRPr="005946A1">
              <w:rPr>
                <w:rFonts w:eastAsia="Times New Roman"/>
                <w:lang w:eastAsia="ru-RU"/>
              </w:rPr>
              <w:t xml:space="preserve"> здійснених суб’єктами господарювання із сертифікатами EUR.1.</w:t>
            </w:r>
          </w:p>
        </w:tc>
      </w:tr>
      <w:tr w:rsidR="00441950" w14:paraId="23ABED0C" w14:textId="77777777" w:rsidTr="002D2D54">
        <w:trPr>
          <w:tblHeader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B94EF7C" w14:textId="77777777" w:rsidR="00441950" w:rsidRPr="00557B85" w:rsidRDefault="00441950" w:rsidP="00F906CB">
            <w:pPr>
              <w:jc w:val="center"/>
            </w:pPr>
            <w:r w:rsidRPr="00557B85">
              <w:rPr>
                <w:rStyle w:val="font141"/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vAlign w:val="center"/>
          </w:tcPr>
          <w:p w14:paraId="5BB448C7" w14:textId="77777777" w:rsidR="00441950" w:rsidRPr="00557B85" w:rsidRDefault="00441950" w:rsidP="00F906CB">
            <w:pPr>
              <w:jc w:val="center"/>
            </w:pPr>
            <w:r w:rsidRPr="00557B85">
              <w:rPr>
                <w:rStyle w:val="font141"/>
                <w:b/>
                <w:sz w:val="24"/>
                <w:szCs w:val="24"/>
              </w:rPr>
              <w:t>Вигоди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2E58E73D" w14:textId="77777777" w:rsidR="00441950" w:rsidRPr="00985801" w:rsidRDefault="00441950" w:rsidP="00F906CB">
            <w:pPr>
              <w:jc w:val="center"/>
            </w:pPr>
            <w:r w:rsidRPr="00557B85">
              <w:rPr>
                <w:rStyle w:val="font141"/>
                <w:b/>
                <w:sz w:val="24"/>
                <w:szCs w:val="24"/>
              </w:rPr>
              <w:t>Витрати</w:t>
            </w:r>
          </w:p>
        </w:tc>
      </w:tr>
      <w:tr w:rsidR="00441950" w14:paraId="4630C6F4" w14:textId="77777777" w:rsidTr="001E5A11">
        <w:tc>
          <w:tcPr>
            <w:tcW w:w="2268" w:type="dxa"/>
            <w:vAlign w:val="center"/>
          </w:tcPr>
          <w:p w14:paraId="15B1AFB1" w14:textId="77777777" w:rsidR="00441950" w:rsidRPr="00985801" w:rsidRDefault="00441950" w:rsidP="00F906CB">
            <w:pPr>
              <w:jc w:val="center"/>
              <w:rPr>
                <w:lang w:val="en-US"/>
              </w:rPr>
            </w:pPr>
            <w:r w:rsidRPr="00985801">
              <w:rPr>
                <w:rStyle w:val="font141"/>
                <w:sz w:val="24"/>
                <w:szCs w:val="24"/>
              </w:rPr>
              <w:t xml:space="preserve">Альтернатива </w:t>
            </w:r>
            <w:r w:rsidRPr="00985801">
              <w:rPr>
                <w:rStyle w:val="font141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gridSpan w:val="3"/>
          </w:tcPr>
          <w:p w14:paraId="5CADD3F8" w14:textId="77777777" w:rsidR="00441950" w:rsidRPr="00985801" w:rsidRDefault="00406F3B" w:rsidP="009D22B1">
            <w:pPr>
              <w:jc w:val="both"/>
            </w:pPr>
            <w:r w:rsidRPr="00406F3B">
              <w:rPr>
                <w:rStyle w:val="font141"/>
                <w:sz w:val="24"/>
                <w:szCs w:val="24"/>
              </w:rPr>
              <w:t>Залишаючи діюче регулювання без змін, вигоди відсутні, оскільки чинні положення нормативно-правового акта ґрунтуються на положеннях</w:t>
            </w:r>
            <w:r w:rsidR="009D22B1">
              <w:rPr>
                <w:rStyle w:val="font141"/>
                <w:sz w:val="24"/>
                <w:szCs w:val="24"/>
              </w:rPr>
              <w:t xml:space="preserve"> первинної редакції Конвенції ПЄМ</w:t>
            </w:r>
            <w:r w:rsidRPr="00406F3B">
              <w:rPr>
                <w:rStyle w:val="font141"/>
                <w:sz w:val="24"/>
                <w:szCs w:val="24"/>
              </w:rPr>
              <w:t>, які на сьогодні є неактуальними. Проблема залишається невирішеною</w:t>
            </w:r>
          </w:p>
        </w:tc>
        <w:tc>
          <w:tcPr>
            <w:tcW w:w="3260" w:type="dxa"/>
            <w:gridSpan w:val="3"/>
            <w:vAlign w:val="center"/>
          </w:tcPr>
          <w:p w14:paraId="13A9B38D" w14:textId="77777777" w:rsidR="005A0374" w:rsidRDefault="00EB5657" w:rsidP="001170F1">
            <w:pPr>
              <w:jc w:val="both"/>
              <w:rPr>
                <w:rStyle w:val="font141"/>
                <w:sz w:val="24"/>
                <w:szCs w:val="24"/>
              </w:rPr>
            </w:pPr>
            <w:r w:rsidRPr="003E54FF">
              <w:rPr>
                <w:rStyle w:val="font141"/>
                <w:sz w:val="24"/>
                <w:szCs w:val="24"/>
              </w:rPr>
              <w:t xml:space="preserve">Витрати </w:t>
            </w:r>
            <w:r w:rsidR="005A0374" w:rsidRPr="003E54FF">
              <w:rPr>
                <w:rStyle w:val="font141"/>
                <w:sz w:val="24"/>
                <w:szCs w:val="24"/>
              </w:rPr>
              <w:t>фінансові</w:t>
            </w:r>
            <w:r w:rsidR="005A0374" w:rsidRPr="00D070AA">
              <w:rPr>
                <w:rStyle w:val="font141"/>
                <w:sz w:val="24"/>
                <w:szCs w:val="24"/>
              </w:rPr>
              <w:t xml:space="preserve"> </w:t>
            </w:r>
            <w:r w:rsidR="005A0374" w:rsidRPr="003E54FF">
              <w:rPr>
                <w:rStyle w:val="font141"/>
                <w:sz w:val="24"/>
                <w:szCs w:val="24"/>
              </w:rPr>
              <w:t>на</w:t>
            </w:r>
            <w:r w:rsidR="00644F00" w:rsidRPr="00D070AA">
              <w:rPr>
                <w:rStyle w:val="font141"/>
                <w:sz w:val="24"/>
                <w:szCs w:val="24"/>
              </w:rPr>
              <w:t xml:space="preserve"> </w:t>
            </w:r>
            <w:r w:rsidRPr="003E54FF">
              <w:rPr>
                <w:rStyle w:val="font141"/>
                <w:sz w:val="24"/>
                <w:szCs w:val="24"/>
              </w:rPr>
              <w:t xml:space="preserve">сплату </w:t>
            </w:r>
            <w:r w:rsidR="005D2E47">
              <w:rPr>
                <w:rStyle w:val="font141"/>
                <w:sz w:val="24"/>
                <w:szCs w:val="24"/>
              </w:rPr>
              <w:t>вивізного</w:t>
            </w:r>
            <w:r w:rsidR="00A50C88">
              <w:rPr>
                <w:rStyle w:val="font141"/>
                <w:sz w:val="24"/>
                <w:szCs w:val="24"/>
              </w:rPr>
              <w:t xml:space="preserve"> </w:t>
            </w:r>
            <w:r w:rsidR="00875A50">
              <w:rPr>
                <w:rStyle w:val="font141"/>
                <w:sz w:val="24"/>
                <w:szCs w:val="24"/>
              </w:rPr>
              <w:t xml:space="preserve">мита </w:t>
            </w:r>
            <w:r w:rsidR="005D2E47">
              <w:rPr>
                <w:rStyle w:val="font141"/>
                <w:sz w:val="24"/>
                <w:szCs w:val="24"/>
              </w:rPr>
              <w:t>при експорті товарів до країн</w:t>
            </w:r>
            <w:r w:rsidRPr="003E54FF">
              <w:rPr>
                <w:rStyle w:val="font141"/>
                <w:sz w:val="24"/>
                <w:szCs w:val="24"/>
              </w:rPr>
              <w:t xml:space="preserve"> призначення</w:t>
            </w:r>
            <w:r w:rsidR="00C55DB8" w:rsidRPr="00C55DB8">
              <w:rPr>
                <w:rStyle w:val="font141"/>
                <w:sz w:val="24"/>
                <w:szCs w:val="24"/>
              </w:rPr>
              <w:t xml:space="preserve"> Європейського Союзу</w:t>
            </w:r>
            <w:r w:rsidRPr="003E54FF">
              <w:rPr>
                <w:rStyle w:val="font141"/>
                <w:sz w:val="24"/>
                <w:szCs w:val="24"/>
              </w:rPr>
              <w:t xml:space="preserve"> у зв’язку</w:t>
            </w:r>
            <w:r w:rsidR="00D070AA" w:rsidRPr="00D070AA">
              <w:rPr>
                <w:rStyle w:val="font141"/>
                <w:sz w:val="24"/>
                <w:szCs w:val="24"/>
              </w:rPr>
              <w:t xml:space="preserve"> </w:t>
            </w:r>
            <w:r w:rsidR="00D070AA">
              <w:rPr>
                <w:rStyle w:val="font141"/>
                <w:sz w:val="24"/>
                <w:szCs w:val="24"/>
              </w:rPr>
              <w:t>з відсутністю</w:t>
            </w:r>
            <w:r w:rsidRPr="003E54FF">
              <w:rPr>
                <w:rStyle w:val="font141"/>
                <w:sz w:val="24"/>
                <w:szCs w:val="24"/>
              </w:rPr>
              <w:t xml:space="preserve"> документів, що підтверджують походження товарів з України</w:t>
            </w:r>
            <w:r w:rsidR="00D070AA">
              <w:rPr>
                <w:rStyle w:val="font141"/>
                <w:sz w:val="24"/>
                <w:szCs w:val="24"/>
              </w:rPr>
              <w:t xml:space="preserve"> на умовах </w:t>
            </w:r>
            <w:r w:rsidR="00A50C88">
              <w:rPr>
                <w:rStyle w:val="font141"/>
                <w:sz w:val="24"/>
                <w:szCs w:val="24"/>
              </w:rPr>
              <w:t>оновленої Конвенції ПЄМ</w:t>
            </w:r>
            <w:r w:rsidR="00644F00" w:rsidRPr="00D070AA">
              <w:rPr>
                <w:rStyle w:val="font141"/>
                <w:sz w:val="24"/>
                <w:szCs w:val="24"/>
              </w:rPr>
              <w:t>.</w:t>
            </w:r>
          </w:p>
          <w:p w14:paraId="7059F59F" w14:textId="77777777" w:rsidR="00441950" w:rsidRPr="00A50C88" w:rsidRDefault="005D2E47" w:rsidP="006E76A6">
            <w:pPr>
              <w:jc w:val="both"/>
            </w:pPr>
            <w:r>
              <w:rPr>
                <w:rStyle w:val="font141"/>
                <w:sz w:val="24"/>
                <w:szCs w:val="24"/>
              </w:rPr>
              <w:t>Станом на 01.11</w:t>
            </w:r>
            <w:r w:rsidR="00A50C88">
              <w:rPr>
                <w:rStyle w:val="font141"/>
                <w:sz w:val="24"/>
                <w:szCs w:val="24"/>
              </w:rPr>
              <w:t>.2025 експортерами України спл</w:t>
            </w:r>
            <w:r>
              <w:rPr>
                <w:rStyle w:val="font141"/>
                <w:sz w:val="24"/>
                <w:szCs w:val="24"/>
              </w:rPr>
              <w:t>ачено вивізне</w:t>
            </w:r>
            <w:r w:rsidR="00F3222A">
              <w:rPr>
                <w:rStyle w:val="font141"/>
                <w:sz w:val="24"/>
                <w:szCs w:val="24"/>
              </w:rPr>
              <w:t xml:space="preserve"> мито</w:t>
            </w:r>
            <w:r w:rsidR="00A50C88">
              <w:rPr>
                <w:rStyle w:val="font141"/>
                <w:sz w:val="24"/>
                <w:szCs w:val="24"/>
              </w:rPr>
              <w:t xml:space="preserve"> </w:t>
            </w:r>
            <w:r w:rsidR="001E5A11">
              <w:rPr>
                <w:rStyle w:val="font141"/>
                <w:sz w:val="24"/>
                <w:szCs w:val="24"/>
              </w:rPr>
              <w:t>на загальну суму 72</w:t>
            </w:r>
            <w:r w:rsidR="00242366">
              <w:rPr>
                <w:rStyle w:val="font141"/>
                <w:sz w:val="24"/>
                <w:szCs w:val="24"/>
              </w:rPr>
              <w:t xml:space="preserve"> млн</w:t>
            </w:r>
            <w:r w:rsidR="009C147F">
              <w:rPr>
                <w:rStyle w:val="font141"/>
                <w:sz w:val="24"/>
                <w:szCs w:val="24"/>
              </w:rPr>
              <w:t xml:space="preserve"> </w:t>
            </w:r>
            <w:r w:rsidR="00242366">
              <w:rPr>
                <w:rStyle w:val="font141"/>
                <w:sz w:val="24"/>
                <w:szCs w:val="24"/>
              </w:rPr>
              <w:t>грн</w:t>
            </w:r>
            <w:r w:rsidR="007E3A4C">
              <w:rPr>
                <w:rStyle w:val="font141"/>
                <w:sz w:val="24"/>
                <w:szCs w:val="24"/>
              </w:rPr>
              <w:t xml:space="preserve">, </w:t>
            </w:r>
            <w:r w:rsidR="009C147F">
              <w:rPr>
                <w:rStyle w:val="font141"/>
                <w:sz w:val="24"/>
                <w:szCs w:val="24"/>
              </w:rPr>
              <w:lastRenderedPageBreak/>
              <w:t>щорічні</w:t>
            </w:r>
            <w:r w:rsidR="00A50C88">
              <w:rPr>
                <w:rStyle w:val="font141"/>
                <w:sz w:val="24"/>
                <w:szCs w:val="24"/>
              </w:rPr>
              <w:t xml:space="preserve"> </w:t>
            </w:r>
            <w:r w:rsidR="001E5A11">
              <w:rPr>
                <w:rStyle w:val="font141"/>
                <w:sz w:val="24"/>
                <w:szCs w:val="24"/>
              </w:rPr>
              <w:t>витрати можуть становити 84</w:t>
            </w:r>
            <w:r w:rsidR="00242366">
              <w:rPr>
                <w:rStyle w:val="font141"/>
                <w:sz w:val="24"/>
                <w:szCs w:val="24"/>
              </w:rPr>
              <w:t xml:space="preserve"> млн</w:t>
            </w:r>
            <w:r w:rsidR="005946A1">
              <w:rPr>
                <w:rStyle w:val="font141"/>
                <w:sz w:val="24"/>
                <w:szCs w:val="24"/>
              </w:rPr>
              <w:t xml:space="preserve"> грн*</w:t>
            </w:r>
          </w:p>
        </w:tc>
      </w:tr>
      <w:tr w:rsidR="00441950" w:rsidRPr="00B243E4" w14:paraId="63B96DEB" w14:textId="77777777" w:rsidTr="00F017AB">
        <w:tc>
          <w:tcPr>
            <w:tcW w:w="2268" w:type="dxa"/>
            <w:vAlign w:val="center"/>
          </w:tcPr>
          <w:p w14:paraId="584D5196" w14:textId="77777777" w:rsidR="00441950" w:rsidRPr="00B243E4" w:rsidRDefault="00441950" w:rsidP="00F906CB">
            <w:pPr>
              <w:jc w:val="center"/>
            </w:pPr>
            <w:r w:rsidRPr="004347A3">
              <w:lastRenderedPageBreak/>
              <w:t>Альтернатива 2</w:t>
            </w:r>
          </w:p>
        </w:tc>
        <w:tc>
          <w:tcPr>
            <w:tcW w:w="4253" w:type="dxa"/>
            <w:gridSpan w:val="3"/>
          </w:tcPr>
          <w:p w14:paraId="293FC441" w14:textId="3A894EFB" w:rsidR="009D22B1" w:rsidRPr="004347A3" w:rsidRDefault="00E20DDE" w:rsidP="00F017AB">
            <w:pPr>
              <w:jc w:val="both"/>
            </w:pPr>
            <w:r w:rsidRPr="00B243E4">
              <w:t>Реалізація норм проє</w:t>
            </w:r>
            <w:r w:rsidR="00242366" w:rsidRPr="00B243E4">
              <w:t>кту наказу сприятиме</w:t>
            </w:r>
            <w:r w:rsidR="009D22B1" w:rsidRPr="00B243E4">
              <w:t xml:space="preserve"> імп</w:t>
            </w:r>
            <w:r w:rsidR="00F017AB">
              <w:t>лементації</w:t>
            </w:r>
            <w:r w:rsidR="009D22B1" w:rsidRPr="00B243E4">
              <w:t xml:space="preserve"> положень нової редакції Конвенції ПЄМ та забезпечить</w:t>
            </w:r>
            <w:r w:rsidR="009D22B1" w:rsidRPr="004347A3">
              <w:t>:</w:t>
            </w:r>
          </w:p>
          <w:p w14:paraId="0E58C683" w14:textId="3199421E" w:rsidR="00EA631B" w:rsidRPr="004347A3" w:rsidRDefault="00875A50" w:rsidP="00F017AB">
            <w:pPr>
              <w:jc w:val="both"/>
            </w:pPr>
            <w:r w:rsidRPr="004347A3">
              <w:t xml:space="preserve">отримання суб’єктами господарювання </w:t>
            </w:r>
            <w:r w:rsidR="00D070AA" w:rsidRPr="004347A3">
              <w:t xml:space="preserve">сертифікатів EUR.1 </w:t>
            </w:r>
            <w:r w:rsidRPr="004347A3">
              <w:t xml:space="preserve">та </w:t>
            </w:r>
            <w:r w:rsidR="00D070AA" w:rsidRPr="004347A3">
              <w:t xml:space="preserve">статусу уповноваженого (схваленого) експортера на умовах </w:t>
            </w:r>
            <w:r w:rsidR="00EA631B" w:rsidRPr="004347A3">
              <w:t>оновленої Конвенції ПЄМ</w:t>
            </w:r>
            <w:r w:rsidR="00242366" w:rsidRPr="004347A3">
              <w:t>, у</w:t>
            </w:r>
            <w:r w:rsidR="009D22B1" w:rsidRPr="004347A3">
              <w:t xml:space="preserve"> тому числі </w:t>
            </w:r>
            <w:r w:rsidR="00EA631B" w:rsidRPr="004347A3">
              <w:t xml:space="preserve">після експорту (реекспорту) товарів видачу сертифікатів EUR.1 </w:t>
            </w:r>
            <w:r w:rsidR="00242366" w:rsidRPr="004347A3">
              <w:t>у разі</w:t>
            </w:r>
            <w:r w:rsidR="00EA631B" w:rsidRPr="004347A3">
              <w:t xml:space="preserve"> відсутності інформації про кінцевий пункт призначення товарів, визначений під час їх транспортування або зберігання та після м</w:t>
            </w:r>
            <w:r w:rsidR="00773E23" w:rsidRPr="004347A3">
              <w:t>ожливого поділу партії товарів у</w:t>
            </w:r>
            <w:r w:rsidR="00EA631B" w:rsidRPr="004347A3">
              <w:t xml:space="preserve"> державах транзиту товару</w:t>
            </w:r>
            <w:r w:rsidR="009D22B1" w:rsidRPr="004347A3">
              <w:t>,</w:t>
            </w:r>
          </w:p>
          <w:p w14:paraId="35B28853" w14:textId="347ECE32" w:rsidR="00441950" w:rsidRPr="004347A3" w:rsidRDefault="00EA631B" w:rsidP="00F017AB">
            <w:pPr>
              <w:jc w:val="both"/>
            </w:pPr>
            <w:r w:rsidRPr="00B243E4">
              <w:t>залучення до виробництва в Україну</w:t>
            </w:r>
            <w:r w:rsidRPr="004347A3">
              <w:t xml:space="preserve"> матеріалів, які пройшли обробку чи переробку в державах-учасницях Конвенції без отримання преференційного статусу походження</w:t>
            </w:r>
            <w:r w:rsidR="0010624F" w:rsidRPr="004347A3">
              <w:t>;</w:t>
            </w:r>
          </w:p>
          <w:p w14:paraId="7EC43B58" w14:textId="47B6A2CF" w:rsidR="007A0A75" w:rsidRPr="00B243E4" w:rsidRDefault="00984297" w:rsidP="00F017AB">
            <w:pPr>
              <w:jc w:val="both"/>
            </w:pPr>
            <w:r w:rsidRPr="004347A3">
              <w:t>економію фінансових витрат на зберігання документів в електронному вигляді, поданих митниці для видачі сертифіката EUR.1</w:t>
            </w:r>
          </w:p>
        </w:tc>
        <w:tc>
          <w:tcPr>
            <w:tcW w:w="3260" w:type="dxa"/>
            <w:gridSpan w:val="3"/>
          </w:tcPr>
          <w:p w14:paraId="09E90E5E" w14:textId="77777777" w:rsidR="004419DE" w:rsidRPr="00B243E4" w:rsidRDefault="004419DE" w:rsidP="004419DE">
            <w:pPr>
              <w:jc w:val="both"/>
            </w:pPr>
            <w:r w:rsidRPr="00B243E4">
              <w:t>Суб’єкти господарювання понесуть витрати, пов’язані з ознайомленням з положеннями регуляторного акта – витрати становитимуть 1 робочу годину (48 грн).</w:t>
            </w:r>
          </w:p>
          <w:p w14:paraId="23205B8B" w14:textId="6DB71FDE" w:rsidR="00B15C99" w:rsidRPr="004347A3" w:rsidRDefault="007D49FB" w:rsidP="00B15C99">
            <w:pPr>
              <w:jc w:val="both"/>
            </w:pPr>
            <w:r w:rsidRPr="00B243E4">
              <w:t>Витрати</w:t>
            </w:r>
            <w:r w:rsidR="00D267BC" w:rsidRPr="00B243E4">
              <w:t xml:space="preserve"> становитимуть</w:t>
            </w:r>
            <w:r w:rsidR="005D4B71" w:rsidRPr="00B243E4">
              <w:t xml:space="preserve"> орієнтовно</w:t>
            </w:r>
            <w:r w:rsidR="006D4076" w:rsidRPr="00B243E4">
              <w:t xml:space="preserve"> </w:t>
            </w:r>
            <w:r w:rsidR="00FA211B">
              <w:t>191,73</w:t>
            </w:r>
            <w:r w:rsidR="00D35234" w:rsidRPr="00B243E4">
              <w:t xml:space="preserve"> </w:t>
            </w:r>
            <w:r w:rsidR="00E70524">
              <w:t>грн</w:t>
            </w:r>
            <w:r w:rsidRPr="00B243E4">
              <w:t xml:space="preserve"> на </w:t>
            </w:r>
            <w:r w:rsidR="00D35234" w:rsidRPr="00B243E4">
              <w:t>витратні матеріали (папір офсетний</w:t>
            </w:r>
            <w:r w:rsidR="00320779" w:rsidRPr="00B243E4">
              <w:t>, тонер для картриджу принтера</w:t>
            </w:r>
            <w:r w:rsidR="00D35234" w:rsidRPr="00B243E4">
              <w:t>) для подання експортером додаткових документів</w:t>
            </w:r>
            <w:r w:rsidR="00E70524">
              <w:t xml:space="preserve"> (обсяг документів становитиме</w:t>
            </w:r>
            <w:r w:rsidR="004419DE" w:rsidRPr="00B243E4">
              <w:t xml:space="preserve"> 20</w:t>
            </w:r>
            <w:r w:rsidR="00D35234" w:rsidRPr="00B243E4">
              <w:t xml:space="preserve"> аркушів)</w:t>
            </w:r>
            <w:r w:rsidR="008F6624" w:rsidRPr="00B243E4">
              <w:t xml:space="preserve"> </w:t>
            </w:r>
            <w:r w:rsidR="00D35234" w:rsidRPr="00B243E4">
              <w:t xml:space="preserve">митниці </w:t>
            </w:r>
            <w:r w:rsidR="00B15C99" w:rsidRPr="00B243E4">
              <w:t xml:space="preserve">під час експорту або ретроспективно до митниці для отримання сертифіката </w:t>
            </w:r>
            <w:r w:rsidR="00B15C99" w:rsidRPr="004347A3">
              <w:t xml:space="preserve">EUR.1, </w:t>
            </w:r>
            <w:r w:rsidR="00B15C99" w:rsidRPr="00B243E4">
              <w:t>зокрема</w:t>
            </w:r>
            <w:r w:rsidR="00B15C99" w:rsidRPr="004347A3">
              <w:t>:</w:t>
            </w:r>
          </w:p>
          <w:p w14:paraId="0F610A15" w14:textId="7D75E351" w:rsidR="00B15C99" w:rsidRPr="00B243E4" w:rsidRDefault="00B15C99" w:rsidP="00B15C99">
            <w:pPr>
              <w:jc w:val="both"/>
            </w:pPr>
            <w:r w:rsidRPr="00B243E4">
              <w:t>декларації (довгострокова)</w:t>
            </w:r>
            <w:r w:rsidR="0010624F" w:rsidRPr="00B243E4">
              <w:t xml:space="preserve"> постачальника на матеріали </w:t>
            </w:r>
          </w:p>
          <w:p w14:paraId="7916FB68" w14:textId="79B1C1B3" w:rsidR="0010624F" w:rsidRPr="00B243E4" w:rsidRDefault="0010624F" w:rsidP="00B15C99">
            <w:pPr>
              <w:jc w:val="both"/>
            </w:pPr>
            <w:r w:rsidRPr="00B243E4">
              <w:t>на матеріали, які пройшли обробку чи</w:t>
            </w:r>
            <w:r w:rsidR="00B15C99" w:rsidRPr="00B243E4">
              <w:t xml:space="preserve"> </w:t>
            </w:r>
            <w:r w:rsidRPr="00B243E4">
              <w:t>переробку без</w:t>
            </w:r>
          </w:p>
          <w:p w14:paraId="3249A148" w14:textId="13C62369" w:rsidR="0010624F" w:rsidRPr="00B243E4" w:rsidRDefault="0010624F" w:rsidP="00B15C99">
            <w:pPr>
              <w:jc w:val="both"/>
            </w:pPr>
            <w:r w:rsidRPr="00B243E4">
              <w:t>отримання преференційного статусу походження для цілей</w:t>
            </w:r>
            <w:r w:rsidR="00B15C99" w:rsidRPr="00B243E4">
              <w:t xml:space="preserve"> </w:t>
            </w:r>
            <w:r w:rsidRPr="00B243E4">
              <w:t xml:space="preserve">застосування кумуляції </w:t>
            </w:r>
          </w:p>
          <w:p w14:paraId="5EFE0F15" w14:textId="299FFC75" w:rsidR="0010624F" w:rsidRPr="00B243E4" w:rsidRDefault="0010624F" w:rsidP="00B15C99">
            <w:pPr>
              <w:jc w:val="both"/>
            </w:pPr>
            <w:r w:rsidRPr="00B243E4">
              <w:t>рішення щодо зобов’язуючої інформації з питань визначення</w:t>
            </w:r>
            <w:r w:rsidR="00B15C99" w:rsidRPr="00B243E4">
              <w:t xml:space="preserve"> країни походження товарів </w:t>
            </w:r>
            <w:r w:rsidRPr="00B243E4">
              <w:t>(за наявності);</w:t>
            </w:r>
          </w:p>
          <w:p w14:paraId="67466472" w14:textId="34FFF953" w:rsidR="0010624F" w:rsidRPr="00B243E4" w:rsidRDefault="0010624F" w:rsidP="00B15C99">
            <w:pPr>
              <w:jc w:val="both"/>
            </w:pPr>
            <w:r w:rsidRPr="00B243E4">
              <w:t>рішення про відмову у видачі сертифіката EUR.1 (за</w:t>
            </w:r>
            <w:r w:rsidR="00B15C99" w:rsidRPr="00B243E4">
              <w:t xml:space="preserve"> </w:t>
            </w:r>
            <w:r w:rsidRPr="00B243E4">
              <w:t>наявності);</w:t>
            </w:r>
          </w:p>
          <w:p w14:paraId="12884D12" w14:textId="7F0C1C14" w:rsidR="00B15C99" w:rsidRPr="00B243E4" w:rsidRDefault="00B15C99" w:rsidP="00B15C99">
            <w:pPr>
              <w:jc w:val="both"/>
            </w:pPr>
            <w:r w:rsidRPr="00B243E4">
              <w:t>копії</w:t>
            </w:r>
            <w:r w:rsidR="0010624F" w:rsidRPr="00B243E4">
              <w:t xml:space="preserve"> митної декларації про випуск у вільний обіг товару</w:t>
            </w:r>
            <w:r w:rsidRPr="00B243E4">
              <w:t xml:space="preserve"> </w:t>
            </w:r>
          </w:p>
          <w:p w14:paraId="5CFF8796" w14:textId="7F33A5B6" w:rsidR="00B15C99" w:rsidRPr="00B243E4" w:rsidRDefault="0010624F" w:rsidP="00B15C99">
            <w:pPr>
              <w:jc w:val="both"/>
            </w:pPr>
            <w:r w:rsidRPr="00B243E4">
              <w:t>на товари, які оподатковуються вивізним митом</w:t>
            </w:r>
            <w:r w:rsidR="004419DE" w:rsidRPr="00B243E4">
              <w:t>.</w:t>
            </w:r>
          </w:p>
          <w:p w14:paraId="4560F279" w14:textId="07885ADD" w:rsidR="00704228" w:rsidRPr="00B243E4" w:rsidRDefault="00704228" w:rsidP="00B15C99">
            <w:pPr>
              <w:jc w:val="both"/>
            </w:pPr>
            <w:r w:rsidRPr="004347A3">
              <w:t>Витрати часу, пов’язані з підготовкою додаткових документів що подаватимуться експортером під час експорту або ретроспективно до митниц</w:t>
            </w:r>
            <w:r w:rsidR="00FA211B" w:rsidRPr="004347A3">
              <w:t>і для отримання сертифікатів</w:t>
            </w:r>
            <w:r w:rsidRPr="004347A3">
              <w:t xml:space="preserve"> EUR.1</w:t>
            </w:r>
            <w:r w:rsidR="00FA211B" w:rsidRPr="004347A3">
              <w:t xml:space="preserve"> становитимуть 10 год </w:t>
            </w:r>
            <w:r w:rsidR="00FA211B" w:rsidRPr="004347A3">
              <w:lastRenderedPageBreak/>
              <w:t>– 480 грн</w:t>
            </w:r>
            <w:r w:rsidR="00FA211B">
              <w:t xml:space="preserve"> (щорічно</w:t>
            </w:r>
            <w:r w:rsidR="00FA211B" w:rsidRPr="00B243E4">
              <w:t xml:space="preserve"> </w:t>
            </w:r>
            <w:r w:rsidR="00FA211B">
              <w:t>суб’єкти</w:t>
            </w:r>
            <w:r w:rsidR="00FA211B" w:rsidRPr="00B243E4">
              <w:t xml:space="preserve"> господарювання</w:t>
            </w:r>
            <w:r w:rsidR="00FA211B">
              <w:t xml:space="preserve"> пр</w:t>
            </w:r>
            <w:r w:rsidR="00E70524">
              <w:t>иблизно отримують 33 сертифікати</w:t>
            </w:r>
            <w:r w:rsidR="00FA211B">
              <w:t>).</w:t>
            </w:r>
          </w:p>
          <w:p w14:paraId="43CB278F" w14:textId="4F3A7953" w:rsidR="001179A5" w:rsidRPr="00B243E4" w:rsidRDefault="006D4076" w:rsidP="00D35E0D">
            <w:pPr>
              <w:jc w:val="both"/>
            </w:pPr>
            <w:r w:rsidRPr="00B243E4">
              <w:t>З</w:t>
            </w:r>
            <w:r w:rsidR="001179A5" w:rsidRPr="00B243E4">
              <w:t>а</w:t>
            </w:r>
            <w:r w:rsidR="00FA211B">
              <w:t>гальні витрати суб’єктів</w:t>
            </w:r>
            <w:r w:rsidRPr="00B243E4">
              <w:t xml:space="preserve"> господарювання</w:t>
            </w:r>
            <w:r w:rsidR="00823415">
              <w:t xml:space="preserve"> (6055 одиниць)</w:t>
            </w:r>
            <w:r w:rsidRPr="00B243E4">
              <w:t xml:space="preserve"> </w:t>
            </w:r>
            <w:r w:rsidR="00FA211B" w:rsidRPr="00B243E4">
              <w:t xml:space="preserve">на </w:t>
            </w:r>
            <w:r w:rsidR="00FA211B">
              <w:t>отримання сертифікатів</w:t>
            </w:r>
            <w:r w:rsidR="00FA211B" w:rsidRPr="00B243E4">
              <w:t xml:space="preserve"> EUR.1</w:t>
            </w:r>
            <w:r w:rsidR="00FA211B">
              <w:t xml:space="preserve"> за</w:t>
            </w:r>
            <w:r w:rsidRPr="00B243E4">
              <w:t xml:space="preserve"> </w:t>
            </w:r>
            <w:r w:rsidR="00D35E0D">
              <w:t>перший</w:t>
            </w:r>
            <w:r w:rsidRPr="00B243E4">
              <w:t xml:space="preserve"> рік становитимуть </w:t>
            </w:r>
            <w:r w:rsidR="004347A3">
              <w:t>4 357 965,15</w:t>
            </w:r>
            <w:r w:rsidR="00737394" w:rsidRPr="004347A3">
              <w:t xml:space="preserve"> </w:t>
            </w:r>
            <w:r w:rsidR="007C34EF" w:rsidRPr="004347A3">
              <w:t>грн,</w:t>
            </w:r>
            <w:r w:rsidR="00B243E4" w:rsidRPr="004347A3">
              <w:t xml:space="preserve"> </w:t>
            </w:r>
            <w:r w:rsidRPr="004347A3">
              <w:t xml:space="preserve">а за п’ять років </w:t>
            </w:r>
            <w:r w:rsidR="004347A3">
              <w:t>20 627 265,75</w:t>
            </w:r>
            <w:r w:rsidR="00E70524">
              <w:t xml:space="preserve"> грн</w:t>
            </w:r>
            <w:r w:rsidR="001179A5" w:rsidRPr="00B243E4">
              <w:t xml:space="preserve"> </w:t>
            </w:r>
          </w:p>
        </w:tc>
      </w:tr>
    </w:tbl>
    <w:p w14:paraId="5BBAA976" w14:textId="18BE846D" w:rsidR="005946A1" w:rsidRDefault="00242366" w:rsidP="00242366">
      <w:pPr>
        <w:ind w:firstLine="567"/>
        <w:jc w:val="both"/>
        <w:rPr>
          <w:rFonts w:eastAsia="Times New Roman"/>
          <w:lang w:eastAsia="ru-RU"/>
        </w:rPr>
      </w:pPr>
      <w:r w:rsidRPr="004347A3">
        <w:lastRenderedPageBreak/>
        <w:t>*Д</w:t>
      </w:r>
      <w:r w:rsidR="005946A1" w:rsidRPr="004347A3">
        <w:t xml:space="preserve">ані </w:t>
      </w:r>
      <w:r w:rsidR="00F3222A" w:rsidRPr="004347A3">
        <w:t>про</w:t>
      </w:r>
      <w:r w:rsidR="005946A1" w:rsidRPr="004347A3">
        <w:t xml:space="preserve"> сум</w:t>
      </w:r>
      <w:r w:rsidR="00F3222A" w:rsidRPr="004347A3">
        <w:t>у</w:t>
      </w:r>
      <w:r w:rsidR="006E76A6" w:rsidRPr="004347A3">
        <w:t xml:space="preserve"> сплаченого вивізного мита</w:t>
      </w:r>
      <w:r w:rsidR="005946A1" w:rsidRPr="004347A3">
        <w:t xml:space="preserve"> взято із</w:t>
      </w:r>
      <w:r w:rsidR="00F3222A" w:rsidRPr="004347A3">
        <w:t xml:space="preserve"> </w:t>
      </w:r>
      <w:r w:rsidR="006E76A6" w:rsidRPr="004347A3">
        <w:t>інф</w:t>
      </w:r>
      <w:r w:rsidR="003251C2" w:rsidRPr="004347A3">
        <w:t>ормаційних систем</w:t>
      </w:r>
      <w:r w:rsidR="003251C2">
        <w:rPr>
          <w:rFonts w:eastAsia="Times New Roman"/>
          <w:lang w:eastAsia="ru-RU"/>
        </w:rPr>
        <w:t xml:space="preserve"> Держмитслужби</w:t>
      </w:r>
    </w:p>
    <w:p w14:paraId="3483704E" w14:textId="77777777" w:rsidR="00915164" w:rsidRDefault="00915164" w:rsidP="00242366">
      <w:pPr>
        <w:ind w:firstLine="567"/>
        <w:jc w:val="both"/>
        <w:rPr>
          <w:rFonts w:eastAsia="Times New Roman"/>
          <w:lang w:eastAsia="ru-RU"/>
        </w:rPr>
      </w:pPr>
    </w:p>
    <w:p w14:paraId="6B5CCD87" w14:textId="30D9453F" w:rsidR="00915164" w:rsidRPr="00D35E0D" w:rsidRDefault="005829CF" w:rsidP="0024236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35E0D">
        <w:rPr>
          <w:rFonts w:eastAsia="Times New Roman"/>
          <w:sz w:val="28"/>
          <w:szCs w:val="28"/>
          <w:lang w:eastAsia="ru-RU"/>
        </w:rPr>
        <w:t>Витрати</w:t>
      </w:r>
      <w:r w:rsidRPr="00D35E0D">
        <w:rPr>
          <w:sz w:val="28"/>
          <w:szCs w:val="28"/>
          <w:shd w:val="clear" w:color="auto" w:fill="FFFFFF"/>
        </w:rPr>
        <w:t xml:space="preserve"> суб’єктів господарювання великого і середнього підприємництва</w:t>
      </w:r>
      <w:r w:rsidRPr="00D35E0D">
        <w:rPr>
          <w:rFonts w:eastAsia="Times New Roman"/>
          <w:sz w:val="28"/>
          <w:szCs w:val="28"/>
          <w:lang w:eastAsia="ru-RU"/>
        </w:rPr>
        <w:t xml:space="preserve">, які будуть виникати внаслідок дії регуляторного акта, розраховані у додатку 1 до АРВ.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075"/>
      </w:tblGrid>
      <w:tr w:rsidR="006451DC" w:rsidRPr="006451DC" w14:paraId="02B9F803" w14:textId="77777777" w:rsidTr="00723DED">
        <w:tc>
          <w:tcPr>
            <w:tcW w:w="4814" w:type="dxa"/>
          </w:tcPr>
          <w:p w14:paraId="7D0AD27D" w14:textId="77777777" w:rsidR="006451DC" w:rsidRPr="006451DC" w:rsidRDefault="006451DC" w:rsidP="006451DC">
            <w:pPr>
              <w:ind w:firstLine="567"/>
              <w:jc w:val="center"/>
              <w:rPr>
                <w:bCs/>
              </w:rPr>
            </w:pPr>
            <w:r w:rsidRPr="006451DC">
              <w:rPr>
                <w:bCs/>
              </w:rPr>
              <w:t>Сумарні витрати за альтернативами</w:t>
            </w:r>
          </w:p>
        </w:tc>
        <w:tc>
          <w:tcPr>
            <w:tcW w:w="5075" w:type="dxa"/>
          </w:tcPr>
          <w:p w14:paraId="2339FD5F" w14:textId="77777777" w:rsidR="006451DC" w:rsidRPr="006451DC" w:rsidRDefault="006451DC" w:rsidP="006451DC">
            <w:pPr>
              <w:ind w:firstLine="567"/>
              <w:jc w:val="center"/>
              <w:rPr>
                <w:bCs/>
              </w:rPr>
            </w:pPr>
            <w:r w:rsidRPr="006451DC">
              <w:rPr>
                <w:bCs/>
              </w:rPr>
              <w:t>Сума витрат</w:t>
            </w:r>
          </w:p>
        </w:tc>
      </w:tr>
      <w:tr w:rsidR="006451DC" w:rsidRPr="006451DC" w14:paraId="320B0350" w14:textId="77777777" w:rsidTr="00723DED">
        <w:tc>
          <w:tcPr>
            <w:tcW w:w="4814" w:type="dxa"/>
          </w:tcPr>
          <w:p w14:paraId="336C3E0B" w14:textId="77777777" w:rsidR="006451DC" w:rsidRPr="001170F1" w:rsidRDefault="006451DC" w:rsidP="001170F1">
            <w:pPr>
              <w:jc w:val="both"/>
              <w:rPr>
                <w:bCs/>
              </w:rPr>
            </w:pPr>
            <w:r w:rsidRPr="006451DC">
              <w:rPr>
                <w:bCs/>
              </w:rPr>
              <w:t>Альтернатива 1. Сумарні витрати для суб’єктів господарювання</w:t>
            </w:r>
            <w:r w:rsidR="00EB48B3" w:rsidRPr="00EB48B3">
              <w:rPr>
                <w:bCs/>
              </w:rPr>
              <w:t xml:space="preserve"> </w:t>
            </w:r>
            <w:r w:rsidR="00EB48B3">
              <w:rPr>
                <w:bCs/>
              </w:rPr>
              <w:t>великого і</w:t>
            </w:r>
            <w:r w:rsidRPr="006451DC">
              <w:rPr>
                <w:bCs/>
              </w:rPr>
              <w:t xml:space="preserve"> середнього підприємництва згідно з додатком 2 до Методики проведення аналізу впливу регуляторного акта (рядок 11 таблиці «Витрати на одного суб’єкта господарювання великого і середнього підприємництва, які виникають внаслідок дії регуляторного акта»)</w:t>
            </w:r>
          </w:p>
        </w:tc>
        <w:tc>
          <w:tcPr>
            <w:tcW w:w="5075" w:type="dxa"/>
          </w:tcPr>
          <w:p w14:paraId="5A94F341" w14:textId="6CB5F020" w:rsidR="001170F1" w:rsidRDefault="008417B8" w:rsidP="001170F1">
            <w:pPr>
              <w:jc w:val="both"/>
              <w:rPr>
                <w:rStyle w:val="font141"/>
                <w:sz w:val="24"/>
                <w:szCs w:val="24"/>
              </w:rPr>
            </w:pPr>
            <w:r>
              <w:rPr>
                <w:bCs/>
              </w:rPr>
              <w:t>26 040 348</w:t>
            </w:r>
            <w:r w:rsidR="001E5A11" w:rsidRPr="001E5A11">
              <w:rPr>
                <w:bCs/>
              </w:rPr>
              <w:t xml:space="preserve"> </w:t>
            </w:r>
            <w:r w:rsidR="001170F1">
              <w:rPr>
                <w:bCs/>
              </w:rPr>
              <w:t xml:space="preserve">грн </w:t>
            </w:r>
            <w:r w:rsidR="00183CF6">
              <w:rPr>
                <w:bCs/>
              </w:rPr>
              <w:t xml:space="preserve">на рік </w:t>
            </w:r>
            <w:r w:rsidR="001170F1">
              <w:rPr>
                <w:bCs/>
              </w:rPr>
              <w:t xml:space="preserve">з урахуванням обсягів експорту товарів до держав Європейського Союзу без </w:t>
            </w:r>
            <w:r w:rsidR="00F11C27">
              <w:rPr>
                <w:bCs/>
              </w:rPr>
              <w:t xml:space="preserve">сертифікатів </w:t>
            </w:r>
            <w:r w:rsidR="00F11C27">
              <w:rPr>
                <w:bCs/>
                <w:lang w:val="en-US"/>
              </w:rPr>
              <w:t>EUR</w:t>
            </w:r>
            <w:r w:rsidR="00F11C27" w:rsidRPr="00F11C27">
              <w:rPr>
                <w:bCs/>
              </w:rPr>
              <w:t>.1</w:t>
            </w:r>
            <w:r w:rsidR="001170F1" w:rsidRPr="003E54FF">
              <w:rPr>
                <w:rStyle w:val="font141"/>
                <w:sz w:val="24"/>
                <w:szCs w:val="24"/>
              </w:rPr>
              <w:t>, що підтверджують походження товарів з України</w:t>
            </w:r>
            <w:r w:rsidR="001170F1">
              <w:rPr>
                <w:rStyle w:val="font141"/>
                <w:sz w:val="24"/>
                <w:szCs w:val="24"/>
              </w:rPr>
              <w:t xml:space="preserve"> на умовах оновленої Конвенції ПЄМ</w:t>
            </w:r>
            <w:r w:rsidR="00183CF6">
              <w:rPr>
                <w:rStyle w:val="font141"/>
                <w:sz w:val="24"/>
                <w:szCs w:val="24"/>
              </w:rPr>
              <w:t xml:space="preserve"> та </w:t>
            </w:r>
            <w:r w:rsidR="00183CF6" w:rsidRPr="00183CF6">
              <w:t>130</w:t>
            </w:r>
            <w:r w:rsidR="00183CF6">
              <w:t> </w:t>
            </w:r>
            <w:r w:rsidR="00183CF6" w:rsidRPr="00183CF6">
              <w:t>201</w:t>
            </w:r>
            <w:r w:rsidR="00183CF6">
              <w:t> </w:t>
            </w:r>
            <w:r w:rsidR="00183CF6" w:rsidRPr="00183CF6">
              <w:t>740</w:t>
            </w:r>
            <w:r w:rsidR="00183CF6">
              <w:t xml:space="preserve"> грн </w:t>
            </w:r>
            <w:r w:rsidR="00183CF6">
              <w:rPr>
                <w:rStyle w:val="font141"/>
                <w:sz w:val="24"/>
                <w:szCs w:val="24"/>
              </w:rPr>
              <w:t xml:space="preserve">за п’ять років </w:t>
            </w:r>
          </w:p>
          <w:p w14:paraId="1F44EB7E" w14:textId="77777777" w:rsidR="006451DC" w:rsidRPr="001170F1" w:rsidRDefault="006451DC" w:rsidP="006451DC">
            <w:pPr>
              <w:jc w:val="center"/>
              <w:rPr>
                <w:bCs/>
              </w:rPr>
            </w:pPr>
          </w:p>
        </w:tc>
      </w:tr>
      <w:tr w:rsidR="006451DC" w:rsidRPr="006451DC" w14:paraId="3FDA4FDC" w14:textId="77777777" w:rsidTr="00723DED">
        <w:tc>
          <w:tcPr>
            <w:tcW w:w="4814" w:type="dxa"/>
          </w:tcPr>
          <w:p w14:paraId="6B8AD2ED" w14:textId="4996A5E1" w:rsidR="006451DC" w:rsidRPr="006451DC" w:rsidRDefault="006451DC" w:rsidP="00F11C27">
            <w:pPr>
              <w:jc w:val="both"/>
              <w:rPr>
                <w:bCs/>
              </w:rPr>
            </w:pPr>
            <w:r w:rsidRPr="006451DC">
              <w:rPr>
                <w:bCs/>
              </w:rPr>
              <w:t xml:space="preserve">Альтернатива 2. </w:t>
            </w:r>
            <w:r w:rsidR="002A786C" w:rsidRPr="002A786C">
              <w:rPr>
                <w:bCs/>
              </w:rPr>
              <w:t>Сумарні витрати для суб’єктів господарювання великого і середнього підприємництва відрізняються від Альтернативи 1 на витрати</w:t>
            </w:r>
            <w:r w:rsidR="00DA1AA1">
              <w:rPr>
                <w:bCs/>
              </w:rPr>
              <w:t>,</w:t>
            </w:r>
            <w:r w:rsidR="002A786C" w:rsidRPr="002A786C">
              <w:rPr>
                <w:bCs/>
              </w:rPr>
              <w:t xml:space="preserve"> </w:t>
            </w:r>
            <w:r w:rsidR="00F11C27">
              <w:rPr>
                <w:bCs/>
              </w:rPr>
              <w:t xml:space="preserve">пов’язані з </w:t>
            </w:r>
            <w:r w:rsidR="002A786C" w:rsidRPr="002A786C">
              <w:rPr>
                <w:bCs/>
              </w:rPr>
              <w:t>ознайомлення</w:t>
            </w:r>
            <w:r w:rsidR="00F11C27">
              <w:rPr>
                <w:bCs/>
              </w:rPr>
              <w:t>м</w:t>
            </w:r>
            <w:r w:rsidRPr="006451DC">
              <w:rPr>
                <w:bCs/>
              </w:rPr>
              <w:t xml:space="preserve"> </w:t>
            </w:r>
            <w:r w:rsidR="002A786C">
              <w:rPr>
                <w:bCs/>
              </w:rPr>
              <w:t xml:space="preserve">суб’єктів господарювання </w:t>
            </w:r>
            <w:r w:rsidRPr="006451DC">
              <w:rPr>
                <w:bCs/>
              </w:rPr>
              <w:t>з нормами регуляторного акта</w:t>
            </w:r>
            <w:r w:rsidR="002A786C">
              <w:rPr>
                <w:bCs/>
              </w:rPr>
              <w:t xml:space="preserve">, підготовкою </w:t>
            </w:r>
            <w:r w:rsidR="005E6FE5">
              <w:rPr>
                <w:bCs/>
              </w:rPr>
              <w:t xml:space="preserve">заяви разом з документами </w:t>
            </w:r>
            <w:r w:rsidR="00F11C27">
              <w:rPr>
                <w:bCs/>
              </w:rPr>
              <w:t>про преференційне походження товарів з України</w:t>
            </w:r>
            <w:r w:rsidR="002A786C">
              <w:rPr>
                <w:bCs/>
              </w:rPr>
              <w:t xml:space="preserve"> на отримання сертифікатів </w:t>
            </w:r>
            <w:r w:rsidR="002A786C">
              <w:rPr>
                <w:bCs/>
                <w:lang w:val="en-US"/>
              </w:rPr>
              <w:t>EUR</w:t>
            </w:r>
            <w:r w:rsidR="00D35E0D">
              <w:rPr>
                <w:bCs/>
              </w:rPr>
              <w:t>.1</w:t>
            </w:r>
            <w:r w:rsidRPr="006451DC">
              <w:rPr>
                <w:bCs/>
              </w:rPr>
              <w:t xml:space="preserve"> (з урахуванням витрат 1 год робочого часу кожним суб’єктом господарювання</w:t>
            </w:r>
            <w:r w:rsidR="002A786C">
              <w:rPr>
                <w:bCs/>
              </w:rPr>
              <w:t xml:space="preserve"> великого і</w:t>
            </w:r>
            <w:r w:rsidRPr="006451DC">
              <w:rPr>
                <w:bCs/>
              </w:rPr>
              <w:t xml:space="preserve"> середнього підприємництва)</w:t>
            </w:r>
          </w:p>
        </w:tc>
        <w:tc>
          <w:tcPr>
            <w:tcW w:w="5075" w:type="dxa"/>
          </w:tcPr>
          <w:p w14:paraId="47CAB726" w14:textId="15E0FC48" w:rsidR="00F11C27" w:rsidRDefault="00A815CB" w:rsidP="00F11C27">
            <w:pPr>
              <w:jc w:val="both"/>
              <w:rPr>
                <w:rFonts w:eastAsia="Times New Roman"/>
                <w:lang w:eastAsia="ru-RU"/>
              </w:rPr>
            </w:pPr>
            <w:r w:rsidRPr="00723DED">
              <w:rPr>
                <w:bCs/>
              </w:rPr>
              <w:t xml:space="preserve">Прогнозні показники фінансових витрат суб’єктів господарювання з </w:t>
            </w:r>
            <w:r w:rsidRPr="00723DED">
              <w:rPr>
                <w:rFonts w:eastAsia="Times New Roman"/>
                <w:lang w:eastAsia="ru-RU"/>
              </w:rPr>
              <w:t>урахуванням вартісних показників обсягів експортних операцій, здійснених суб’єктами господарювання із сертифікатами EUR.1</w:t>
            </w:r>
            <w:r w:rsidR="00E70524">
              <w:rPr>
                <w:rFonts w:eastAsia="Times New Roman"/>
                <w:lang w:eastAsia="ru-RU"/>
              </w:rPr>
              <w:t>,</w:t>
            </w:r>
            <w:r w:rsidRPr="00723DED">
              <w:rPr>
                <w:rFonts w:eastAsia="Times New Roman"/>
                <w:lang w:eastAsia="ru-RU"/>
              </w:rPr>
              <w:t xml:space="preserve"> </w:t>
            </w:r>
            <w:r w:rsidR="00E70524">
              <w:rPr>
                <w:bCs/>
              </w:rPr>
              <w:t>становитимуть</w:t>
            </w:r>
            <w:r w:rsidRPr="00723DED">
              <w:rPr>
                <w:bCs/>
              </w:rPr>
              <w:t xml:space="preserve"> </w:t>
            </w:r>
            <w:r w:rsidR="001301FE">
              <w:rPr>
                <w:bCs/>
              </w:rPr>
              <w:t>1</w:t>
            </w:r>
            <w:r w:rsidR="00004404">
              <w:rPr>
                <w:bCs/>
              </w:rPr>
              <w:t> 351 652,94</w:t>
            </w:r>
            <w:r w:rsidR="00723DED" w:rsidRPr="00723DED">
              <w:rPr>
                <w:bCs/>
              </w:rPr>
              <w:t xml:space="preserve"> </w:t>
            </w:r>
            <w:r w:rsidR="008417B8" w:rsidRPr="00723DED">
              <w:rPr>
                <w:bCs/>
              </w:rPr>
              <w:t>грн</w:t>
            </w:r>
            <w:r w:rsidRPr="00723DED">
              <w:rPr>
                <w:bCs/>
              </w:rPr>
              <w:t xml:space="preserve"> за перший рік та </w:t>
            </w:r>
            <w:r w:rsidR="00004404">
              <w:rPr>
                <w:bCs/>
              </w:rPr>
              <w:t xml:space="preserve">6 397 688,70 </w:t>
            </w:r>
            <w:r w:rsidR="00E70524">
              <w:rPr>
                <w:rFonts w:eastAsia="Times New Roman"/>
                <w:lang w:eastAsia="ru-RU"/>
              </w:rPr>
              <w:t>грн за п’ять років</w:t>
            </w:r>
            <w:r w:rsidRPr="00A815CB">
              <w:rPr>
                <w:rFonts w:eastAsia="Times New Roman"/>
                <w:lang w:eastAsia="ru-RU"/>
              </w:rPr>
              <w:t xml:space="preserve"> </w:t>
            </w:r>
            <w:r w:rsidRPr="00A815CB">
              <w:rPr>
                <w:bCs/>
              </w:rPr>
              <w:t xml:space="preserve"> </w:t>
            </w:r>
            <w:r w:rsidR="00F11C27" w:rsidRPr="00A815CB">
              <w:rPr>
                <w:bCs/>
              </w:rPr>
              <w:t xml:space="preserve"> </w:t>
            </w:r>
            <w:r w:rsidR="00F11C27" w:rsidRPr="00A815CB">
              <w:rPr>
                <w:rFonts w:eastAsia="Times New Roman"/>
                <w:lang w:eastAsia="ru-RU"/>
              </w:rPr>
              <w:t xml:space="preserve"> </w:t>
            </w:r>
          </w:p>
          <w:p w14:paraId="46E0F9C2" w14:textId="7744BF8C" w:rsidR="006451DC" w:rsidRPr="006451DC" w:rsidRDefault="006451DC" w:rsidP="00723DED">
            <w:pPr>
              <w:jc w:val="both"/>
              <w:rPr>
                <w:bCs/>
              </w:rPr>
            </w:pPr>
          </w:p>
        </w:tc>
      </w:tr>
    </w:tbl>
    <w:p w14:paraId="3536703B" w14:textId="77777777" w:rsidR="006451DC" w:rsidRPr="005E1C78" w:rsidRDefault="006451DC" w:rsidP="00F906CB">
      <w:pPr>
        <w:ind w:firstLine="567"/>
        <w:jc w:val="center"/>
        <w:rPr>
          <w:rStyle w:val="font171"/>
          <w:b/>
          <w:bCs/>
        </w:rPr>
      </w:pPr>
    </w:p>
    <w:p w14:paraId="04977327" w14:textId="77777777" w:rsidR="00C91F89" w:rsidRPr="00B52AA1" w:rsidRDefault="00C91F89" w:rsidP="003679A9">
      <w:pPr>
        <w:jc w:val="center"/>
        <w:rPr>
          <w:rStyle w:val="font171"/>
          <w:b/>
          <w:bCs/>
        </w:rPr>
      </w:pPr>
    </w:p>
    <w:p w14:paraId="41294BE7" w14:textId="77777777" w:rsidR="00C91F89" w:rsidRPr="00B52AA1" w:rsidRDefault="00C91F89" w:rsidP="003679A9">
      <w:pPr>
        <w:jc w:val="center"/>
        <w:rPr>
          <w:rStyle w:val="font171"/>
          <w:b/>
          <w:bCs/>
        </w:rPr>
      </w:pPr>
    </w:p>
    <w:p w14:paraId="047C61F3" w14:textId="77777777" w:rsidR="00441950" w:rsidRDefault="00441950" w:rsidP="003679A9">
      <w:pPr>
        <w:jc w:val="center"/>
      </w:pPr>
      <w:r>
        <w:rPr>
          <w:rStyle w:val="font171"/>
          <w:b/>
          <w:bCs/>
        </w:rPr>
        <w:t>IV. Вибір найбільш оптимального альтернативного способу</w:t>
      </w:r>
    </w:p>
    <w:p w14:paraId="32C66AF0" w14:textId="77777777" w:rsidR="00441950" w:rsidRPr="00812031" w:rsidRDefault="00441950" w:rsidP="003679A9">
      <w:pPr>
        <w:jc w:val="center"/>
        <w:rPr>
          <w:rStyle w:val="font171"/>
          <w:b/>
          <w:bCs/>
          <w:lang w:val="ru-RU"/>
        </w:rPr>
      </w:pPr>
      <w:r>
        <w:rPr>
          <w:rStyle w:val="font171"/>
          <w:b/>
          <w:bCs/>
        </w:rPr>
        <w:t>досягнення цілей</w:t>
      </w:r>
    </w:p>
    <w:p w14:paraId="010153DB" w14:textId="77777777" w:rsidR="003679A9" w:rsidRPr="00812031" w:rsidRDefault="003679A9" w:rsidP="003679A9">
      <w:pPr>
        <w:jc w:val="center"/>
        <w:rPr>
          <w:rStyle w:val="font171"/>
          <w:b/>
          <w:bCs/>
          <w:lang w:val="ru-RU"/>
        </w:rPr>
      </w:pPr>
    </w:p>
    <w:p w14:paraId="2AFAA3CB" w14:textId="77777777" w:rsidR="008402FD" w:rsidRPr="008402FD" w:rsidRDefault="008402FD" w:rsidP="008402FD">
      <w:pPr>
        <w:ind w:firstLine="567"/>
        <w:jc w:val="both"/>
        <w:rPr>
          <w:rStyle w:val="font171"/>
          <w:bCs/>
        </w:rPr>
      </w:pPr>
      <w:r w:rsidRPr="008402FD">
        <w:rPr>
          <w:rStyle w:val="font171"/>
          <w:bCs/>
        </w:rPr>
        <w:t>Бали визначаються за чотир</w:t>
      </w:r>
      <w:r w:rsidR="00DA1AA1">
        <w:rPr>
          <w:rStyle w:val="font171"/>
          <w:bCs/>
        </w:rPr>
        <w:t>ибальною системою оцінки ступеня</w:t>
      </w:r>
      <w:r w:rsidRPr="008402FD">
        <w:rPr>
          <w:rStyle w:val="font171"/>
          <w:bCs/>
        </w:rPr>
        <w:t xml:space="preserve"> досягнення визначених цілей, де: </w:t>
      </w:r>
    </w:p>
    <w:p w14:paraId="6C6A752A" w14:textId="77777777" w:rsidR="008402FD" w:rsidRPr="008402FD" w:rsidRDefault="008402FD" w:rsidP="008402FD">
      <w:pPr>
        <w:ind w:firstLine="567"/>
        <w:jc w:val="both"/>
        <w:rPr>
          <w:rStyle w:val="font171"/>
          <w:bCs/>
        </w:rPr>
      </w:pPr>
      <w:r w:rsidRPr="008402FD">
        <w:rPr>
          <w:rStyle w:val="font171"/>
          <w:bCs/>
        </w:rPr>
        <w:lastRenderedPageBreak/>
        <w:t xml:space="preserve">1 – цілі прийняття регуляторного акта, які не можуть бути досягнуті (проблема продовжує існувати); </w:t>
      </w:r>
    </w:p>
    <w:p w14:paraId="4B1DD078" w14:textId="77777777" w:rsidR="008402FD" w:rsidRPr="008402FD" w:rsidRDefault="008402FD" w:rsidP="008402FD">
      <w:pPr>
        <w:ind w:firstLine="567"/>
        <w:jc w:val="both"/>
        <w:rPr>
          <w:rStyle w:val="font171"/>
          <w:bCs/>
        </w:rPr>
      </w:pPr>
      <w:r w:rsidRPr="008402FD">
        <w:rPr>
          <w:rStyle w:val="font171"/>
          <w:bCs/>
        </w:rPr>
        <w:t xml:space="preserve">2 –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  </w:t>
      </w:r>
    </w:p>
    <w:p w14:paraId="51D365BB" w14:textId="77777777" w:rsidR="008402FD" w:rsidRPr="008402FD" w:rsidRDefault="008402FD" w:rsidP="008402FD">
      <w:pPr>
        <w:ind w:firstLine="567"/>
        <w:jc w:val="both"/>
        <w:rPr>
          <w:rStyle w:val="font171"/>
          <w:bCs/>
        </w:rPr>
      </w:pPr>
      <w:r w:rsidRPr="008402FD">
        <w:rPr>
          <w:rStyle w:val="font171"/>
          <w:bCs/>
        </w:rPr>
        <w:t xml:space="preserve">3 – цілі прийняття регуляторного акта, які можуть бути досягнуті майже повною мірою (усі важливі аспекти проблеми існувати не будуть); </w:t>
      </w:r>
    </w:p>
    <w:p w14:paraId="35F2A47B" w14:textId="77777777" w:rsidR="008402FD" w:rsidRPr="008402FD" w:rsidRDefault="008402FD" w:rsidP="008402FD">
      <w:pPr>
        <w:ind w:firstLine="567"/>
        <w:jc w:val="both"/>
        <w:rPr>
          <w:rStyle w:val="font171"/>
          <w:bCs/>
        </w:rPr>
      </w:pPr>
      <w:r w:rsidRPr="008402FD">
        <w:rPr>
          <w:rStyle w:val="font171"/>
          <w:bCs/>
        </w:rPr>
        <w:t xml:space="preserve">4 – цілі прийняття регуляторного акта, які можуть бути досягнуті повною мірою (проблема більше існувати не буде). </w:t>
      </w:r>
    </w:p>
    <w:p w14:paraId="389CCB97" w14:textId="77777777" w:rsidR="00FD56D5" w:rsidRDefault="008402FD" w:rsidP="008402FD">
      <w:pPr>
        <w:ind w:firstLine="567"/>
        <w:jc w:val="both"/>
        <w:rPr>
          <w:rStyle w:val="font171"/>
          <w:bCs/>
        </w:rPr>
      </w:pPr>
      <w:r w:rsidRPr="008402FD">
        <w:rPr>
          <w:rStyle w:val="font171"/>
          <w:bCs/>
        </w:rPr>
        <w:t>Вибір оптимального способу досягнення цілей полягає у ви</w:t>
      </w:r>
      <w:r w:rsidR="00DA1AA1">
        <w:rPr>
          <w:rStyle w:val="font171"/>
          <w:bCs/>
        </w:rPr>
        <w:t>значенні способу, який дасть змогу за</w:t>
      </w:r>
      <w:r w:rsidRPr="008402FD">
        <w:rPr>
          <w:rStyle w:val="font171"/>
          <w:bCs/>
        </w:rPr>
        <w:t>безпечити можливість створити</w:t>
      </w:r>
      <w:r>
        <w:rPr>
          <w:rStyle w:val="font171"/>
          <w:bCs/>
        </w:rPr>
        <w:t xml:space="preserve"> сприятливі умови для отримання</w:t>
      </w:r>
      <w:r w:rsidR="00012551">
        <w:rPr>
          <w:rStyle w:val="font171"/>
          <w:bCs/>
        </w:rPr>
        <w:t xml:space="preserve"> експортерами сертифікатів </w:t>
      </w:r>
      <w:r w:rsidR="00012551">
        <w:rPr>
          <w:rStyle w:val="font171"/>
          <w:bCs/>
          <w:lang w:val="en-US"/>
        </w:rPr>
        <w:t>EUR</w:t>
      </w:r>
      <w:r w:rsidR="00012551" w:rsidRPr="006D51EA">
        <w:rPr>
          <w:rStyle w:val="font171"/>
          <w:bCs/>
        </w:rPr>
        <w:t>.1</w:t>
      </w:r>
      <w:r w:rsidR="00F9439A" w:rsidRPr="00F9439A">
        <w:rPr>
          <w:bCs/>
          <w:sz w:val="28"/>
          <w:szCs w:val="28"/>
        </w:rPr>
        <w:t xml:space="preserve"> </w:t>
      </w:r>
      <w:r w:rsidR="00012551">
        <w:rPr>
          <w:rStyle w:val="font171"/>
          <w:bCs/>
        </w:rPr>
        <w:t>відповідно до оновленої Конвенції ПЄМ</w:t>
      </w:r>
      <w:r w:rsidRPr="008402FD">
        <w:rPr>
          <w:rStyle w:val="font171"/>
          <w:bCs/>
        </w:rPr>
        <w:t xml:space="preserve">.   </w:t>
      </w:r>
    </w:p>
    <w:p w14:paraId="723B2F94" w14:textId="77777777" w:rsidR="008402FD" w:rsidRPr="008402FD" w:rsidRDefault="008402FD" w:rsidP="008402FD">
      <w:pPr>
        <w:ind w:firstLine="567"/>
        <w:jc w:val="both"/>
        <w:rPr>
          <w:rStyle w:val="font171"/>
          <w:bCs/>
        </w:rPr>
      </w:pPr>
    </w:p>
    <w:tbl>
      <w:tblPr>
        <w:tblStyle w:val="ac"/>
        <w:tblW w:w="9746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4359"/>
      </w:tblGrid>
      <w:tr w:rsidR="00441950" w14:paraId="6599DE18" w14:textId="77777777" w:rsidTr="00FA09E4">
        <w:tc>
          <w:tcPr>
            <w:tcW w:w="3119" w:type="dxa"/>
            <w:vAlign w:val="center"/>
          </w:tcPr>
          <w:p w14:paraId="639D24CB" w14:textId="77777777" w:rsidR="00441950" w:rsidRPr="00F906CB" w:rsidRDefault="00441950" w:rsidP="00F906CB">
            <w:pPr>
              <w:jc w:val="center"/>
            </w:pPr>
            <w:r w:rsidRPr="00F906CB">
              <w:rPr>
                <w:rStyle w:val="font141"/>
                <w:b/>
                <w:sz w:val="24"/>
                <w:szCs w:val="24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68" w:type="dxa"/>
            <w:vAlign w:val="center"/>
          </w:tcPr>
          <w:p w14:paraId="1E996C78" w14:textId="77777777" w:rsidR="00441950" w:rsidRPr="00F906CB" w:rsidRDefault="00441950" w:rsidP="00F906CB">
            <w:pPr>
              <w:jc w:val="center"/>
            </w:pPr>
            <w:r w:rsidRPr="00F906CB">
              <w:rPr>
                <w:rStyle w:val="font141"/>
                <w:b/>
                <w:sz w:val="24"/>
                <w:szCs w:val="24"/>
              </w:rPr>
              <w:t>Бал результативності (за чотирибальною системою оцінки)</w:t>
            </w:r>
          </w:p>
        </w:tc>
        <w:tc>
          <w:tcPr>
            <w:tcW w:w="4359" w:type="dxa"/>
            <w:vAlign w:val="center"/>
          </w:tcPr>
          <w:p w14:paraId="7EE30092" w14:textId="77777777" w:rsidR="00441950" w:rsidRPr="00F906CB" w:rsidRDefault="00441950" w:rsidP="00F906CB">
            <w:pPr>
              <w:jc w:val="center"/>
            </w:pPr>
            <w:r w:rsidRPr="00F906CB">
              <w:rPr>
                <w:rStyle w:val="font141"/>
                <w:b/>
                <w:sz w:val="24"/>
                <w:szCs w:val="24"/>
              </w:rPr>
              <w:t>Коментарі щодо присвоєння відповідного бала</w:t>
            </w:r>
          </w:p>
        </w:tc>
      </w:tr>
      <w:tr w:rsidR="00441950" w14:paraId="67D6663A" w14:textId="77777777" w:rsidTr="00FA09E4">
        <w:tc>
          <w:tcPr>
            <w:tcW w:w="3119" w:type="dxa"/>
            <w:vAlign w:val="center"/>
          </w:tcPr>
          <w:p w14:paraId="5AEA1EB3" w14:textId="77777777" w:rsidR="00441950" w:rsidRPr="00F906CB" w:rsidRDefault="00441950" w:rsidP="00F906CB">
            <w:pPr>
              <w:jc w:val="center"/>
            </w:pPr>
            <w:r w:rsidRPr="00F906CB">
              <w:rPr>
                <w:rStyle w:val="font141"/>
                <w:sz w:val="24"/>
                <w:szCs w:val="24"/>
              </w:rPr>
              <w:t>Альтернатива 1</w:t>
            </w:r>
          </w:p>
        </w:tc>
        <w:tc>
          <w:tcPr>
            <w:tcW w:w="2268" w:type="dxa"/>
            <w:vAlign w:val="center"/>
          </w:tcPr>
          <w:p w14:paraId="62A8AD04" w14:textId="77777777" w:rsidR="00441950" w:rsidRPr="00F906CB" w:rsidRDefault="00441950" w:rsidP="00F906CB">
            <w:pPr>
              <w:jc w:val="center"/>
            </w:pPr>
            <w:r w:rsidRPr="00F906CB">
              <w:rPr>
                <w:rStyle w:val="font141"/>
                <w:sz w:val="24"/>
                <w:szCs w:val="24"/>
              </w:rPr>
              <w:t>1</w:t>
            </w:r>
          </w:p>
        </w:tc>
        <w:tc>
          <w:tcPr>
            <w:tcW w:w="4359" w:type="dxa"/>
            <w:vAlign w:val="center"/>
          </w:tcPr>
          <w:p w14:paraId="7C02532F" w14:textId="77777777" w:rsidR="00FA09E4" w:rsidRPr="00C55DB8" w:rsidRDefault="00FA09E4" w:rsidP="00C55DB8">
            <w:pPr>
              <w:jc w:val="both"/>
              <w:rPr>
                <w:rStyle w:val="font141"/>
                <w:sz w:val="24"/>
                <w:szCs w:val="24"/>
              </w:rPr>
            </w:pPr>
            <w:r w:rsidRPr="00C55DB8">
              <w:rPr>
                <w:rStyle w:val="font141"/>
                <w:sz w:val="24"/>
                <w:szCs w:val="24"/>
              </w:rPr>
              <w:t>Не дає змоги досягнути поставлених цілей державного регулювання.</w:t>
            </w:r>
          </w:p>
          <w:p w14:paraId="003E1F06" w14:textId="77777777" w:rsidR="00441950" w:rsidRDefault="00FA09E4" w:rsidP="00C55DB8">
            <w:pPr>
              <w:jc w:val="both"/>
              <w:rPr>
                <w:rStyle w:val="font141"/>
                <w:sz w:val="24"/>
                <w:szCs w:val="24"/>
              </w:rPr>
            </w:pPr>
            <w:r w:rsidRPr="00C55DB8">
              <w:rPr>
                <w:rStyle w:val="font141"/>
                <w:sz w:val="24"/>
                <w:szCs w:val="24"/>
              </w:rPr>
              <w:t>Фактори впливу на вибір бала результативності, пов’язані з наявністю таких ризиків від неприйняття регуляторного акта:</w:t>
            </w:r>
          </w:p>
          <w:p w14:paraId="6A38E0D9" w14:textId="77777777" w:rsidR="00C55DB8" w:rsidRPr="00626D1E" w:rsidRDefault="00C55DB8" w:rsidP="00C55DB8">
            <w:pPr>
              <w:jc w:val="both"/>
              <w:rPr>
                <w:rStyle w:val="font141"/>
                <w:sz w:val="24"/>
                <w:szCs w:val="24"/>
                <w:lang w:val="ru-RU"/>
              </w:rPr>
            </w:pPr>
            <w:r>
              <w:rPr>
                <w:rStyle w:val="font141"/>
                <w:sz w:val="24"/>
                <w:szCs w:val="24"/>
              </w:rPr>
              <w:t xml:space="preserve">1) </w:t>
            </w:r>
            <w:r w:rsidRPr="003E54FF">
              <w:rPr>
                <w:rStyle w:val="font141"/>
                <w:sz w:val="24"/>
                <w:szCs w:val="24"/>
              </w:rPr>
              <w:t>фінансові</w:t>
            </w:r>
            <w:r w:rsidRPr="00D070AA">
              <w:rPr>
                <w:rStyle w:val="font141"/>
                <w:sz w:val="24"/>
                <w:szCs w:val="24"/>
              </w:rPr>
              <w:t xml:space="preserve"> </w:t>
            </w:r>
            <w:r>
              <w:rPr>
                <w:rStyle w:val="font141"/>
                <w:sz w:val="24"/>
                <w:szCs w:val="24"/>
              </w:rPr>
              <w:t xml:space="preserve">витрати суб’єктів господарювання </w:t>
            </w:r>
            <w:r w:rsidRPr="003E54FF">
              <w:rPr>
                <w:rStyle w:val="font141"/>
                <w:sz w:val="24"/>
                <w:szCs w:val="24"/>
              </w:rPr>
              <w:t>на</w:t>
            </w:r>
            <w:r w:rsidRPr="00D070AA">
              <w:rPr>
                <w:rStyle w:val="font141"/>
                <w:sz w:val="24"/>
                <w:szCs w:val="24"/>
              </w:rPr>
              <w:t xml:space="preserve"> </w:t>
            </w:r>
            <w:r w:rsidRPr="003E54FF">
              <w:rPr>
                <w:rStyle w:val="font141"/>
                <w:sz w:val="24"/>
                <w:szCs w:val="24"/>
              </w:rPr>
              <w:t xml:space="preserve">сплату </w:t>
            </w:r>
            <w:r w:rsidR="00894D57">
              <w:rPr>
                <w:rStyle w:val="font141"/>
                <w:sz w:val="24"/>
                <w:szCs w:val="24"/>
              </w:rPr>
              <w:t>вивізного</w:t>
            </w:r>
            <w:r>
              <w:rPr>
                <w:rStyle w:val="font141"/>
                <w:sz w:val="24"/>
                <w:szCs w:val="24"/>
              </w:rPr>
              <w:t xml:space="preserve"> мита </w:t>
            </w:r>
            <w:r w:rsidR="00894D57">
              <w:rPr>
                <w:rStyle w:val="font141"/>
                <w:sz w:val="24"/>
                <w:szCs w:val="24"/>
              </w:rPr>
              <w:t>при експорті до країн</w:t>
            </w:r>
            <w:r w:rsidRPr="003E54FF">
              <w:rPr>
                <w:rStyle w:val="font141"/>
                <w:sz w:val="24"/>
                <w:szCs w:val="24"/>
              </w:rPr>
              <w:t xml:space="preserve"> призначення</w:t>
            </w:r>
            <w:r w:rsidR="00626D1E">
              <w:rPr>
                <w:rStyle w:val="font141"/>
                <w:sz w:val="24"/>
                <w:szCs w:val="24"/>
              </w:rPr>
              <w:t xml:space="preserve"> Європейського Союзу</w:t>
            </w:r>
            <w:r w:rsidR="00626D1E" w:rsidRPr="00626D1E">
              <w:rPr>
                <w:rStyle w:val="font141"/>
                <w:sz w:val="24"/>
                <w:szCs w:val="24"/>
                <w:lang w:val="ru-RU"/>
              </w:rPr>
              <w:t>;</w:t>
            </w:r>
          </w:p>
          <w:p w14:paraId="2316E377" w14:textId="77777777" w:rsidR="00D576C6" w:rsidRPr="00C55DB8" w:rsidRDefault="00626D1E" w:rsidP="00C55DB8">
            <w:pPr>
              <w:jc w:val="both"/>
            </w:pPr>
            <w:r w:rsidRPr="00626D1E">
              <w:rPr>
                <w:lang w:val="ru-RU"/>
              </w:rPr>
              <w:t>2</w:t>
            </w:r>
            <w:r w:rsidR="00D576C6" w:rsidRPr="00C55DB8">
              <w:t>) неможливість видавати сертифікати EUR.1 на умовах оновленої Конвенції ПЄМ</w:t>
            </w:r>
            <w:r w:rsidR="00030808">
              <w:t>, у</w:t>
            </w:r>
            <w:r w:rsidR="00C55DB8" w:rsidRPr="00C55DB8">
              <w:t xml:space="preserve"> тому числі після здійснення експорту (реекспорту) товарів у випадку відсутності інформації про кінцевий пункт призначення товарів, визначений під час їх транспортування або зберігання та після м</w:t>
            </w:r>
            <w:r w:rsidR="00030808">
              <w:t>ожливого поділу партії товарів у</w:t>
            </w:r>
            <w:r w:rsidR="00C55DB8" w:rsidRPr="00C55DB8">
              <w:t xml:space="preserve"> державах транзиту товару</w:t>
            </w:r>
            <w:r w:rsidR="00D576C6" w:rsidRPr="00C55DB8">
              <w:t xml:space="preserve">; </w:t>
            </w:r>
          </w:p>
          <w:p w14:paraId="40210D0B" w14:textId="77777777" w:rsidR="00C55DB8" w:rsidRPr="00812031" w:rsidRDefault="00626D1E" w:rsidP="00C55DB8">
            <w:pPr>
              <w:jc w:val="both"/>
              <w:rPr>
                <w:lang w:val="ru-RU"/>
              </w:rPr>
            </w:pPr>
            <w:r w:rsidRPr="00626D1E">
              <w:rPr>
                <w:lang w:val="ru-RU"/>
              </w:rPr>
              <w:t>3</w:t>
            </w:r>
            <w:r w:rsidR="00C55DB8" w:rsidRPr="00C55DB8">
              <w:t xml:space="preserve">) </w:t>
            </w:r>
            <w:r w:rsidR="00C55DB8">
              <w:t xml:space="preserve">виробництво в Україні товарів без залучення </w:t>
            </w:r>
            <w:r w:rsidR="00C55DB8" w:rsidRPr="00C55DB8">
              <w:t>матеріалів, які пройшли обробку чи</w:t>
            </w:r>
            <w:r w:rsidR="00C55DB8">
              <w:t xml:space="preserve"> </w:t>
            </w:r>
            <w:r w:rsidR="00C55DB8" w:rsidRPr="00C55DB8">
              <w:t>переробку в державах-учасницях Конвенції без отримання преф</w:t>
            </w:r>
            <w:r w:rsidR="00812031">
              <w:t>еренційного статусу  походження</w:t>
            </w:r>
            <w:r w:rsidR="00812031" w:rsidRPr="00812031">
              <w:rPr>
                <w:lang w:val="ru-RU"/>
              </w:rPr>
              <w:t>;</w:t>
            </w:r>
          </w:p>
          <w:p w14:paraId="4EFE3D68" w14:textId="77777777" w:rsidR="00FA09E4" w:rsidRPr="00C55DB8" w:rsidRDefault="00626D1E" w:rsidP="00C55DB8">
            <w:pPr>
              <w:jc w:val="both"/>
              <w:rPr>
                <w:lang w:val="ru-RU"/>
              </w:rPr>
            </w:pPr>
            <w:r w:rsidRPr="00626D1E">
              <w:rPr>
                <w:lang w:val="ru-RU"/>
              </w:rPr>
              <w:t>4</w:t>
            </w:r>
            <w:r w:rsidR="00D576C6" w:rsidRPr="00C55DB8">
              <w:t xml:space="preserve">) </w:t>
            </w:r>
            <w:r w:rsidR="00C55DB8" w:rsidRPr="00C55DB8">
              <w:t>не</w:t>
            </w:r>
            <w:r w:rsidR="00D576C6" w:rsidRPr="00C55DB8">
              <w:t xml:space="preserve">підтвердження преференційного походження товарів з України з урахуванням вагових характеристик </w:t>
            </w:r>
            <w:r w:rsidR="00D576C6" w:rsidRPr="00C55DB8">
              <w:lastRenderedPageBreak/>
              <w:t>матеріалів непреференційного походження, використаних при виробництві кінцевого товару</w:t>
            </w:r>
            <w:r w:rsidR="00C55DB8" w:rsidRPr="00C55DB8">
              <w:rPr>
                <w:lang w:val="ru-RU"/>
              </w:rPr>
              <w:t>;</w:t>
            </w:r>
          </w:p>
          <w:p w14:paraId="0A869387" w14:textId="77777777" w:rsidR="00D576C6" w:rsidRPr="00C55DB8" w:rsidRDefault="00626D1E" w:rsidP="00E40D88">
            <w:pPr>
              <w:jc w:val="both"/>
            </w:pPr>
            <w:r w:rsidRPr="00626D1E">
              <w:rPr>
                <w:rFonts w:eastAsiaTheme="minorHAnsi"/>
                <w:lang w:val="ru-RU" w:eastAsia="en-US"/>
              </w:rPr>
              <w:t>5</w:t>
            </w:r>
            <w:r w:rsidR="00C55DB8" w:rsidRPr="00C55DB8">
              <w:rPr>
                <w:rFonts w:eastAsiaTheme="minorHAnsi"/>
                <w:lang w:val="ru-RU" w:eastAsia="en-US"/>
              </w:rPr>
              <w:t xml:space="preserve">) </w:t>
            </w:r>
            <w:r w:rsidR="00D576C6" w:rsidRPr="00626D1E">
              <w:rPr>
                <w:rFonts w:eastAsiaTheme="minorHAnsi"/>
                <w:lang w:eastAsia="en-US"/>
              </w:rPr>
              <w:t>невиконання міжнародних зобов’язань</w:t>
            </w:r>
            <w:r w:rsidRPr="00626D1E">
              <w:rPr>
                <w:rFonts w:eastAsiaTheme="minorHAnsi"/>
                <w:lang w:eastAsia="en-US"/>
              </w:rPr>
              <w:t xml:space="preserve"> України в межах</w:t>
            </w:r>
            <w:r w:rsidR="00D576C6" w:rsidRPr="00626D1E">
              <w:rPr>
                <w:rFonts w:eastAsiaTheme="minorHAnsi"/>
                <w:lang w:eastAsia="en-US"/>
              </w:rPr>
              <w:t xml:space="preserve"> </w:t>
            </w:r>
            <w:r w:rsidRPr="00626D1E">
              <w:rPr>
                <w:rFonts w:eastAsiaTheme="minorHAnsi"/>
                <w:lang w:eastAsia="en-US"/>
              </w:rPr>
              <w:t>оновленої</w:t>
            </w:r>
            <w:r w:rsidR="00E40D88">
              <w:rPr>
                <w:rFonts w:eastAsiaTheme="minorHAnsi"/>
                <w:lang w:eastAsia="en-US"/>
              </w:rPr>
              <w:t xml:space="preserve"> Регіональної конвенції</w:t>
            </w:r>
            <w:r w:rsidR="00D576C6" w:rsidRPr="00626D1E">
              <w:rPr>
                <w:rFonts w:eastAsiaTheme="minorHAnsi"/>
                <w:lang w:eastAsia="en-US"/>
              </w:rPr>
              <w:t xml:space="preserve"> про пан-</w:t>
            </w:r>
            <w:r w:rsidR="00D576C6" w:rsidRPr="00C55DB8">
              <w:rPr>
                <w:rFonts w:eastAsiaTheme="minorHAnsi"/>
                <w:lang w:eastAsia="en-US"/>
              </w:rPr>
              <w:t xml:space="preserve">євро-середземноморські преференційні </w:t>
            </w:r>
            <w:r>
              <w:rPr>
                <w:rFonts w:eastAsiaTheme="minorHAnsi"/>
                <w:lang w:eastAsia="en-US"/>
              </w:rPr>
              <w:t>правила походження, ратифікованої</w:t>
            </w:r>
            <w:r w:rsidR="00D576C6" w:rsidRPr="00C55DB8">
              <w:rPr>
                <w:rFonts w:eastAsiaTheme="minorHAnsi"/>
                <w:lang w:eastAsia="en-US"/>
              </w:rPr>
              <w:t xml:space="preserve"> Законом України від 17 грудня 2024 року № 4148-IX «Про ратифікацію Рішення № 1/2023 Спільного комітету Регіональної конвенції про                            пан-євро-середземноморські преференційні правила походження від 07 грудня 2023 року про внесення змін до Регіональної конвенції про                                пан-євро-середземноморські преференційні правила походження»</w:t>
            </w:r>
          </w:p>
        </w:tc>
      </w:tr>
      <w:tr w:rsidR="00441950" w14:paraId="6671E57F" w14:textId="77777777" w:rsidTr="00FA09E4">
        <w:tc>
          <w:tcPr>
            <w:tcW w:w="3119" w:type="dxa"/>
            <w:vAlign w:val="center"/>
          </w:tcPr>
          <w:p w14:paraId="271CA427" w14:textId="77777777" w:rsidR="00441950" w:rsidRPr="00F906CB" w:rsidRDefault="00441950" w:rsidP="00F906CB">
            <w:pPr>
              <w:jc w:val="center"/>
            </w:pPr>
            <w:r w:rsidRPr="00F906CB">
              <w:rPr>
                <w:rStyle w:val="font141"/>
                <w:sz w:val="24"/>
                <w:szCs w:val="24"/>
              </w:rPr>
              <w:lastRenderedPageBreak/>
              <w:t>Альтернатива 2</w:t>
            </w:r>
          </w:p>
        </w:tc>
        <w:tc>
          <w:tcPr>
            <w:tcW w:w="2268" w:type="dxa"/>
            <w:vAlign w:val="center"/>
          </w:tcPr>
          <w:p w14:paraId="10D220EC" w14:textId="77777777" w:rsidR="00441950" w:rsidRPr="00F906CB" w:rsidRDefault="008402FD" w:rsidP="00F906CB">
            <w:pPr>
              <w:jc w:val="center"/>
            </w:pPr>
            <w:r>
              <w:rPr>
                <w:rStyle w:val="font141"/>
                <w:sz w:val="24"/>
                <w:szCs w:val="24"/>
              </w:rPr>
              <w:t>4</w:t>
            </w:r>
          </w:p>
        </w:tc>
        <w:tc>
          <w:tcPr>
            <w:tcW w:w="4359" w:type="dxa"/>
            <w:vAlign w:val="center"/>
          </w:tcPr>
          <w:p w14:paraId="6845AC6A" w14:textId="77777777" w:rsidR="00626D1E" w:rsidRPr="00626D1E" w:rsidRDefault="00626D1E" w:rsidP="00626D1E">
            <w:pPr>
              <w:jc w:val="both"/>
              <w:rPr>
                <w:rStyle w:val="font141"/>
                <w:sz w:val="24"/>
                <w:szCs w:val="24"/>
              </w:rPr>
            </w:pPr>
            <w:r w:rsidRPr="00626D1E">
              <w:rPr>
                <w:rStyle w:val="font141"/>
                <w:sz w:val="24"/>
                <w:szCs w:val="24"/>
              </w:rPr>
              <w:t>Цілі прийняття регуляторного акта можуть бути досягнуті повною мірою.</w:t>
            </w:r>
          </w:p>
          <w:p w14:paraId="53F43E91" w14:textId="77777777" w:rsidR="00441950" w:rsidRDefault="00626D1E" w:rsidP="00626D1E">
            <w:pPr>
              <w:jc w:val="both"/>
              <w:rPr>
                <w:rStyle w:val="font141"/>
                <w:sz w:val="24"/>
                <w:szCs w:val="24"/>
              </w:rPr>
            </w:pPr>
            <w:r w:rsidRPr="00626D1E">
              <w:rPr>
                <w:rStyle w:val="font141"/>
                <w:sz w:val="24"/>
                <w:szCs w:val="24"/>
              </w:rPr>
              <w:t>Фактори впливу на вибір бала результативності, пов’язані з наявністю таких переваг від прийняття регуляторного акта:</w:t>
            </w:r>
          </w:p>
          <w:p w14:paraId="5C111545" w14:textId="77777777" w:rsidR="00626D1E" w:rsidRDefault="00626D1E" w:rsidP="00626D1E">
            <w:pPr>
              <w:jc w:val="both"/>
            </w:pPr>
            <w:r>
              <w:t>1) звільнення суб’єктів господарювання від сплати вв</w:t>
            </w:r>
            <w:r w:rsidR="00894D57">
              <w:t>ізного мита при експорті до країн</w:t>
            </w:r>
            <w:r>
              <w:t xml:space="preserve"> призначення Європейського Союзу;</w:t>
            </w:r>
          </w:p>
          <w:p w14:paraId="1669D4AE" w14:textId="77777777" w:rsidR="00626D1E" w:rsidRDefault="00626D1E" w:rsidP="00626D1E">
            <w:pPr>
              <w:jc w:val="both"/>
            </w:pPr>
            <w:r>
              <w:t>2) можливість суб</w:t>
            </w:r>
            <w:r w:rsidR="0067265D">
              <w:t>’</w:t>
            </w:r>
            <w:r>
              <w:t>єктам господарювання отримувати сертифікати EUR.1 на умовах оновленої Конвенції ПЄМ, в тому числі після здійснення експорту (реекспорту) товарів у випадку відсутності інформації про кінцевий пункт призначення товарів, визначений під час їх транспортування або зберігання та після м</w:t>
            </w:r>
            <w:r w:rsidR="00030808">
              <w:t>ожливого поділу партії товарів у</w:t>
            </w:r>
            <w:r>
              <w:t xml:space="preserve"> державах транзиту товару; </w:t>
            </w:r>
          </w:p>
          <w:p w14:paraId="7510DE2A" w14:textId="77777777" w:rsidR="00626D1E" w:rsidRPr="00030808" w:rsidRDefault="00626D1E" w:rsidP="00626D1E">
            <w:pPr>
              <w:jc w:val="both"/>
              <w:rPr>
                <w:lang w:val="ru-RU"/>
              </w:rPr>
            </w:pPr>
            <w:r>
              <w:t>3) залучення матеріалів до виробництв</w:t>
            </w:r>
            <w:r w:rsidR="00030808">
              <w:t>а</w:t>
            </w:r>
            <w:r>
              <w:t xml:space="preserve"> в Україні товарів, які пройшли обробку чи переробку в державах-учасницях Конвенції без отримання преф</w:t>
            </w:r>
            <w:r w:rsidR="00030808">
              <w:t>еренційного статусу  походження</w:t>
            </w:r>
            <w:r w:rsidR="00030808" w:rsidRPr="00030808">
              <w:rPr>
                <w:lang w:val="ru-RU"/>
              </w:rPr>
              <w:t>;</w:t>
            </w:r>
          </w:p>
          <w:p w14:paraId="2327F1FD" w14:textId="77777777" w:rsidR="00626D1E" w:rsidRDefault="00626D1E" w:rsidP="00626D1E">
            <w:pPr>
              <w:jc w:val="both"/>
            </w:pPr>
            <w:r>
              <w:t xml:space="preserve">4) підтвердження преференційного походження товарів з України з урахуванням вагових характеристик матеріалів непреференційного </w:t>
            </w:r>
            <w:r>
              <w:lastRenderedPageBreak/>
              <w:t>походження, використаних при виробництві кінцевого товару;</w:t>
            </w:r>
          </w:p>
          <w:p w14:paraId="4E7B2CC8" w14:textId="77777777" w:rsidR="00626D1E" w:rsidRPr="00C55DB8" w:rsidRDefault="00626D1E" w:rsidP="00626D1E">
            <w:pPr>
              <w:jc w:val="both"/>
            </w:pPr>
            <w:r>
              <w:t>5) виконання міжнародних зобов’язань Украї</w:t>
            </w:r>
            <w:r w:rsidR="00E40D88">
              <w:t>ни в межах оновленої Регіональної конвенції</w:t>
            </w:r>
            <w:r>
              <w:t xml:space="preserve"> про пан-євро-середземноморські преференційні правила походження, ратифікованої Законом України від 17 грудня 2024 року № 4148-IX «Про ратифікацію Рішення № 1/2023 Спільного комітету Регіональної конвенції про                            пан-євро-середземноморські преференційні правила походження від 07 грудня 2023 року про внесення змін до Регіональної конвенції про                                пан-євро-середземноморські преференційні правила походження»</w:t>
            </w:r>
          </w:p>
        </w:tc>
      </w:tr>
    </w:tbl>
    <w:p w14:paraId="3A7E281B" w14:textId="77777777" w:rsidR="00FD56D5" w:rsidRPr="00626D1E" w:rsidRDefault="00FD56D5" w:rsidP="00A45649"/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2835"/>
        <w:gridCol w:w="2268"/>
      </w:tblGrid>
      <w:tr w:rsidR="009E150A" w:rsidRPr="00985801" w14:paraId="32ADC81F" w14:textId="77777777" w:rsidTr="00FF7DB1">
        <w:trPr>
          <w:tblHeader/>
        </w:trPr>
        <w:tc>
          <w:tcPr>
            <w:tcW w:w="2127" w:type="dxa"/>
            <w:vAlign w:val="center"/>
          </w:tcPr>
          <w:p w14:paraId="14D56E06" w14:textId="77777777" w:rsidR="00441950" w:rsidRPr="00985801" w:rsidRDefault="00441950" w:rsidP="00985801">
            <w:pPr>
              <w:jc w:val="center"/>
            </w:pPr>
            <w:r w:rsidRPr="00985801">
              <w:rPr>
                <w:rStyle w:val="font141"/>
                <w:b/>
                <w:sz w:val="24"/>
                <w:szCs w:val="24"/>
              </w:rPr>
              <w:t>Рейтинг</w:t>
            </w:r>
          </w:p>
          <w:p w14:paraId="5AEAAA54" w14:textId="77777777" w:rsidR="00441950" w:rsidRPr="00985801" w:rsidRDefault="00441950" w:rsidP="00985801">
            <w:pPr>
              <w:jc w:val="center"/>
            </w:pPr>
            <w:r w:rsidRPr="00985801">
              <w:rPr>
                <w:rStyle w:val="font141"/>
                <w:b/>
                <w:sz w:val="24"/>
                <w:szCs w:val="24"/>
              </w:rPr>
              <w:t>результативності</w:t>
            </w:r>
          </w:p>
        </w:tc>
        <w:tc>
          <w:tcPr>
            <w:tcW w:w="2551" w:type="dxa"/>
            <w:vAlign w:val="center"/>
          </w:tcPr>
          <w:p w14:paraId="779543A9" w14:textId="50A5C7CE" w:rsidR="00441950" w:rsidRPr="00C66B54" w:rsidRDefault="00441950" w:rsidP="00C66B54">
            <w:pPr>
              <w:jc w:val="center"/>
              <w:rPr>
                <w:rStyle w:val="font141"/>
                <w:b/>
                <w:sz w:val="24"/>
                <w:szCs w:val="24"/>
              </w:rPr>
            </w:pPr>
            <w:r w:rsidRPr="00985801">
              <w:rPr>
                <w:rStyle w:val="font141"/>
                <w:b/>
                <w:sz w:val="24"/>
                <w:szCs w:val="24"/>
              </w:rPr>
              <w:t xml:space="preserve">Вигоди </w:t>
            </w:r>
            <w:r w:rsidRPr="00C66B54">
              <w:rPr>
                <w:rStyle w:val="font141"/>
                <w:b/>
                <w:sz w:val="24"/>
                <w:szCs w:val="24"/>
              </w:rPr>
              <w:t>(підсумок)</w:t>
            </w:r>
            <w:r w:rsidR="00531A04">
              <w:rPr>
                <w:rStyle w:val="font14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451A0DB" w14:textId="77777777" w:rsidR="00441950" w:rsidRPr="00C66B54" w:rsidRDefault="00441950" w:rsidP="00985801">
            <w:pPr>
              <w:jc w:val="center"/>
              <w:rPr>
                <w:rStyle w:val="font141"/>
                <w:b/>
                <w:sz w:val="24"/>
                <w:szCs w:val="24"/>
              </w:rPr>
            </w:pPr>
            <w:r w:rsidRPr="00985801">
              <w:rPr>
                <w:rStyle w:val="font141"/>
                <w:b/>
                <w:sz w:val="24"/>
                <w:szCs w:val="24"/>
              </w:rPr>
              <w:t>Витрати</w:t>
            </w:r>
          </w:p>
          <w:p w14:paraId="3A94D224" w14:textId="6762E786" w:rsidR="00441950" w:rsidRPr="00C66B54" w:rsidRDefault="00441950" w:rsidP="00C66B54">
            <w:pPr>
              <w:jc w:val="center"/>
              <w:rPr>
                <w:rStyle w:val="font141"/>
                <w:b/>
                <w:sz w:val="24"/>
                <w:szCs w:val="24"/>
              </w:rPr>
            </w:pPr>
            <w:r w:rsidRPr="00C66B54">
              <w:rPr>
                <w:rStyle w:val="font141"/>
                <w:b/>
                <w:sz w:val="24"/>
                <w:szCs w:val="24"/>
              </w:rPr>
              <w:t>(підсумок)</w:t>
            </w:r>
            <w:r w:rsidR="00531A04" w:rsidRPr="00C66B54">
              <w:rPr>
                <w:rStyle w:val="font14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A4E8E15" w14:textId="77777777" w:rsidR="00441950" w:rsidRPr="00985801" w:rsidRDefault="00441950" w:rsidP="00985801">
            <w:pPr>
              <w:jc w:val="center"/>
            </w:pPr>
            <w:r w:rsidRPr="00985801">
              <w:rPr>
                <w:rStyle w:val="font141"/>
                <w:b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9E150A" w:rsidRPr="00985801" w14:paraId="048C6773" w14:textId="77777777" w:rsidTr="00FF7DB1">
        <w:tc>
          <w:tcPr>
            <w:tcW w:w="2127" w:type="dxa"/>
          </w:tcPr>
          <w:p w14:paraId="4FE316EA" w14:textId="77777777" w:rsidR="00441950" w:rsidRDefault="00441950" w:rsidP="00E40D88">
            <w:pPr>
              <w:jc w:val="both"/>
              <w:rPr>
                <w:rStyle w:val="font141"/>
                <w:sz w:val="24"/>
                <w:szCs w:val="24"/>
              </w:rPr>
            </w:pPr>
            <w:r w:rsidRPr="00985801">
              <w:rPr>
                <w:rStyle w:val="font141"/>
                <w:sz w:val="24"/>
                <w:szCs w:val="24"/>
              </w:rPr>
              <w:t>Альтернатива 1</w:t>
            </w:r>
          </w:p>
          <w:p w14:paraId="55F2FE0D" w14:textId="77777777" w:rsidR="0067265D" w:rsidRPr="00985801" w:rsidRDefault="0067265D" w:rsidP="00E40D88">
            <w:pPr>
              <w:jc w:val="both"/>
            </w:pPr>
            <w:r>
              <w:t>Залишити існуючий регуляторний акт без змін</w:t>
            </w:r>
          </w:p>
        </w:tc>
        <w:tc>
          <w:tcPr>
            <w:tcW w:w="2551" w:type="dxa"/>
          </w:tcPr>
          <w:p w14:paraId="660919E7" w14:textId="77777777" w:rsidR="00441950" w:rsidRPr="00985801" w:rsidRDefault="00952CDF" w:rsidP="00E40D88">
            <w:pPr>
              <w:jc w:val="both"/>
            </w:pPr>
            <w:r w:rsidRPr="00985801">
              <w:rPr>
                <w:rStyle w:val="font141"/>
                <w:sz w:val="24"/>
                <w:szCs w:val="24"/>
              </w:rPr>
              <w:t xml:space="preserve">У разі залишення </w:t>
            </w:r>
            <w:r w:rsidR="00E40D88">
              <w:rPr>
                <w:rStyle w:val="font141"/>
                <w:sz w:val="24"/>
                <w:szCs w:val="24"/>
              </w:rPr>
              <w:t xml:space="preserve"> існуючої на цей час ситуації без змін вигоди для держави, суб’єктів господарювання відсутні</w:t>
            </w:r>
          </w:p>
        </w:tc>
        <w:tc>
          <w:tcPr>
            <w:tcW w:w="2835" w:type="dxa"/>
          </w:tcPr>
          <w:p w14:paraId="0633A350" w14:textId="77777777" w:rsidR="003E54FF" w:rsidRDefault="003E54FF" w:rsidP="00E40D88">
            <w:pPr>
              <w:ind w:firstLine="3"/>
              <w:jc w:val="both"/>
              <w:rPr>
                <w:rStyle w:val="font141"/>
                <w:sz w:val="24"/>
                <w:szCs w:val="24"/>
              </w:rPr>
            </w:pPr>
            <w:r w:rsidRPr="003E54FF">
              <w:rPr>
                <w:rStyle w:val="font141"/>
                <w:sz w:val="24"/>
                <w:szCs w:val="24"/>
              </w:rPr>
              <w:t>Залишення чинним</w:t>
            </w:r>
            <w:r w:rsidR="00E20DDE">
              <w:rPr>
                <w:rStyle w:val="font141"/>
                <w:sz w:val="24"/>
                <w:szCs w:val="24"/>
              </w:rPr>
              <w:t>и нормативно-правових актів</w:t>
            </w:r>
            <w:r w:rsidR="00932E5D">
              <w:rPr>
                <w:rStyle w:val="font141"/>
                <w:sz w:val="24"/>
                <w:szCs w:val="24"/>
              </w:rPr>
              <w:t xml:space="preserve"> </w:t>
            </w:r>
            <w:r w:rsidRPr="003E54FF">
              <w:rPr>
                <w:rStyle w:val="font141"/>
                <w:sz w:val="24"/>
                <w:szCs w:val="24"/>
              </w:rPr>
              <w:t>буде мати такі негативні наслідки:</w:t>
            </w:r>
          </w:p>
          <w:p w14:paraId="060CF93A" w14:textId="10E9CE31" w:rsidR="00856A14" w:rsidRDefault="00A64BE5" w:rsidP="00856A14">
            <w:pPr>
              <w:ind w:firstLine="3"/>
              <w:jc w:val="both"/>
              <w:rPr>
                <w:rStyle w:val="font141"/>
                <w:sz w:val="24"/>
                <w:szCs w:val="24"/>
              </w:rPr>
            </w:pPr>
            <w:r w:rsidRPr="00F91528">
              <w:rPr>
                <w:rStyle w:val="font141"/>
                <w:i/>
                <w:sz w:val="24"/>
                <w:szCs w:val="24"/>
              </w:rPr>
              <w:t xml:space="preserve">Для </w:t>
            </w:r>
            <w:r w:rsidR="00856A14" w:rsidRPr="00F91528">
              <w:rPr>
                <w:rStyle w:val="font141"/>
                <w:i/>
                <w:sz w:val="24"/>
                <w:szCs w:val="24"/>
              </w:rPr>
              <w:t>держави</w:t>
            </w:r>
            <w:r w:rsidR="00856A14">
              <w:rPr>
                <w:rStyle w:val="font141"/>
                <w:sz w:val="24"/>
                <w:szCs w:val="24"/>
              </w:rPr>
              <w:t xml:space="preserve"> </w:t>
            </w:r>
            <w:r w:rsidR="00F91528">
              <w:rPr>
                <w:rStyle w:val="font141"/>
                <w:sz w:val="24"/>
                <w:szCs w:val="24"/>
              </w:rPr>
              <w:t xml:space="preserve">наявні додаткові </w:t>
            </w:r>
            <w:r w:rsidR="00154783">
              <w:rPr>
                <w:rStyle w:val="font141"/>
                <w:sz w:val="24"/>
                <w:szCs w:val="24"/>
              </w:rPr>
              <w:t xml:space="preserve">витрати часу </w:t>
            </w:r>
            <w:r w:rsidR="00F91528">
              <w:rPr>
                <w:rStyle w:val="font141"/>
                <w:sz w:val="24"/>
                <w:szCs w:val="24"/>
              </w:rPr>
              <w:t xml:space="preserve">посадових осіб митних органів на прийняття </w:t>
            </w:r>
            <w:r w:rsidR="00856A14">
              <w:rPr>
                <w:rStyle w:val="font141"/>
                <w:sz w:val="24"/>
                <w:szCs w:val="24"/>
              </w:rPr>
              <w:t>рішень</w:t>
            </w:r>
            <w:r w:rsidR="00856A14" w:rsidRPr="009B5C98">
              <w:rPr>
                <w:rStyle w:val="font141"/>
                <w:sz w:val="24"/>
                <w:szCs w:val="24"/>
              </w:rPr>
              <w:t xml:space="preserve"> про</w:t>
            </w:r>
            <w:r w:rsidR="00856A14">
              <w:rPr>
                <w:rStyle w:val="font141"/>
                <w:sz w:val="24"/>
                <w:szCs w:val="24"/>
              </w:rPr>
              <w:t xml:space="preserve"> </w:t>
            </w:r>
            <w:r w:rsidR="00856A14" w:rsidRPr="009B5C98">
              <w:rPr>
                <w:rStyle w:val="font141"/>
                <w:sz w:val="24"/>
                <w:szCs w:val="24"/>
              </w:rPr>
              <w:t>відмову у видачі сертифікатів EUR.1</w:t>
            </w:r>
            <w:r w:rsidR="00F91528">
              <w:rPr>
                <w:rStyle w:val="font141"/>
                <w:sz w:val="24"/>
                <w:szCs w:val="24"/>
              </w:rPr>
              <w:t xml:space="preserve"> (2 год на підготовку одного рішення</w:t>
            </w:r>
            <w:r w:rsidR="00F91528" w:rsidRPr="00F91528">
              <w:rPr>
                <w:rStyle w:val="font141"/>
                <w:sz w:val="24"/>
                <w:szCs w:val="24"/>
              </w:rPr>
              <w:t xml:space="preserve">; </w:t>
            </w:r>
            <w:r w:rsidR="00F91528">
              <w:rPr>
                <w:rStyle w:val="font141"/>
                <w:sz w:val="24"/>
                <w:szCs w:val="24"/>
              </w:rPr>
              <w:t>1</w:t>
            </w:r>
            <w:r w:rsidR="00F91528" w:rsidRPr="00F91528">
              <w:rPr>
                <w:rStyle w:val="font141"/>
                <w:sz w:val="24"/>
                <w:szCs w:val="24"/>
              </w:rPr>
              <w:t>000 год у рік на підготовку</w:t>
            </w:r>
            <w:r w:rsidR="00F91528" w:rsidRPr="00F91528">
              <w:rPr>
                <w:rStyle w:val="font141"/>
                <w:sz w:val="24"/>
                <w:szCs w:val="24"/>
                <w:lang w:val="ru-RU"/>
              </w:rPr>
              <w:t xml:space="preserve"> </w:t>
            </w:r>
            <w:r w:rsidR="00F91528" w:rsidRPr="00F91528">
              <w:rPr>
                <w:rStyle w:val="font141"/>
                <w:sz w:val="24"/>
                <w:szCs w:val="24"/>
              </w:rPr>
              <w:t>рішень</w:t>
            </w:r>
            <w:r w:rsidR="00F91528">
              <w:rPr>
                <w:rStyle w:val="font141"/>
                <w:sz w:val="24"/>
                <w:szCs w:val="24"/>
              </w:rPr>
              <w:t>)</w:t>
            </w:r>
            <w:r w:rsidR="00856A14" w:rsidRPr="009B5C98">
              <w:rPr>
                <w:rStyle w:val="font141"/>
                <w:sz w:val="24"/>
                <w:szCs w:val="24"/>
              </w:rPr>
              <w:t xml:space="preserve"> на умовах оновленої Конвенції ПЄМ</w:t>
            </w:r>
            <w:r w:rsidR="00F91528">
              <w:rPr>
                <w:rStyle w:val="font141"/>
                <w:sz w:val="24"/>
                <w:szCs w:val="24"/>
              </w:rPr>
              <w:t xml:space="preserve">, </w:t>
            </w:r>
            <w:r w:rsidR="00F91528" w:rsidRPr="00F91528">
              <w:rPr>
                <w:rStyle w:val="font141"/>
                <w:sz w:val="24"/>
                <w:szCs w:val="24"/>
              </w:rPr>
              <w:t>які за один рік по ми</w:t>
            </w:r>
            <w:r w:rsidR="00F91528">
              <w:rPr>
                <w:rStyle w:val="font141"/>
                <w:sz w:val="24"/>
                <w:szCs w:val="24"/>
              </w:rPr>
              <w:t>тній системі становитимуть 48000 грн, а за п’ять років – 240000</w:t>
            </w:r>
            <w:r w:rsidR="00F91528" w:rsidRPr="00F91528">
              <w:rPr>
                <w:rStyle w:val="font141"/>
                <w:sz w:val="24"/>
                <w:szCs w:val="24"/>
              </w:rPr>
              <w:t xml:space="preserve"> грн.</w:t>
            </w:r>
          </w:p>
          <w:p w14:paraId="33A6CEF5" w14:textId="20A37DB3" w:rsidR="00154783" w:rsidRDefault="00682D71" w:rsidP="00154783">
            <w:pPr>
              <w:ind w:firstLine="3"/>
              <w:jc w:val="both"/>
              <w:rPr>
                <w:rStyle w:val="font141"/>
                <w:sz w:val="24"/>
                <w:szCs w:val="24"/>
              </w:rPr>
            </w:pPr>
            <w:r w:rsidRPr="00A52430">
              <w:rPr>
                <w:rStyle w:val="font141"/>
                <w:i/>
                <w:sz w:val="24"/>
                <w:szCs w:val="24"/>
              </w:rPr>
              <w:t>Для суб’єктів господарювання</w:t>
            </w:r>
            <w:r>
              <w:rPr>
                <w:rStyle w:val="font141"/>
                <w:sz w:val="24"/>
                <w:szCs w:val="24"/>
              </w:rPr>
              <w:t xml:space="preserve"> витрати пов’язані із сплатою </w:t>
            </w:r>
            <w:r w:rsidRPr="00682D71">
              <w:rPr>
                <w:rStyle w:val="font141"/>
                <w:sz w:val="24"/>
                <w:szCs w:val="24"/>
              </w:rPr>
              <w:t xml:space="preserve">ввізного мита при імпорті в країнах призначення у зв’язку з відсутністю документів, що </w:t>
            </w:r>
            <w:r w:rsidRPr="00682D71">
              <w:rPr>
                <w:rStyle w:val="font141"/>
                <w:sz w:val="24"/>
                <w:szCs w:val="24"/>
              </w:rPr>
              <w:lastRenderedPageBreak/>
              <w:t>підтверджують походження товарів з України на</w:t>
            </w:r>
            <w:r w:rsidR="00E40D88">
              <w:rPr>
                <w:rStyle w:val="font141"/>
                <w:sz w:val="24"/>
                <w:szCs w:val="24"/>
              </w:rPr>
              <w:t xml:space="preserve"> умовах оновленої Конвенції ПЄМ</w:t>
            </w:r>
            <w:r w:rsidR="00154783">
              <w:rPr>
                <w:rStyle w:val="font141"/>
                <w:sz w:val="24"/>
                <w:szCs w:val="24"/>
              </w:rPr>
              <w:t xml:space="preserve">, </w:t>
            </w:r>
            <w:r w:rsidR="00154783" w:rsidRPr="00154783">
              <w:rPr>
                <w:rStyle w:val="font141"/>
                <w:sz w:val="24"/>
                <w:szCs w:val="24"/>
              </w:rPr>
              <w:t>щорічні витрати</w:t>
            </w:r>
            <w:r w:rsidR="00D176A4">
              <w:rPr>
                <w:rStyle w:val="font141"/>
                <w:sz w:val="24"/>
                <w:szCs w:val="24"/>
              </w:rPr>
              <w:t xml:space="preserve"> зі сплати мита</w:t>
            </w:r>
            <w:r w:rsidR="00154783" w:rsidRPr="00154783">
              <w:rPr>
                <w:rStyle w:val="font141"/>
                <w:sz w:val="24"/>
                <w:szCs w:val="24"/>
              </w:rPr>
              <w:t xml:space="preserve"> можуть становити 84</w:t>
            </w:r>
            <w:r w:rsidR="009C0185" w:rsidRPr="009C0185">
              <w:rPr>
                <w:rStyle w:val="font141"/>
                <w:sz w:val="24"/>
                <w:szCs w:val="24"/>
              </w:rPr>
              <w:t xml:space="preserve"> </w:t>
            </w:r>
            <w:r w:rsidR="00D176A4">
              <w:rPr>
                <w:rStyle w:val="font141"/>
                <w:sz w:val="24"/>
                <w:szCs w:val="24"/>
              </w:rPr>
              <w:t>000</w:t>
            </w:r>
            <w:r w:rsidR="009C0185" w:rsidRPr="009C0185">
              <w:rPr>
                <w:rStyle w:val="font141"/>
                <w:sz w:val="24"/>
                <w:szCs w:val="24"/>
              </w:rPr>
              <w:t xml:space="preserve"> </w:t>
            </w:r>
            <w:r w:rsidR="00D176A4">
              <w:rPr>
                <w:rStyle w:val="font141"/>
                <w:sz w:val="24"/>
                <w:szCs w:val="24"/>
              </w:rPr>
              <w:t>000</w:t>
            </w:r>
            <w:r w:rsidR="00154783" w:rsidRPr="00154783">
              <w:rPr>
                <w:rStyle w:val="font141"/>
                <w:sz w:val="24"/>
                <w:szCs w:val="24"/>
              </w:rPr>
              <w:t xml:space="preserve"> грн</w:t>
            </w:r>
            <w:r w:rsidR="00154783">
              <w:rPr>
                <w:rStyle w:val="font141"/>
                <w:sz w:val="24"/>
                <w:szCs w:val="24"/>
              </w:rPr>
              <w:t xml:space="preserve">, а за п’ять років – </w:t>
            </w:r>
            <w:r w:rsidR="00D176A4">
              <w:rPr>
                <w:rStyle w:val="font141"/>
                <w:sz w:val="24"/>
                <w:szCs w:val="24"/>
              </w:rPr>
              <w:t>420</w:t>
            </w:r>
            <w:r w:rsidR="00796B00">
              <w:rPr>
                <w:rStyle w:val="font141"/>
                <w:sz w:val="24"/>
                <w:szCs w:val="24"/>
              </w:rPr>
              <w:t xml:space="preserve"> </w:t>
            </w:r>
            <w:r w:rsidR="00D176A4">
              <w:rPr>
                <w:rStyle w:val="font141"/>
                <w:sz w:val="24"/>
                <w:szCs w:val="24"/>
              </w:rPr>
              <w:t>000</w:t>
            </w:r>
            <w:r w:rsidR="00796B00">
              <w:rPr>
                <w:rStyle w:val="font141"/>
                <w:sz w:val="24"/>
                <w:szCs w:val="24"/>
              </w:rPr>
              <w:t xml:space="preserve"> </w:t>
            </w:r>
            <w:r w:rsidR="00D176A4">
              <w:rPr>
                <w:rStyle w:val="font141"/>
                <w:sz w:val="24"/>
                <w:szCs w:val="24"/>
              </w:rPr>
              <w:t>000</w:t>
            </w:r>
            <w:r w:rsidR="00154783" w:rsidRPr="00F91528">
              <w:rPr>
                <w:rStyle w:val="font141"/>
                <w:sz w:val="24"/>
                <w:szCs w:val="24"/>
              </w:rPr>
              <w:t xml:space="preserve"> грн.</w:t>
            </w:r>
          </w:p>
          <w:p w14:paraId="3AC1CC49" w14:textId="38707038" w:rsidR="00A52430" w:rsidRPr="00A52430" w:rsidRDefault="00A52430" w:rsidP="00A52430">
            <w:pPr>
              <w:pStyle w:val="rvps2"/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firstLine="3"/>
              <w:jc w:val="both"/>
              <w:rPr>
                <w:i/>
                <w:lang w:val="uk-UA"/>
              </w:rPr>
            </w:pPr>
            <w:r w:rsidRPr="00A52430">
              <w:rPr>
                <w:i/>
                <w:lang w:val="uk-UA"/>
              </w:rPr>
              <w:t xml:space="preserve">Для громадян </w:t>
            </w:r>
            <w:r w:rsidRPr="00A52430">
              <w:rPr>
                <w:lang w:val="uk-UA"/>
              </w:rPr>
              <w:t>витрати відсутні,</w:t>
            </w:r>
            <w:r w:rsidRPr="00A52430">
              <w:rPr>
                <w:i/>
                <w:lang w:val="uk-UA"/>
              </w:rPr>
              <w:t xml:space="preserve"> </w:t>
            </w:r>
            <w:r w:rsidRPr="00A52430">
              <w:rPr>
                <w:lang w:val="uk-UA"/>
              </w:rPr>
              <w:t>оскільки</w:t>
            </w:r>
            <w:r w:rsidR="00E70524">
              <w:rPr>
                <w:lang w:val="uk-UA"/>
              </w:rPr>
              <w:t xml:space="preserve"> регуляторний акт не належить</w:t>
            </w:r>
            <w:r w:rsidRPr="00A52430">
              <w:rPr>
                <w:lang w:val="uk-UA"/>
              </w:rPr>
              <w:t xml:space="preserve"> до сфери діяльності громадян</w:t>
            </w:r>
          </w:p>
        </w:tc>
        <w:tc>
          <w:tcPr>
            <w:tcW w:w="2268" w:type="dxa"/>
          </w:tcPr>
          <w:p w14:paraId="37C6D86C" w14:textId="77777777" w:rsidR="00682D71" w:rsidRDefault="00682D71" w:rsidP="00E40D88">
            <w:pPr>
              <w:ind w:firstLine="3"/>
              <w:jc w:val="both"/>
              <w:rPr>
                <w:rStyle w:val="font141"/>
                <w:sz w:val="24"/>
                <w:szCs w:val="24"/>
              </w:rPr>
            </w:pPr>
            <w:r w:rsidRPr="00D6320D">
              <w:lastRenderedPageBreak/>
              <w:t>Є найгіршою, оскільки на відміну від альтернативи 2 не дає змоги досягнути поставлених цілей державного регулювання</w:t>
            </w:r>
          </w:p>
          <w:p w14:paraId="62698126" w14:textId="77777777" w:rsidR="00441950" w:rsidRPr="00FF426E" w:rsidRDefault="00441950" w:rsidP="00E40D88">
            <w:pPr>
              <w:ind w:firstLine="319"/>
              <w:jc w:val="both"/>
              <w:rPr>
                <w:rFonts w:eastAsia="Times New Roman"/>
                <w:color w:val="548DD4" w:themeColor="text2" w:themeTint="99"/>
              </w:rPr>
            </w:pPr>
          </w:p>
        </w:tc>
      </w:tr>
      <w:tr w:rsidR="009E150A" w:rsidRPr="00985801" w14:paraId="1C44DF2D" w14:textId="77777777" w:rsidTr="00FF7DB1">
        <w:tc>
          <w:tcPr>
            <w:tcW w:w="2127" w:type="dxa"/>
          </w:tcPr>
          <w:p w14:paraId="196955AF" w14:textId="18D24F70" w:rsidR="00441950" w:rsidRPr="00985801" w:rsidRDefault="00441950" w:rsidP="00E40D88">
            <w:pPr>
              <w:jc w:val="both"/>
            </w:pPr>
            <w:r w:rsidRPr="00985801">
              <w:rPr>
                <w:rStyle w:val="font141"/>
                <w:sz w:val="24"/>
                <w:szCs w:val="24"/>
              </w:rPr>
              <w:t>Альтернатива 2</w:t>
            </w:r>
          </w:p>
        </w:tc>
        <w:tc>
          <w:tcPr>
            <w:tcW w:w="2551" w:type="dxa"/>
          </w:tcPr>
          <w:p w14:paraId="7908E92C" w14:textId="0749DA17" w:rsidR="00441950" w:rsidRDefault="00F91528" w:rsidP="00E40D8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Style w:val="font141"/>
                <w:sz w:val="24"/>
                <w:szCs w:val="24"/>
              </w:rPr>
              <w:t xml:space="preserve">Високі. </w:t>
            </w:r>
            <w:r w:rsidR="00E40D88">
              <w:rPr>
                <w:rStyle w:val="font141"/>
                <w:sz w:val="24"/>
                <w:szCs w:val="24"/>
              </w:rPr>
              <w:t>Для держави п</w:t>
            </w:r>
            <w:r w:rsidR="00E20DDE">
              <w:rPr>
                <w:rStyle w:val="font141"/>
                <w:sz w:val="24"/>
                <w:szCs w:val="24"/>
              </w:rPr>
              <w:t>рийняття проє</w:t>
            </w:r>
            <w:r w:rsidR="00952CDF" w:rsidRPr="00985801">
              <w:rPr>
                <w:rStyle w:val="font141"/>
                <w:sz w:val="24"/>
                <w:szCs w:val="24"/>
              </w:rPr>
              <w:t xml:space="preserve">кту акта </w:t>
            </w:r>
            <w:r w:rsidR="00932E5D">
              <w:rPr>
                <w:rStyle w:val="font141"/>
                <w:sz w:val="24"/>
                <w:szCs w:val="24"/>
              </w:rPr>
              <w:t>забезпечить</w:t>
            </w:r>
            <w:r w:rsidR="00D92319">
              <w:rPr>
                <w:rStyle w:val="font141"/>
                <w:sz w:val="24"/>
                <w:szCs w:val="24"/>
              </w:rPr>
              <w:t xml:space="preserve"> виконання</w:t>
            </w:r>
            <w:r w:rsidR="00932E5D">
              <w:rPr>
                <w:rStyle w:val="font141"/>
                <w:sz w:val="24"/>
                <w:szCs w:val="24"/>
              </w:rPr>
              <w:t xml:space="preserve"> </w:t>
            </w:r>
            <w:r w:rsidR="00E40D88" w:rsidRPr="00626D1E">
              <w:rPr>
                <w:rFonts w:eastAsiaTheme="minorHAnsi"/>
                <w:lang w:eastAsia="en-US"/>
              </w:rPr>
              <w:t>міжнародних зобов’язань України в межах оновленої</w:t>
            </w:r>
            <w:r w:rsidR="00E40D88">
              <w:rPr>
                <w:rFonts w:eastAsiaTheme="minorHAnsi"/>
                <w:lang w:eastAsia="en-US"/>
              </w:rPr>
              <w:t xml:space="preserve"> Регіональної</w:t>
            </w:r>
            <w:r w:rsidR="00030808">
              <w:rPr>
                <w:rFonts w:eastAsiaTheme="minorHAnsi"/>
                <w:lang w:eastAsia="en-US"/>
              </w:rPr>
              <w:t xml:space="preserve"> конвенції</w:t>
            </w:r>
            <w:r w:rsidR="00E40D88" w:rsidRPr="00626D1E">
              <w:rPr>
                <w:rFonts w:eastAsiaTheme="minorHAnsi"/>
                <w:lang w:eastAsia="en-US"/>
              </w:rPr>
              <w:t xml:space="preserve"> про пан-</w:t>
            </w:r>
            <w:r w:rsidR="00E40D88" w:rsidRPr="00C55DB8">
              <w:rPr>
                <w:rFonts w:eastAsiaTheme="minorHAnsi"/>
                <w:lang w:eastAsia="en-US"/>
              </w:rPr>
              <w:t xml:space="preserve">євро-середземноморські преференційні </w:t>
            </w:r>
            <w:r w:rsidR="00E40D88">
              <w:rPr>
                <w:rFonts w:eastAsiaTheme="minorHAnsi"/>
                <w:lang w:eastAsia="en-US"/>
              </w:rPr>
              <w:t>правила походження, ратифікованої</w:t>
            </w:r>
            <w:r w:rsidR="00E40D88" w:rsidRPr="00C55DB8">
              <w:rPr>
                <w:rFonts w:eastAsiaTheme="minorHAnsi"/>
                <w:lang w:eastAsia="en-US"/>
              </w:rPr>
              <w:t xml:space="preserve"> Законом України від 17 грудня 2024 року № 4148-IX «Про ратифікацію Рішення № 1/2023 Спільного комітету Регіональної конвенції про                            пан-євро-середземноморські преференційні правила походження від 07 грудня 2023 року про внесення змін до Регіональної конвенції про                                пан-євро-середземноморські </w:t>
            </w:r>
            <w:r w:rsidR="00E40D88" w:rsidRPr="00C55DB8">
              <w:rPr>
                <w:rFonts w:eastAsiaTheme="minorHAnsi"/>
                <w:lang w:eastAsia="en-US"/>
              </w:rPr>
              <w:lastRenderedPageBreak/>
              <w:t>преференційні правила походження»</w:t>
            </w:r>
            <w:r w:rsidR="00894D57">
              <w:rPr>
                <w:rFonts w:eastAsiaTheme="minorHAnsi"/>
                <w:lang w:eastAsia="en-US"/>
              </w:rPr>
              <w:t>.</w:t>
            </w:r>
          </w:p>
          <w:p w14:paraId="65E62B94" w14:textId="686568AB" w:rsidR="00D92319" w:rsidRPr="00EB48B3" w:rsidRDefault="00D92319" w:rsidP="00FF7DB1">
            <w:pPr>
              <w:jc w:val="both"/>
              <w:rPr>
                <w:rStyle w:val="font141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>Для суб’єктів господарюван</w:t>
            </w:r>
            <w:r w:rsidR="00894D57">
              <w:rPr>
                <w:rFonts w:eastAsiaTheme="minorHAnsi"/>
                <w:lang w:eastAsia="en-US"/>
              </w:rPr>
              <w:t xml:space="preserve">ня </w:t>
            </w:r>
            <w:r w:rsidR="00894D57">
              <w:rPr>
                <w:rStyle w:val="font141"/>
                <w:sz w:val="24"/>
                <w:szCs w:val="24"/>
              </w:rPr>
              <w:t>прийняття проє</w:t>
            </w:r>
            <w:r w:rsidR="00894D57" w:rsidRPr="00985801">
              <w:rPr>
                <w:rStyle w:val="font141"/>
                <w:sz w:val="24"/>
                <w:szCs w:val="24"/>
              </w:rPr>
              <w:t>кту акта</w:t>
            </w:r>
            <w:r w:rsidR="00894D57" w:rsidRPr="00894D57">
              <w:rPr>
                <w:rFonts w:eastAsiaTheme="minorHAnsi"/>
                <w:lang w:eastAsia="en-US"/>
              </w:rPr>
              <w:t xml:space="preserve"> </w:t>
            </w:r>
            <w:r w:rsidR="00F017AB">
              <w:rPr>
                <w:rFonts w:eastAsiaTheme="minorHAnsi"/>
                <w:lang w:eastAsia="en-US"/>
              </w:rPr>
              <w:t>дасть змогу</w:t>
            </w:r>
            <w:r w:rsidR="00894D57">
              <w:rPr>
                <w:rFonts w:eastAsiaTheme="minorHAnsi"/>
                <w:lang w:eastAsia="en-US"/>
              </w:rPr>
              <w:t xml:space="preserve"> </w:t>
            </w:r>
            <w:r w:rsidR="00FF7DB1">
              <w:rPr>
                <w:rFonts w:eastAsiaTheme="minorHAnsi"/>
                <w:lang w:eastAsia="en-US"/>
              </w:rPr>
              <w:t xml:space="preserve">здійснювати експорт </w:t>
            </w:r>
            <w:r w:rsidR="00894D57" w:rsidRPr="00894D57">
              <w:rPr>
                <w:rFonts w:eastAsiaTheme="minorHAnsi"/>
                <w:lang w:eastAsia="en-US"/>
              </w:rPr>
              <w:t>із застосуванням пільгового режиму оподаткування на умовах вільної торгівлі</w:t>
            </w:r>
          </w:p>
        </w:tc>
        <w:tc>
          <w:tcPr>
            <w:tcW w:w="2835" w:type="dxa"/>
          </w:tcPr>
          <w:p w14:paraId="2B31FC39" w14:textId="4509E42D" w:rsidR="00E50237" w:rsidRPr="00723DED" w:rsidRDefault="00D176A4" w:rsidP="00E50237">
            <w:pPr>
              <w:ind w:firstLine="3"/>
              <w:jc w:val="both"/>
              <w:rPr>
                <w:rStyle w:val="font141"/>
                <w:sz w:val="24"/>
                <w:szCs w:val="24"/>
              </w:rPr>
            </w:pPr>
            <w:r w:rsidRPr="00E50237">
              <w:rPr>
                <w:rStyle w:val="font141"/>
                <w:i/>
                <w:sz w:val="24"/>
                <w:szCs w:val="24"/>
              </w:rPr>
              <w:lastRenderedPageBreak/>
              <w:t>Для держави</w:t>
            </w:r>
            <w:r>
              <w:rPr>
                <w:rStyle w:val="font141"/>
                <w:sz w:val="24"/>
                <w:szCs w:val="24"/>
              </w:rPr>
              <w:t xml:space="preserve"> в</w:t>
            </w:r>
            <w:r w:rsidR="00E40D88" w:rsidRPr="00030808">
              <w:rPr>
                <w:rStyle w:val="font141"/>
                <w:sz w:val="24"/>
                <w:szCs w:val="24"/>
              </w:rPr>
              <w:t xml:space="preserve">итрати </w:t>
            </w:r>
            <w:r w:rsidR="00E50237">
              <w:rPr>
                <w:rStyle w:val="font141"/>
                <w:sz w:val="24"/>
                <w:szCs w:val="24"/>
              </w:rPr>
              <w:t xml:space="preserve">на </w:t>
            </w:r>
            <w:r w:rsidR="00856A14" w:rsidRPr="00030808">
              <w:rPr>
                <w:rStyle w:val="font141"/>
                <w:sz w:val="24"/>
                <w:szCs w:val="24"/>
              </w:rPr>
              <w:t xml:space="preserve">проведення консультацій за зверненнями суб’єктів господарювання з питань застосування преференційних правил походження та </w:t>
            </w:r>
            <w:r w:rsidR="00004404">
              <w:rPr>
                <w:rStyle w:val="font141"/>
                <w:sz w:val="24"/>
                <w:szCs w:val="24"/>
              </w:rPr>
              <w:t>перевірки</w:t>
            </w:r>
            <w:r w:rsidR="00856A14" w:rsidRPr="00030808">
              <w:rPr>
                <w:rStyle w:val="font141"/>
                <w:sz w:val="24"/>
                <w:szCs w:val="24"/>
              </w:rPr>
              <w:t xml:space="preserve"> додаткових документів</w:t>
            </w:r>
            <w:r w:rsidR="00E50237">
              <w:rPr>
                <w:rStyle w:val="font141"/>
                <w:sz w:val="24"/>
                <w:szCs w:val="24"/>
              </w:rPr>
              <w:t xml:space="preserve"> приблизно </w:t>
            </w:r>
            <w:r w:rsidR="009E150A">
              <w:rPr>
                <w:rStyle w:val="font141"/>
                <w:sz w:val="24"/>
                <w:szCs w:val="24"/>
              </w:rPr>
              <w:t xml:space="preserve">на рік </w:t>
            </w:r>
            <w:r w:rsidR="00E50237">
              <w:rPr>
                <w:rStyle w:val="font141"/>
                <w:sz w:val="24"/>
                <w:szCs w:val="24"/>
              </w:rPr>
              <w:t>становлять</w:t>
            </w:r>
            <w:r w:rsidR="009E150A">
              <w:rPr>
                <w:rStyle w:val="font141"/>
                <w:sz w:val="24"/>
                <w:szCs w:val="24"/>
              </w:rPr>
              <w:t xml:space="preserve"> </w:t>
            </w:r>
            <w:r w:rsidR="00004404" w:rsidRPr="00004404">
              <w:rPr>
                <w:rStyle w:val="font141"/>
                <w:sz w:val="24"/>
                <w:szCs w:val="24"/>
              </w:rPr>
              <w:t>13</w:t>
            </w:r>
            <w:r w:rsidR="00004404">
              <w:rPr>
                <w:rStyle w:val="font141"/>
                <w:sz w:val="24"/>
                <w:szCs w:val="24"/>
              </w:rPr>
              <w:t xml:space="preserve"> </w:t>
            </w:r>
            <w:r w:rsidR="00004404" w:rsidRPr="00004404">
              <w:rPr>
                <w:rStyle w:val="font141"/>
                <w:sz w:val="24"/>
                <w:szCs w:val="24"/>
              </w:rPr>
              <w:t>156</w:t>
            </w:r>
            <w:r w:rsidR="00004404">
              <w:rPr>
                <w:rStyle w:val="font141"/>
                <w:sz w:val="24"/>
                <w:szCs w:val="24"/>
              </w:rPr>
              <w:t> </w:t>
            </w:r>
            <w:r w:rsidR="00004404" w:rsidRPr="00004404">
              <w:rPr>
                <w:rStyle w:val="font141"/>
                <w:sz w:val="24"/>
                <w:szCs w:val="24"/>
              </w:rPr>
              <w:t>896</w:t>
            </w:r>
            <w:r w:rsidR="00004404">
              <w:rPr>
                <w:rStyle w:val="font141"/>
                <w:sz w:val="24"/>
                <w:szCs w:val="24"/>
              </w:rPr>
              <w:t xml:space="preserve"> </w:t>
            </w:r>
            <w:r w:rsidR="00E50237" w:rsidRPr="00E77BFF">
              <w:rPr>
                <w:rStyle w:val="font141"/>
                <w:sz w:val="24"/>
                <w:szCs w:val="24"/>
              </w:rPr>
              <w:t xml:space="preserve">грн, а за п’ять років – </w:t>
            </w:r>
            <w:r w:rsidR="00004404" w:rsidRPr="00004404">
              <w:rPr>
                <w:rStyle w:val="font141"/>
                <w:sz w:val="24"/>
                <w:szCs w:val="24"/>
              </w:rPr>
              <w:t>65</w:t>
            </w:r>
            <w:r w:rsidR="00004404">
              <w:rPr>
                <w:rStyle w:val="font141"/>
                <w:sz w:val="24"/>
                <w:szCs w:val="24"/>
              </w:rPr>
              <w:t xml:space="preserve"> </w:t>
            </w:r>
            <w:r w:rsidR="00004404" w:rsidRPr="00004404">
              <w:rPr>
                <w:rStyle w:val="font141"/>
                <w:sz w:val="24"/>
                <w:szCs w:val="24"/>
              </w:rPr>
              <w:t>784</w:t>
            </w:r>
            <w:r w:rsidR="00004404">
              <w:rPr>
                <w:rStyle w:val="font141"/>
                <w:sz w:val="24"/>
                <w:szCs w:val="24"/>
              </w:rPr>
              <w:t xml:space="preserve"> </w:t>
            </w:r>
            <w:r w:rsidR="00004404" w:rsidRPr="00004404">
              <w:rPr>
                <w:rStyle w:val="font141"/>
                <w:sz w:val="24"/>
                <w:szCs w:val="24"/>
              </w:rPr>
              <w:t>480</w:t>
            </w:r>
            <w:r w:rsidR="00004404">
              <w:rPr>
                <w:rStyle w:val="font141"/>
                <w:sz w:val="24"/>
                <w:szCs w:val="24"/>
              </w:rPr>
              <w:t xml:space="preserve"> </w:t>
            </w:r>
            <w:r w:rsidR="00E50237" w:rsidRPr="00723DED">
              <w:rPr>
                <w:rStyle w:val="font141"/>
                <w:sz w:val="24"/>
                <w:szCs w:val="24"/>
              </w:rPr>
              <w:t>грн.</w:t>
            </w:r>
            <w:r w:rsidR="00E77BFF" w:rsidRPr="00E77BFF">
              <w:rPr>
                <w:rStyle w:val="font141"/>
                <w:sz w:val="24"/>
                <w:szCs w:val="24"/>
              </w:rPr>
              <w:t xml:space="preserve"> </w:t>
            </w:r>
          </w:p>
          <w:p w14:paraId="3DA1812D" w14:textId="7581D401" w:rsidR="00EE2428" w:rsidRPr="00723DED" w:rsidRDefault="009E150A" w:rsidP="00030808">
            <w:pPr>
              <w:jc w:val="both"/>
              <w:rPr>
                <w:rStyle w:val="font141"/>
                <w:sz w:val="24"/>
                <w:szCs w:val="24"/>
              </w:rPr>
            </w:pPr>
            <w:r w:rsidRPr="00723DED">
              <w:rPr>
                <w:rStyle w:val="font141"/>
                <w:i/>
                <w:sz w:val="24"/>
                <w:szCs w:val="24"/>
              </w:rPr>
              <w:t xml:space="preserve">Суб’єкти господарювання, </w:t>
            </w:r>
            <w:r w:rsidRPr="00723DED">
              <w:rPr>
                <w:rStyle w:val="font141"/>
                <w:sz w:val="24"/>
                <w:szCs w:val="24"/>
              </w:rPr>
              <w:t xml:space="preserve">які здійснюють експорт товарів із сертифікатами </w:t>
            </w:r>
            <w:r w:rsidRPr="00723DED">
              <w:rPr>
                <w:rStyle w:val="font141"/>
                <w:sz w:val="24"/>
                <w:szCs w:val="24"/>
                <w:lang w:val="en-US"/>
              </w:rPr>
              <w:t>EUR</w:t>
            </w:r>
            <w:r w:rsidRPr="00723DED">
              <w:rPr>
                <w:rStyle w:val="font141"/>
                <w:sz w:val="24"/>
                <w:szCs w:val="24"/>
              </w:rPr>
              <w:t xml:space="preserve">.1, понесуть витрати на вивчення нормативно-правового акта та підготовки документів на отримання сертифікатів </w:t>
            </w:r>
            <w:r w:rsidRPr="00723DED">
              <w:rPr>
                <w:rStyle w:val="font141"/>
                <w:sz w:val="24"/>
                <w:szCs w:val="24"/>
                <w:lang w:val="en-US"/>
              </w:rPr>
              <w:t>EUR</w:t>
            </w:r>
            <w:r w:rsidRPr="00723DED">
              <w:rPr>
                <w:rStyle w:val="font141"/>
                <w:sz w:val="24"/>
                <w:szCs w:val="24"/>
              </w:rPr>
              <w:t>.1</w:t>
            </w:r>
            <w:r w:rsidR="00723DED" w:rsidRPr="00723DED">
              <w:rPr>
                <w:rStyle w:val="font141"/>
                <w:sz w:val="24"/>
                <w:szCs w:val="24"/>
              </w:rPr>
              <w:t xml:space="preserve"> з урахуванням витрат на витратні матеріали для підготовки додаткових документів</w:t>
            </w:r>
            <w:r w:rsidRPr="00723DED">
              <w:rPr>
                <w:rStyle w:val="font141"/>
                <w:sz w:val="24"/>
                <w:szCs w:val="24"/>
              </w:rPr>
              <w:t xml:space="preserve"> – </w:t>
            </w:r>
            <w:r w:rsidR="004347A3" w:rsidRPr="004347A3">
              <w:rPr>
                <w:rStyle w:val="font141"/>
                <w:sz w:val="24"/>
                <w:szCs w:val="24"/>
              </w:rPr>
              <w:t>4 357 965,15 грн</w:t>
            </w:r>
            <w:r w:rsidRPr="00723DED">
              <w:rPr>
                <w:rStyle w:val="font141"/>
                <w:sz w:val="24"/>
                <w:szCs w:val="24"/>
              </w:rPr>
              <w:t xml:space="preserve"> (з урахуванням середньої погодинно</w:t>
            </w:r>
            <w:r w:rsidR="00EE2428" w:rsidRPr="00723DED">
              <w:rPr>
                <w:rStyle w:val="font141"/>
                <w:sz w:val="24"/>
                <w:szCs w:val="24"/>
              </w:rPr>
              <w:t>ї заробітної плати на 2025 рік), а за п’ять років –</w:t>
            </w:r>
            <w:r w:rsidR="008417B8" w:rsidRPr="00723DED">
              <w:rPr>
                <w:rStyle w:val="font141"/>
                <w:sz w:val="24"/>
                <w:szCs w:val="24"/>
              </w:rPr>
              <w:t xml:space="preserve"> </w:t>
            </w:r>
            <w:r w:rsidR="004347A3" w:rsidRPr="004347A3">
              <w:rPr>
                <w:rStyle w:val="font141"/>
                <w:sz w:val="24"/>
                <w:szCs w:val="24"/>
              </w:rPr>
              <w:t>20 627 265,75</w:t>
            </w:r>
            <w:r w:rsidR="004347A3">
              <w:rPr>
                <w:rStyle w:val="font141"/>
                <w:sz w:val="24"/>
                <w:szCs w:val="24"/>
              </w:rPr>
              <w:t xml:space="preserve"> </w:t>
            </w:r>
            <w:r w:rsidR="00EE2428" w:rsidRPr="00723DED">
              <w:rPr>
                <w:rStyle w:val="font141"/>
                <w:sz w:val="24"/>
                <w:szCs w:val="24"/>
              </w:rPr>
              <w:t>грн.</w:t>
            </w:r>
          </w:p>
          <w:p w14:paraId="62A5CEAB" w14:textId="14ED9A23" w:rsidR="009E150A" w:rsidRPr="009E150A" w:rsidRDefault="009E150A" w:rsidP="009E150A">
            <w:pPr>
              <w:widowControl w:val="0"/>
              <w:jc w:val="both"/>
              <w:rPr>
                <w:rFonts w:eastAsia="Times New Roman"/>
                <w:lang w:eastAsia="ru-RU"/>
              </w:rPr>
            </w:pPr>
            <w:r w:rsidRPr="00723DED">
              <w:rPr>
                <w:rFonts w:eastAsia="Times New Roman"/>
                <w:i/>
                <w:lang w:eastAsia="ru-RU"/>
              </w:rPr>
              <w:lastRenderedPageBreak/>
              <w:t>У громадян</w:t>
            </w:r>
            <w:r w:rsidRPr="00723DED">
              <w:rPr>
                <w:rFonts w:eastAsia="Times New Roman"/>
                <w:lang w:eastAsia="ru-RU"/>
              </w:rPr>
              <w:t xml:space="preserve"> витрати відсутні, оскільки положе</w:t>
            </w:r>
            <w:r w:rsidR="00F017AB">
              <w:rPr>
                <w:rFonts w:eastAsia="Times New Roman"/>
                <w:lang w:eastAsia="ru-RU"/>
              </w:rPr>
              <w:t>ння регуляторного акта не стосую</w:t>
            </w:r>
            <w:r w:rsidRPr="00723DED">
              <w:rPr>
                <w:rFonts w:eastAsia="Times New Roman"/>
                <w:lang w:eastAsia="ru-RU"/>
              </w:rPr>
              <w:t>ться діяльності громадян</w:t>
            </w:r>
          </w:p>
          <w:p w14:paraId="2EF3D342" w14:textId="24D5B476" w:rsidR="00E50237" w:rsidRPr="00985801" w:rsidRDefault="00E50237" w:rsidP="00E50237">
            <w:pPr>
              <w:jc w:val="both"/>
              <w:rPr>
                <w:rStyle w:val="font14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C4DE3" w14:textId="77777777" w:rsidR="00441950" w:rsidRPr="00985801" w:rsidRDefault="00441950" w:rsidP="00E40D88">
            <w:pPr>
              <w:jc w:val="both"/>
            </w:pPr>
            <w:r w:rsidRPr="00985801">
              <w:rPr>
                <w:rStyle w:val="font141"/>
                <w:sz w:val="24"/>
                <w:szCs w:val="24"/>
              </w:rPr>
              <w:lastRenderedPageBreak/>
              <w:t>Є найбільш оптимальною із запропонованих альтернатив, оскільки відповідає вимогам регуляторної політики і досягає цілей державного регулювання</w:t>
            </w:r>
          </w:p>
        </w:tc>
      </w:tr>
    </w:tbl>
    <w:p w14:paraId="058AE537" w14:textId="77777777" w:rsidR="007C34EF" w:rsidRDefault="007C34EF" w:rsidP="00A45649"/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2380"/>
        <w:gridCol w:w="4478"/>
        <w:gridCol w:w="2923"/>
      </w:tblGrid>
      <w:tr w:rsidR="00441950" w:rsidRPr="00F906CB" w14:paraId="6E2A0164" w14:textId="77777777" w:rsidTr="00682D71">
        <w:tc>
          <w:tcPr>
            <w:tcW w:w="2380" w:type="dxa"/>
          </w:tcPr>
          <w:p w14:paraId="3EE99DA3" w14:textId="77777777" w:rsidR="00441950" w:rsidRPr="005367B0" w:rsidRDefault="00441950" w:rsidP="005367B0">
            <w:pPr>
              <w:jc w:val="center"/>
              <w:rPr>
                <w:rFonts w:eastAsia="Times New Roman"/>
                <w:b/>
              </w:rPr>
            </w:pPr>
            <w:r w:rsidRPr="005367B0">
              <w:rPr>
                <w:rFonts w:eastAsia="Times New Roman"/>
                <w:b/>
              </w:rPr>
              <w:t>Рейтинг</w:t>
            </w:r>
          </w:p>
        </w:tc>
        <w:tc>
          <w:tcPr>
            <w:tcW w:w="4478" w:type="dxa"/>
          </w:tcPr>
          <w:p w14:paraId="2351456B" w14:textId="77777777" w:rsidR="00441950" w:rsidRPr="005367B0" w:rsidRDefault="00441950" w:rsidP="005367B0">
            <w:pPr>
              <w:jc w:val="center"/>
              <w:rPr>
                <w:rFonts w:eastAsia="Times New Roman"/>
                <w:b/>
              </w:rPr>
            </w:pPr>
            <w:r w:rsidRPr="005367B0">
              <w:rPr>
                <w:rFonts w:eastAsia="Times New Roman"/>
                <w:b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923" w:type="dxa"/>
          </w:tcPr>
          <w:p w14:paraId="7FE0CD1E" w14:textId="77777777" w:rsidR="00441950" w:rsidRPr="005367B0" w:rsidRDefault="00441950" w:rsidP="005367B0">
            <w:pPr>
              <w:jc w:val="center"/>
              <w:rPr>
                <w:rFonts w:eastAsia="Times New Roman"/>
                <w:b/>
              </w:rPr>
            </w:pPr>
            <w:r w:rsidRPr="005367B0">
              <w:rPr>
                <w:rFonts w:eastAsia="Times New Roman"/>
                <w:b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441950" w:rsidRPr="00F906CB" w14:paraId="038B4D0D" w14:textId="77777777" w:rsidTr="00682D71">
        <w:tc>
          <w:tcPr>
            <w:tcW w:w="2380" w:type="dxa"/>
          </w:tcPr>
          <w:p w14:paraId="5C843F27" w14:textId="77777777" w:rsidR="00441950" w:rsidRDefault="00441950" w:rsidP="005367B0">
            <w:pPr>
              <w:jc w:val="center"/>
              <w:rPr>
                <w:rStyle w:val="font141"/>
                <w:sz w:val="24"/>
                <w:szCs w:val="24"/>
              </w:rPr>
            </w:pPr>
            <w:r w:rsidRPr="00F906CB">
              <w:rPr>
                <w:rStyle w:val="font141"/>
                <w:sz w:val="24"/>
                <w:szCs w:val="24"/>
              </w:rPr>
              <w:t>Альтернатива 1</w:t>
            </w:r>
          </w:p>
          <w:p w14:paraId="5877B5AD" w14:textId="77777777" w:rsidR="00682D71" w:rsidRPr="00F906CB" w:rsidRDefault="00682D71" w:rsidP="005367B0">
            <w:pPr>
              <w:jc w:val="center"/>
              <w:rPr>
                <w:rFonts w:eastAsia="Times New Roman"/>
              </w:rPr>
            </w:pPr>
            <w:r w:rsidRPr="00682D71">
              <w:rPr>
                <w:rFonts w:eastAsia="Times New Roman"/>
              </w:rPr>
              <w:t>Залишити існуючий регуляторний акт без змін</w:t>
            </w:r>
          </w:p>
        </w:tc>
        <w:tc>
          <w:tcPr>
            <w:tcW w:w="4478" w:type="dxa"/>
          </w:tcPr>
          <w:p w14:paraId="03818704" w14:textId="77777777" w:rsidR="00441950" w:rsidRPr="00503C9F" w:rsidRDefault="00985801" w:rsidP="00BF07C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 разі обрання а</w:t>
            </w:r>
            <w:r w:rsidR="00441950" w:rsidRPr="00503C9F">
              <w:rPr>
                <w:rFonts w:eastAsia="Times New Roman"/>
              </w:rPr>
              <w:t xml:space="preserve">льтернативи 1 експортери </w:t>
            </w:r>
            <w:r w:rsidR="00503C9F">
              <w:rPr>
                <w:rFonts w:eastAsia="Times New Roman"/>
              </w:rPr>
              <w:t xml:space="preserve">не зможуть документально підтвердити статус </w:t>
            </w:r>
            <w:r w:rsidR="009F05AB">
              <w:rPr>
                <w:rFonts w:eastAsia="Times New Roman"/>
              </w:rPr>
              <w:t xml:space="preserve">преференційного походження </w:t>
            </w:r>
            <w:r w:rsidR="00503C9F">
              <w:rPr>
                <w:rFonts w:eastAsia="Times New Roman"/>
              </w:rPr>
              <w:t xml:space="preserve">товарів українського походження </w:t>
            </w:r>
            <w:r w:rsidR="00392588">
              <w:rPr>
                <w:rFonts w:eastAsia="Times New Roman"/>
              </w:rPr>
              <w:t xml:space="preserve">на підставі </w:t>
            </w:r>
            <w:r w:rsidR="00BF07C3">
              <w:rPr>
                <w:rFonts w:eastAsia="Times New Roman"/>
              </w:rPr>
              <w:t>оновленої Конвенції ПЄМ</w:t>
            </w:r>
            <w:r w:rsidR="00392588">
              <w:rPr>
                <w:rFonts w:eastAsia="Times New Roman"/>
              </w:rPr>
              <w:t xml:space="preserve"> </w:t>
            </w:r>
            <w:r w:rsidR="00503C9F">
              <w:rPr>
                <w:rFonts w:eastAsia="Times New Roman"/>
              </w:rPr>
              <w:t xml:space="preserve">та </w:t>
            </w:r>
            <w:r w:rsidR="00441950" w:rsidRPr="00503C9F">
              <w:rPr>
                <w:rFonts w:eastAsia="Times New Roman"/>
              </w:rPr>
              <w:t xml:space="preserve">будуть позбавлені допуску </w:t>
            </w:r>
            <w:r w:rsidR="009F05AB">
              <w:rPr>
                <w:rFonts w:eastAsia="Times New Roman"/>
              </w:rPr>
              <w:t xml:space="preserve">їх </w:t>
            </w:r>
            <w:r w:rsidR="00441950" w:rsidRPr="00503C9F">
              <w:rPr>
                <w:rFonts w:eastAsia="Times New Roman"/>
              </w:rPr>
              <w:t>на зовнішні ринки із застосуванням пільгового режиму оподаткув</w:t>
            </w:r>
            <w:r>
              <w:rPr>
                <w:rFonts w:eastAsia="Times New Roman"/>
              </w:rPr>
              <w:t>ання на умовах вільної торгівлі</w:t>
            </w:r>
          </w:p>
        </w:tc>
        <w:tc>
          <w:tcPr>
            <w:tcW w:w="2923" w:type="dxa"/>
          </w:tcPr>
          <w:p w14:paraId="1B255DC7" w14:textId="4F42819B" w:rsidR="00441950" w:rsidRPr="00D35E0D" w:rsidRDefault="0008350C" w:rsidP="00741ECD">
            <w:pPr>
              <w:jc w:val="both"/>
              <w:rPr>
                <w:rFonts w:eastAsia="Times New Roman"/>
              </w:rPr>
            </w:pPr>
            <w:r w:rsidRPr="00D35E0D">
              <w:rPr>
                <w:rFonts w:eastAsia="Times New Roman"/>
              </w:rPr>
              <w:t>На дію запропонованого регуляторного акта можуть вплинути події непереробної сили (воєнний стан тощо), а також зміни у законодавстві.</w:t>
            </w:r>
          </w:p>
        </w:tc>
      </w:tr>
      <w:tr w:rsidR="00441950" w:rsidRPr="00F906CB" w14:paraId="00E28A8A" w14:textId="77777777" w:rsidTr="00682D71">
        <w:tc>
          <w:tcPr>
            <w:tcW w:w="2380" w:type="dxa"/>
          </w:tcPr>
          <w:p w14:paraId="12179037" w14:textId="77777777" w:rsidR="00441950" w:rsidRDefault="00441950" w:rsidP="005367B0">
            <w:pPr>
              <w:jc w:val="center"/>
              <w:rPr>
                <w:rStyle w:val="font141"/>
                <w:sz w:val="24"/>
                <w:szCs w:val="24"/>
              </w:rPr>
            </w:pPr>
            <w:r w:rsidRPr="00F906CB">
              <w:rPr>
                <w:rStyle w:val="font141"/>
                <w:sz w:val="24"/>
                <w:szCs w:val="24"/>
              </w:rPr>
              <w:t>Альтернатива 2</w:t>
            </w:r>
          </w:p>
          <w:p w14:paraId="2D045311" w14:textId="77777777" w:rsidR="00682D71" w:rsidRPr="00F906CB" w:rsidRDefault="00682D71" w:rsidP="005367B0">
            <w:pPr>
              <w:jc w:val="center"/>
              <w:rPr>
                <w:rFonts w:eastAsia="Times New Roman"/>
              </w:rPr>
            </w:pPr>
            <w:r>
              <w:rPr>
                <w:rStyle w:val="font141"/>
                <w:sz w:val="24"/>
                <w:szCs w:val="24"/>
              </w:rPr>
              <w:t>Прийняття регуляторного акта</w:t>
            </w:r>
          </w:p>
        </w:tc>
        <w:tc>
          <w:tcPr>
            <w:tcW w:w="4478" w:type="dxa"/>
          </w:tcPr>
          <w:p w14:paraId="19F378C9" w14:textId="77777777" w:rsidR="00952CDF" w:rsidRPr="00503C9F" w:rsidRDefault="00441950" w:rsidP="00557B85">
            <w:pPr>
              <w:jc w:val="both"/>
              <w:rPr>
                <w:rFonts w:eastAsia="Times New Roman"/>
              </w:rPr>
            </w:pPr>
            <w:r w:rsidRPr="00503C9F">
              <w:rPr>
                <w:rFonts w:eastAsia="Times New Roman"/>
              </w:rPr>
              <w:t xml:space="preserve">Альтернатива 2 </w:t>
            </w:r>
            <w:r w:rsidR="00557B85">
              <w:rPr>
                <w:rFonts w:eastAsia="Times New Roman"/>
              </w:rPr>
              <w:t>забезпечить отримання експортерами сертифікатів</w:t>
            </w:r>
            <w:r w:rsidR="00C75B51">
              <w:rPr>
                <w:rFonts w:eastAsia="Times New Roman"/>
              </w:rPr>
              <w:t xml:space="preserve"> </w:t>
            </w:r>
            <w:r w:rsidR="00C75B51">
              <w:rPr>
                <w:rFonts w:eastAsia="Times New Roman"/>
                <w:lang w:val="en-US"/>
              </w:rPr>
              <w:t>EUR</w:t>
            </w:r>
            <w:r w:rsidR="00C75B51" w:rsidRPr="00C75B51">
              <w:rPr>
                <w:rFonts w:eastAsia="Times New Roman"/>
              </w:rPr>
              <w:t>.1</w:t>
            </w:r>
            <w:r w:rsidR="00392588">
              <w:rPr>
                <w:rFonts w:eastAsia="Times New Roman"/>
              </w:rPr>
              <w:t xml:space="preserve"> від</w:t>
            </w:r>
            <w:r w:rsidR="00C75B51">
              <w:rPr>
                <w:rFonts w:eastAsia="Times New Roman"/>
              </w:rPr>
              <w:t>повідно до оновленої Конвенції ПЄМ</w:t>
            </w:r>
            <w:r w:rsidR="00145120">
              <w:rPr>
                <w:rFonts w:eastAsia="Times New Roman"/>
              </w:rPr>
              <w:t xml:space="preserve">, </w:t>
            </w:r>
            <w:r w:rsidR="00030808">
              <w:rPr>
                <w:rFonts w:eastAsia="Times New Roman"/>
              </w:rPr>
              <w:t xml:space="preserve">сприятиме </w:t>
            </w:r>
            <w:r w:rsidR="00145120">
              <w:rPr>
                <w:rFonts w:eastAsia="Times New Roman"/>
              </w:rPr>
              <w:t>підтримці</w:t>
            </w:r>
            <w:r w:rsidR="000D0A92">
              <w:rPr>
                <w:rFonts w:eastAsia="Times New Roman"/>
              </w:rPr>
              <w:t xml:space="preserve"> товарів</w:t>
            </w:r>
            <w:r w:rsidR="00C53FFF" w:rsidRPr="00503C9F">
              <w:rPr>
                <w:rFonts w:eastAsia="Times New Roman"/>
              </w:rPr>
              <w:t xml:space="preserve"> </w:t>
            </w:r>
            <w:r w:rsidR="00952CDF" w:rsidRPr="00503C9F">
              <w:rPr>
                <w:rFonts w:eastAsia="Times New Roman"/>
              </w:rPr>
              <w:t>н</w:t>
            </w:r>
            <w:r w:rsidR="00145120">
              <w:rPr>
                <w:rFonts w:eastAsia="Times New Roman"/>
              </w:rPr>
              <w:t>а зовнішніх ринках та підвищенню</w:t>
            </w:r>
            <w:r w:rsidR="00952CDF" w:rsidRPr="00503C9F">
              <w:rPr>
                <w:rFonts w:eastAsia="Times New Roman"/>
              </w:rPr>
              <w:t xml:space="preserve"> рівня конкурентоспр</w:t>
            </w:r>
            <w:r w:rsidR="00145120">
              <w:rPr>
                <w:rFonts w:eastAsia="Times New Roman"/>
              </w:rPr>
              <w:t>оможності вітчизняної продукції</w:t>
            </w:r>
          </w:p>
        </w:tc>
        <w:tc>
          <w:tcPr>
            <w:tcW w:w="2923" w:type="dxa"/>
          </w:tcPr>
          <w:p w14:paraId="2C6D870B" w14:textId="7C368FE6" w:rsidR="00441950" w:rsidRPr="00D35E0D" w:rsidRDefault="005829CF" w:rsidP="005367B0">
            <w:pPr>
              <w:jc w:val="both"/>
              <w:rPr>
                <w:rFonts w:eastAsia="Times New Roman"/>
              </w:rPr>
            </w:pPr>
            <w:r w:rsidRPr="00D35E0D">
              <w:rPr>
                <w:rFonts w:eastAsia="Times New Roman"/>
              </w:rPr>
              <w:t>Н</w:t>
            </w:r>
            <w:r w:rsidR="00441950" w:rsidRPr="00D35E0D">
              <w:rPr>
                <w:rFonts w:eastAsia="Times New Roman"/>
              </w:rPr>
              <w:t xml:space="preserve">а </w:t>
            </w:r>
            <w:r w:rsidRPr="00D35E0D">
              <w:rPr>
                <w:rFonts w:eastAsia="Times New Roman"/>
              </w:rPr>
              <w:t>дію</w:t>
            </w:r>
            <w:r w:rsidR="00441950" w:rsidRPr="00D35E0D">
              <w:rPr>
                <w:rFonts w:eastAsia="Times New Roman"/>
              </w:rPr>
              <w:t xml:space="preserve"> зап</w:t>
            </w:r>
            <w:r w:rsidR="00145120" w:rsidRPr="00D35E0D">
              <w:rPr>
                <w:rFonts w:eastAsia="Times New Roman"/>
              </w:rPr>
              <w:t>ропонованого регуляторного акта</w:t>
            </w:r>
            <w:r w:rsidR="00441950" w:rsidRPr="00D35E0D">
              <w:rPr>
                <w:rFonts w:eastAsia="Times New Roman"/>
              </w:rPr>
              <w:t xml:space="preserve"> </w:t>
            </w:r>
            <w:r w:rsidRPr="00D35E0D">
              <w:rPr>
                <w:rFonts w:eastAsia="Times New Roman"/>
              </w:rPr>
              <w:t>можуть вплинути події непереробної сили (воєнний стан тощо)</w:t>
            </w:r>
            <w:r w:rsidR="00E70524">
              <w:rPr>
                <w:rFonts w:eastAsia="Times New Roman"/>
              </w:rPr>
              <w:t>, а також зміни у законодавстві</w:t>
            </w:r>
          </w:p>
        </w:tc>
      </w:tr>
    </w:tbl>
    <w:p w14:paraId="4CD8E851" w14:textId="77777777" w:rsidR="004419DE" w:rsidRDefault="004419DE" w:rsidP="00812031">
      <w:pPr>
        <w:ind w:firstLine="567"/>
        <w:jc w:val="both"/>
        <w:rPr>
          <w:rStyle w:val="font171"/>
          <w:bCs/>
        </w:rPr>
      </w:pPr>
    </w:p>
    <w:p w14:paraId="52C3E556" w14:textId="77777777" w:rsidR="00812031" w:rsidRDefault="00812031" w:rsidP="00812031">
      <w:pPr>
        <w:ind w:firstLine="567"/>
        <w:jc w:val="both"/>
        <w:rPr>
          <w:rStyle w:val="font171"/>
          <w:bCs/>
        </w:rPr>
      </w:pPr>
      <w:r w:rsidRPr="00812031">
        <w:rPr>
          <w:rStyle w:val="font171"/>
          <w:bCs/>
        </w:rPr>
        <w:t>На сьогодні відсутній альтернативний спосіб для оперативного досягнення поставленої мети, крім внесення змін до акта законодавства у запропонованій редакції</w:t>
      </w:r>
      <w:r w:rsidR="00DE607C">
        <w:rPr>
          <w:rStyle w:val="font171"/>
          <w:bCs/>
        </w:rPr>
        <w:t xml:space="preserve"> (Альтернатива 2)</w:t>
      </w:r>
      <w:r w:rsidRPr="00812031">
        <w:rPr>
          <w:rStyle w:val="font171"/>
          <w:bCs/>
        </w:rPr>
        <w:t>.</w:t>
      </w:r>
    </w:p>
    <w:p w14:paraId="4041EC78" w14:textId="77777777" w:rsidR="00812031" w:rsidRPr="00812031" w:rsidRDefault="00812031" w:rsidP="00812031">
      <w:pPr>
        <w:ind w:firstLine="567"/>
        <w:jc w:val="both"/>
        <w:rPr>
          <w:rStyle w:val="font171"/>
          <w:bCs/>
        </w:rPr>
      </w:pPr>
    </w:p>
    <w:p w14:paraId="3C19A00B" w14:textId="77777777" w:rsidR="00B91E6A" w:rsidRDefault="00B91E6A" w:rsidP="005367B0">
      <w:pPr>
        <w:ind w:firstLine="567"/>
        <w:jc w:val="both"/>
      </w:pPr>
      <w:r>
        <w:rPr>
          <w:rStyle w:val="font171"/>
          <w:b/>
          <w:bCs/>
        </w:rPr>
        <w:t>V. Механізми та заходи, які забезпечать розв’язання визначеної проблеми</w:t>
      </w:r>
    </w:p>
    <w:p w14:paraId="3E1DA7C7" w14:textId="77777777" w:rsidR="00F906CB" w:rsidRDefault="00F906CB" w:rsidP="00F906CB">
      <w:pPr>
        <w:jc w:val="both"/>
        <w:rPr>
          <w:rStyle w:val="font171"/>
        </w:rPr>
      </w:pPr>
    </w:p>
    <w:p w14:paraId="12BA58B5" w14:textId="03A03FDA" w:rsidR="00B91E6A" w:rsidRPr="00F906CB" w:rsidRDefault="00B91E6A" w:rsidP="00F906CB">
      <w:pPr>
        <w:ind w:firstLine="567"/>
        <w:jc w:val="both"/>
        <w:rPr>
          <w:sz w:val="28"/>
          <w:szCs w:val="28"/>
        </w:rPr>
      </w:pPr>
      <w:r w:rsidRPr="00F906CB">
        <w:rPr>
          <w:rStyle w:val="font171"/>
        </w:rPr>
        <w:t>1.  Механізм дії регуляторного акта.</w:t>
      </w:r>
      <w:r w:rsidR="00FD5E87" w:rsidRPr="00FD5E87">
        <w:t xml:space="preserve"> </w:t>
      </w:r>
    </w:p>
    <w:p w14:paraId="08893C32" w14:textId="2A51EC2C" w:rsidR="00DC687E" w:rsidRPr="00684320" w:rsidRDefault="00DC687E" w:rsidP="00165016">
      <w:pPr>
        <w:ind w:firstLine="567"/>
        <w:jc w:val="both"/>
        <w:rPr>
          <w:rStyle w:val="font171"/>
        </w:rPr>
      </w:pPr>
      <w:r w:rsidRPr="00684320">
        <w:rPr>
          <w:rStyle w:val="font171"/>
        </w:rPr>
        <w:lastRenderedPageBreak/>
        <w:t>Для розв’язання проблеми, визначеної у розділі І АРВ, пропонується встановити перелік</w:t>
      </w:r>
      <w:r w:rsidR="00684320" w:rsidRPr="00684320">
        <w:rPr>
          <w:rStyle w:val="font171"/>
        </w:rPr>
        <w:t xml:space="preserve"> додаткових документів та відомостей</w:t>
      </w:r>
      <w:r w:rsidRPr="00684320">
        <w:rPr>
          <w:rStyle w:val="font171"/>
        </w:rPr>
        <w:t xml:space="preserve"> </w:t>
      </w:r>
      <w:r w:rsidR="00684320" w:rsidRPr="00684320">
        <w:rPr>
          <w:rStyle w:val="font171"/>
        </w:rPr>
        <w:t xml:space="preserve">про статус преференційного походження товарів українського походження </w:t>
      </w:r>
      <w:r w:rsidR="00E85D0B">
        <w:rPr>
          <w:rStyle w:val="font171"/>
        </w:rPr>
        <w:t xml:space="preserve">та привести цей </w:t>
      </w:r>
      <w:r w:rsidRPr="00684320">
        <w:rPr>
          <w:rStyle w:val="font171"/>
        </w:rPr>
        <w:t>акт у відповідність до</w:t>
      </w:r>
      <w:r w:rsidR="00E70524">
        <w:rPr>
          <w:rStyle w:val="font171"/>
        </w:rPr>
        <w:t xml:space="preserve"> оновленої Конвенції ПЄМ, що</w:t>
      </w:r>
      <w:r w:rsidR="00165016" w:rsidRPr="00684320">
        <w:rPr>
          <w:rStyle w:val="font171"/>
        </w:rPr>
        <w:t xml:space="preserve"> у с</w:t>
      </w:r>
      <w:r w:rsidR="00E70524">
        <w:rPr>
          <w:rStyle w:val="font171"/>
        </w:rPr>
        <w:t xml:space="preserve">вою чергу </w:t>
      </w:r>
      <w:r w:rsidR="00165016" w:rsidRPr="00684320">
        <w:rPr>
          <w:rStyle w:val="font171"/>
        </w:rPr>
        <w:t>дасть змогу суб’єктам господарювання отримати пільги зі</w:t>
      </w:r>
      <w:r w:rsidRPr="00684320">
        <w:rPr>
          <w:rStyle w:val="font171"/>
        </w:rPr>
        <w:t xml:space="preserve"> сплати ввізного мита при експорті </w:t>
      </w:r>
      <w:r w:rsidR="00684320" w:rsidRPr="00684320">
        <w:rPr>
          <w:rStyle w:val="font171"/>
        </w:rPr>
        <w:t xml:space="preserve">товарів </w:t>
      </w:r>
      <w:r w:rsidR="0081327D">
        <w:rPr>
          <w:rStyle w:val="font171"/>
        </w:rPr>
        <w:t>до держав</w:t>
      </w:r>
      <w:r w:rsidRPr="00684320">
        <w:rPr>
          <w:rStyle w:val="font171"/>
        </w:rPr>
        <w:t xml:space="preserve"> призначення Європейського Союзу та сприятиме збільшенню експорту товарів з України </w:t>
      </w:r>
      <w:r w:rsidR="00165016" w:rsidRPr="00684320">
        <w:rPr>
          <w:rStyle w:val="font171"/>
        </w:rPr>
        <w:t xml:space="preserve">із застосуванням пільгового режиму оподаткування на умовах вільної торгівлі </w:t>
      </w:r>
      <w:r w:rsidRPr="00684320">
        <w:rPr>
          <w:rStyle w:val="font171"/>
        </w:rPr>
        <w:t>на основі оновленої Конвенції ПЄМ.</w:t>
      </w:r>
    </w:p>
    <w:p w14:paraId="549BC046" w14:textId="77777777" w:rsidR="00503C9F" w:rsidRPr="00C970E1" w:rsidRDefault="000412AC" w:rsidP="00F906CB">
      <w:pPr>
        <w:ind w:firstLine="567"/>
        <w:jc w:val="both"/>
        <w:rPr>
          <w:rStyle w:val="font141"/>
          <w:sz w:val="28"/>
          <w:szCs w:val="28"/>
        </w:rPr>
      </w:pPr>
      <w:r w:rsidRPr="003B765C">
        <w:rPr>
          <w:rStyle w:val="font171"/>
        </w:rPr>
        <w:t>Реалізація положень наказу</w:t>
      </w:r>
      <w:r w:rsidR="00710A92" w:rsidRPr="003B765C">
        <w:rPr>
          <w:rStyle w:val="font171"/>
        </w:rPr>
        <w:t xml:space="preserve"> </w:t>
      </w:r>
      <w:r w:rsidR="00B91E6A" w:rsidRPr="003B765C">
        <w:rPr>
          <w:rStyle w:val="font171"/>
        </w:rPr>
        <w:t xml:space="preserve">сприятиме </w:t>
      </w:r>
      <w:r w:rsidR="00C970E1" w:rsidRPr="003B765C">
        <w:rPr>
          <w:rStyle w:val="font171"/>
        </w:rPr>
        <w:t>збільшенню експорту товарів</w:t>
      </w:r>
      <w:r w:rsidR="00C970E1" w:rsidRPr="00C970E1">
        <w:rPr>
          <w:rStyle w:val="font141"/>
          <w:sz w:val="28"/>
          <w:szCs w:val="28"/>
        </w:rPr>
        <w:t xml:space="preserve"> з України із застосуванням пільгового режиму оподаткування на умовах вільної торгівлі в країнах призначення товарів на основі</w:t>
      </w:r>
      <w:r w:rsidR="008463E5">
        <w:rPr>
          <w:rStyle w:val="font141"/>
          <w:sz w:val="28"/>
          <w:szCs w:val="28"/>
        </w:rPr>
        <w:t xml:space="preserve"> оновленої Конвенції ПЄМ</w:t>
      </w:r>
      <w:r w:rsidR="00C970E1">
        <w:rPr>
          <w:rStyle w:val="font141"/>
          <w:sz w:val="28"/>
          <w:szCs w:val="28"/>
        </w:rPr>
        <w:t>.</w:t>
      </w:r>
      <w:r w:rsidR="00392588" w:rsidRPr="00C970E1">
        <w:rPr>
          <w:rStyle w:val="font141"/>
          <w:sz w:val="28"/>
          <w:szCs w:val="28"/>
        </w:rPr>
        <w:t xml:space="preserve"> </w:t>
      </w:r>
    </w:p>
    <w:p w14:paraId="762C1385" w14:textId="77777777" w:rsidR="00B91E6A" w:rsidRDefault="00B91E6A" w:rsidP="00F906CB">
      <w:pPr>
        <w:ind w:firstLine="567"/>
        <w:jc w:val="both"/>
        <w:rPr>
          <w:rStyle w:val="font171"/>
        </w:rPr>
      </w:pPr>
      <w:r w:rsidRPr="00F906CB">
        <w:rPr>
          <w:rStyle w:val="font171"/>
        </w:rPr>
        <w:t>2. Організаційні заходи впровадження регуляторного заходу в дію.</w:t>
      </w:r>
    </w:p>
    <w:p w14:paraId="13F5CA35" w14:textId="77777777" w:rsidR="00B91E6A" w:rsidRPr="00F906CB" w:rsidRDefault="00B91E6A" w:rsidP="00F906CB">
      <w:pPr>
        <w:ind w:firstLine="567"/>
        <w:jc w:val="both"/>
        <w:rPr>
          <w:sz w:val="28"/>
          <w:szCs w:val="28"/>
        </w:rPr>
      </w:pPr>
      <w:r w:rsidRPr="00F906CB">
        <w:rPr>
          <w:rStyle w:val="font171"/>
        </w:rPr>
        <w:t>Для в</w:t>
      </w:r>
      <w:r w:rsidR="00E20DDE">
        <w:rPr>
          <w:rStyle w:val="font171"/>
        </w:rPr>
        <w:t>провадження проє</w:t>
      </w:r>
      <w:r w:rsidR="00710A92" w:rsidRPr="00F906CB">
        <w:rPr>
          <w:rStyle w:val="font171"/>
        </w:rPr>
        <w:t>кт</w:t>
      </w:r>
      <w:r w:rsidR="000412AC" w:rsidRPr="00F906CB">
        <w:rPr>
          <w:rStyle w:val="font171"/>
        </w:rPr>
        <w:t>у наказу</w:t>
      </w:r>
      <w:r w:rsidRPr="00F906CB">
        <w:rPr>
          <w:rStyle w:val="font171"/>
        </w:rPr>
        <w:t xml:space="preserve"> необхідно забезпечити інформування громадськості про вимоги регуляторного акта шляхом його оприлюднення в засобах масової інформації та на офіційному вебсайті Міністерства фінансів України.</w:t>
      </w:r>
    </w:p>
    <w:p w14:paraId="5C2EEDCF" w14:textId="77777777" w:rsidR="00B91E6A" w:rsidRDefault="00B91E6A" w:rsidP="00F906CB">
      <w:pPr>
        <w:ind w:firstLine="567"/>
        <w:jc w:val="both"/>
        <w:rPr>
          <w:rStyle w:val="font171"/>
        </w:rPr>
      </w:pPr>
      <w:r w:rsidRPr="00F906CB">
        <w:rPr>
          <w:rStyle w:val="font171"/>
        </w:rPr>
        <w:t>Можлива шкода у разі недосягнення мети регуляторного акта не прогнозується.</w:t>
      </w:r>
    </w:p>
    <w:p w14:paraId="0F660095" w14:textId="06355DB2" w:rsidR="00843EDA" w:rsidRPr="00D35E0D" w:rsidRDefault="00843EDA" w:rsidP="00843EDA">
      <w:pPr>
        <w:ind w:firstLine="567"/>
        <w:jc w:val="both"/>
        <w:rPr>
          <w:rStyle w:val="font171"/>
        </w:rPr>
      </w:pPr>
      <w:r w:rsidRPr="006B3BE6">
        <w:rPr>
          <w:rStyle w:val="font171"/>
        </w:rPr>
        <w:t>Заходи, які необхідно здійснити суб’єктам господарювання</w:t>
      </w:r>
      <w:r w:rsidRPr="00A93C8B">
        <w:rPr>
          <w:rStyle w:val="font171"/>
        </w:rPr>
        <w:t xml:space="preserve">: </w:t>
      </w:r>
      <w:r w:rsidRPr="006B3BE6">
        <w:rPr>
          <w:rStyle w:val="font171"/>
        </w:rPr>
        <w:t xml:space="preserve">ознайомитися з новим регулюванням (пошук та опрацювання регуляторного акта в мережі </w:t>
      </w:r>
      <w:r w:rsidR="00E20DDE" w:rsidRPr="00E20DDE">
        <w:rPr>
          <w:sz w:val="28"/>
          <w:szCs w:val="28"/>
        </w:rPr>
        <w:t>«</w:t>
      </w:r>
      <w:r w:rsidRPr="006B3BE6">
        <w:rPr>
          <w:rStyle w:val="font171"/>
        </w:rPr>
        <w:t>Інтернет</w:t>
      </w:r>
      <w:r w:rsidR="00E20DDE" w:rsidRPr="00D35E0D">
        <w:rPr>
          <w:rStyle w:val="font171"/>
        </w:rPr>
        <w:t>»</w:t>
      </w:r>
      <w:r w:rsidRPr="00D35E0D">
        <w:rPr>
          <w:rStyle w:val="font171"/>
        </w:rPr>
        <w:t>)</w:t>
      </w:r>
      <w:r w:rsidR="00D61639" w:rsidRPr="00D35E0D">
        <w:rPr>
          <w:rStyle w:val="font171"/>
        </w:rPr>
        <w:t xml:space="preserve"> та здійснити організаційні заходи для виконання його вимог.</w:t>
      </w:r>
    </w:p>
    <w:p w14:paraId="57311A8F" w14:textId="77777777" w:rsidR="00E20DDE" w:rsidRDefault="00E20DDE" w:rsidP="00145120">
      <w:pPr>
        <w:ind w:firstLine="567"/>
        <w:jc w:val="both"/>
        <w:rPr>
          <w:rStyle w:val="font171"/>
          <w:b/>
          <w:bCs/>
        </w:rPr>
      </w:pPr>
    </w:p>
    <w:p w14:paraId="11D4D644" w14:textId="77777777" w:rsidR="00B91E6A" w:rsidRPr="005A13ED" w:rsidRDefault="00B91E6A" w:rsidP="00145120">
      <w:pPr>
        <w:ind w:firstLine="567"/>
        <w:jc w:val="both"/>
        <w:rPr>
          <w:rStyle w:val="font171"/>
          <w:sz w:val="24"/>
          <w:szCs w:val="24"/>
        </w:rPr>
      </w:pPr>
      <w:r w:rsidRPr="005A13ED">
        <w:rPr>
          <w:rStyle w:val="font171"/>
          <w:b/>
          <w:bCs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</w:t>
      </w:r>
      <w:r w:rsidR="00145120" w:rsidRPr="005A13ED">
        <w:t xml:space="preserve"> </w:t>
      </w:r>
      <w:r w:rsidRPr="005A13ED">
        <w:rPr>
          <w:rStyle w:val="font171"/>
          <w:b/>
          <w:bCs/>
        </w:rPr>
        <w:t>або виконувати ці вимоги</w:t>
      </w:r>
    </w:p>
    <w:p w14:paraId="2D2C9AEA" w14:textId="77777777" w:rsidR="006F763F" w:rsidRDefault="006F763F" w:rsidP="00843EDA">
      <w:pPr>
        <w:ind w:firstLine="567"/>
        <w:jc w:val="both"/>
        <w:rPr>
          <w:rStyle w:val="font171"/>
        </w:rPr>
      </w:pPr>
    </w:p>
    <w:p w14:paraId="233FBCEE" w14:textId="23DE2FEC" w:rsidR="006F763F" w:rsidRPr="006F763F" w:rsidRDefault="006F763F" w:rsidP="006F763F">
      <w:pPr>
        <w:widowControl w:val="0"/>
        <w:ind w:firstLine="567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6F763F">
        <w:rPr>
          <w:rFonts w:eastAsia="Times New Roman"/>
          <w:bCs/>
          <w:sz w:val="28"/>
          <w:szCs w:val="28"/>
          <w:lang w:eastAsia="ru-RU"/>
        </w:rPr>
        <w:t xml:space="preserve">Для впровадження та виконання вимог регуляторного акта громадяни не нестимуть додаткових витрат, </w:t>
      </w:r>
      <w:r w:rsidR="00CF1605">
        <w:rPr>
          <w:rFonts w:eastAsia="Times New Roman"/>
          <w:bCs/>
          <w:sz w:val="28"/>
          <w:szCs w:val="28"/>
          <w:lang w:eastAsia="ru-RU"/>
        </w:rPr>
        <w:t xml:space="preserve">оскільки положення регуляторного акта </w:t>
      </w:r>
      <w:r w:rsidR="00CF1605" w:rsidRPr="008A4CB0">
        <w:rPr>
          <w:rFonts w:eastAsia="Times New Roman"/>
          <w:bCs/>
          <w:sz w:val="28"/>
          <w:szCs w:val="28"/>
          <w:lang w:eastAsia="ru-RU"/>
        </w:rPr>
        <w:t>не поширюються на сферу діяльності громадян,</w:t>
      </w:r>
      <w:r w:rsidR="00CF1605" w:rsidRPr="006F763F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6F763F">
        <w:rPr>
          <w:rFonts w:eastAsia="Times New Roman"/>
          <w:bCs/>
          <w:sz w:val="28"/>
          <w:szCs w:val="28"/>
          <w:lang w:eastAsia="ru-RU"/>
        </w:rPr>
        <w:t>а суб’єкти господарювання понесуть витрати</w:t>
      </w:r>
      <w:r w:rsidR="00030808">
        <w:rPr>
          <w:rFonts w:eastAsia="Times New Roman"/>
          <w:bCs/>
          <w:sz w:val="28"/>
          <w:szCs w:val="28"/>
          <w:lang w:eastAsia="ru-RU"/>
        </w:rPr>
        <w:t>, пов’язані</w:t>
      </w:r>
      <w:r>
        <w:rPr>
          <w:rFonts w:eastAsia="Times New Roman"/>
          <w:bCs/>
          <w:sz w:val="28"/>
          <w:szCs w:val="28"/>
          <w:lang w:eastAsia="ru-RU"/>
        </w:rPr>
        <w:t xml:space="preserve"> з</w:t>
      </w:r>
      <w:r w:rsidRPr="006F763F">
        <w:rPr>
          <w:rFonts w:eastAsia="Times New Roman"/>
          <w:bCs/>
          <w:sz w:val="28"/>
          <w:szCs w:val="28"/>
          <w:lang w:eastAsia="ru-RU"/>
        </w:rPr>
        <w:t xml:space="preserve"> ознайомленням </w:t>
      </w:r>
      <w:r>
        <w:rPr>
          <w:rFonts w:eastAsia="Times New Roman"/>
          <w:bCs/>
          <w:sz w:val="28"/>
          <w:szCs w:val="28"/>
          <w:lang w:eastAsia="ru-RU"/>
        </w:rPr>
        <w:t xml:space="preserve">з положеннями </w:t>
      </w:r>
      <w:r w:rsidRPr="006F763F">
        <w:rPr>
          <w:rFonts w:eastAsia="Times New Roman"/>
          <w:bCs/>
          <w:sz w:val="28"/>
          <w:szCs w:val="28"/>
          <w:lang w:eastAsia="ru-RU"/>
        </w:rPr>
        <w:t xml:space="preserve">регуляторного акта, підготовкою </w:t>
      </w:r>
      <w:r w:rsidR="00B06F8B">
        <w:rPr>
          <w:rFonts w:eastAsia="Times New Roman"/>
          <w:bCs/>
          <w:sz w:val="28"/>
          <w:szCs w:val="28"/>
          <w:lang w:eastAsia="ru-RU"/>
        </w:rPr>
        <w:t xml:space="preserve">додаткових </w:t>
      </w:r>
      <w:r w:rsidRPr="006F763F">
        <w:rPr>
          <w:rFonts w:eastAsia="Times New Roman"/>
          <w:bCs/>
          <w:sz w:val="28"/>
          <w:szCs w:val="28"/>
          <w:lang w:eastAsia="ru-RU"/>
        </w:rPr>
        <w:t>документів про преференційне походження товарів з України на отримання сертифікатів EUR.1</w:t>
      </w:r>
      <w:r w:rsidR="00C66B54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6F763F">
        <w:rPr>
          <w:rFonts w:eastAsia="Times New Roman"/>
          <w:bCs/>
          <w:sz w:val="28"/>
          <w:szCs w:val="28"/>
          <w:lang w:eastAsia="ru-RU"/>
        </w:rPr>
        <w:t xml:space="preserve">– 48 грн за 1 год (з урахуванням середньої погодинної заробітної плати на 2025 рік) </w:t>
      </w:r>
      <w:r w:rsidR="00BF51C7">
        <w:rPr>
          <w:rFonts w:eastAsia="Times New Roman"/>
          <w:bCs/>
          <w:sz w:val="28"/>
          <w:szCs w:val="28"/>
          <w:lang w:eastAsia="ru-RU"/>
        </w:rPr>
        <w:t>кожним суб’єктом господарювання</w:t>
      </w:r>
      <w:r w:rsidR="00E70524">
        <w:rPr>
          <w:rFonts w:eastAsia="Times New Roman"/>
          <w:bCs/>
          <w:sz w:val="28"/>
          <w:szCs w:val="28"/>
          <w:lang w:eastAsia="ru-RU"/>
        </w:rPr>
        <w:t>,</w:t>
      </w:r>
      <w:r w:rsidR="00CF1605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8A4CB0">
        <w:rPr>
          <w:rFonts w:eastAsia="Times New Roman"/>
          <w:bCs/>
          <w:sz w:val="28"/>
          <w:szCs w:val="28"/>
          <w:lang w:eastAsia="ru-RU"/>
        </w:rPr>
        <w:t xml:space="preserve">загалом </w:t>
      </w:r>
      <w:r w:rsidR="00F525EC" w:rsidRPr="00BF51C7">
        <w:rPr>
          <w:rFonts w:eastAsia="Times New Roman"/>
          <w:sz w:val="28"/>
          <w:szCs w:val="28"/>
          <w:lang w:eastAsia="ru-RU"/>
        </w:rPr>
        <w:t>719,73</w:t>
      </w:r>
      <w:r w:rsidR="00F525EC">
        <w:rPr>
          <w:rFonts w:eastAsia="Times New Roman"/>
          <w:lang w:eastAsia="ru-RU"/>
        </w:rPr>
        <w:t xml:space="preserve"> </w:t>
      </w:r>
      <w:r w:rsidR="00CF1605" w:rsidRPr="007C34EF">
        <w:rPr>
          <w:rFonts w:eastAsia="Times New Roman"/>
          <w:bCs/>
          <w:sz w:val="28"/>
          <w:szCs w:val="28"/>
          <w:lang w:eastAsia="ru-RU"/>
        </w:rPr>
        <w:t>грн</w:t>
      </w:r>
      <w:r w:rsidR="00723DED" w:rsidRPr="007C34EF">
        <w:rPr>
          <w:rStyle w:val="font171"/>
        </w:rPr>
        <w:t xml:space="preserve"> </w:t>
      </w:r>
      <w:r w:rsidR="00E85D0B">
        <w:rPr>
          <w:rStyle w:val="font171"/>
        </w:rPr>
        <w:t>за перший</w:t>
      </w:r>
      <w:r w:rsidR="00723DED">
        <w:rPr>
          <w:rStyle w:val="font171"/>
        </w:rPr>
        <w:t xml:space="preserve"> рік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CF1605">
        <w:rPr>
          <w:rFonts w:eastAsia="Times New Roman"/>
          <w:bCs/>
          <w:sz w:val="28"/>
          <w:szCs w:val="28"/>
          <w:lang w:eastAsia="ru-RU"/>
        </w:rPr>
        <w:t xml:space="preserve">які отримують сертифікати </w:t>
      </w:r>
      <w:r w:rsidR="00CF1605">
        <w:rPr>
          <w:rFonts w:eastAsia="Times New Roman"/>
          <w:bCs/>
          <w:sz w:val="28"/>
          <w:szCs w:val="28"/>
          <w:lang w:val="en-US" w:eastAsia="ru-RU"/>
        </w:rPr>
        <w:t>EUR</w:t>
      </w:r>
      <w:r w:rsidR="00CF1605" w:rsidRPr="009D71F0">
        <w:rPr>
          <w:rFonts w:eastAsia="Times New Roman"/>
          <w:bCs/>
          <w:sz w:val="28"/>
          <w:szCs w:val="28"/>
          <w:lang w:eastAsia="ru-RU"/>
        </w:rPr>
        <w:t>.</w:t>
      </w:r>
      <w:r w:rsidR="009D71F0" w:rsidRPr="009D71F0">
        <w:rPr>
          <w:rFonts w:eastAsia="Times New Roman"/>
          <w:bCs/>
          <w:sz w:val="28"/>
          <w:szCs w:val="28"/>
          <w:lang w:eastAsia="ru-RU"/>
        </w:rPr>
        <w:t>1.</w:t>
      </w:r>
    </w:p>
    <w:p w14:paraId="5F3FB998" w14:textId="7CCB39FD" w:rsidR="006F763F" w:rsidRPr="00D35E0D" w:rsidRDefault="006F763F" w:rsidP="006F763F">
      <w:pPr>
        <w:widowControl w:val="0"/>
        <w:ind w:firstLine="567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6F763F">
        <w:rPr>
          <w:rFonts w:eastAsia="Times New Roman"/>
          <w:bCs/>
          <w:sz w:val="28"/>
          <w:szCs w:val="28"/>
          <w:lang w:eastAsia="ru-RU"/>
        </w:rPr>
        <w:t>Загальна сума фінансових витрат з боку державних органів</w:t>
      </w:r>
      <w:r w:rsidR="00BB4093" w:rsidRPr="00BB4093">
        <w:rPr>
          <w:rFonts w:eastAsia="Times New Roman"/>
          <w:bCs/>
          <w:sz w:val="28"/>
          <w:szCs w:val="28"/>
          <w:lang w:val="ru-RU" w:eastAsia="ru-RU"/>
        </w:rPr>
        <w:t xml:space="preserve"> (</w:t>
      </w:r>
      <w:r w:rsidR="00BB4093" w:rsidRPr="00BB4093">
        <w:rPr>
          <w:rFonts w:eastAsia="Times New Roman"/>
          <w:bCs/>
          <w:sz w:val="28"/>
          <w:szCs w:val="28"/>
          <w:lang w:eastAsia="ru-RU"/>
        </w:rPr>
        <w:t>митні органи</w:t>
      </w:r>
      <w:r w:rsidR="00BB4093" w:rsidRPr="00BB4093">
        <w:rPr>
          <w:rFonts w:eastAsia="Times New Roman"/>
          <w:bCs/>
          <w:sz w:val="28"/>
          <w:szCs w:val="28"/>
          <w:lang w:val="ru-RU" w:eastAsia="ru-RU"/>
        </w:rPr>
        <w:t>)</w:t>
      </w:r>
      <w:r w:rsidRPr="006F763F">
        <w:rPr>
          <w:rFonts w:eastAsia="Times New Roman"/>
          <w:bCs/>
          <w:sz w:val="28"/>
          <w:szCs w:val="28"/>
          <w:lang w:eastAsia="ru-RU"/>
        </w:rPr>
        <w:t>, необхідна для реалізації регул</w:t>
      </w:r>
      <w:r w:rsidR="00003D3F">
        <w:rPr>
          <w:rFonts w:eastAsia="Times New Roman"/>
          <w:bCs/>
          <w:sz w:val="28"/>
          <w:szCs w:val="28"/>
          <w:lang w:eastAsia="ru-RU"/>
        </w:rPr>
        <w:t xml:space="preserve">яторного акта, </w:t>
      </w:r>
      <w:r w:rsidR="00EE2428">
        <w:rPr>
          <w:rFonts w:eastAsia="Times New Roman"/>
          <w:bCs/>
          <w:sz w:val="28"/>
          <w:szCs w:val="28"/>
          <w:lang w:eastAsia="ru-RU"/>
        </w:rPr>
        <w:t xml:space="preserve">на рік </w:t>
      </w:r>
      <w:r w:rsidR="00003D3F">
        <w:rPr>
          <w:rFonts w:eastAsia="Times New Roman"/>
          <w:bCs/>
          <w:sz w:val="28"/>
          <w:szCs w:val="28"/>
          <w:lang w:eastAsia="ru-RU"/>
        </w:rPr>
        <w:t xml:space="preserve">становить </w:t>
      </w:r>
      <w:r w:rsidR="005801E9" w:rsidRPr="005801E9">
        <w:rPr>
          <w:rFonts w:eastAsia="Times New Roman"/>
          <w:bCs/>
          <w:sz w:val="28"/>
          <w:szCs w:val="28"/>
          <w:lang w:eastAsia="ru-RU"/>
        </w:rPr>
        <w:t>13 156 896 грн</w:t>
      </w:r>
      <w:r w:rsidR="00B06F8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6F763F">
        <w:rPr>
          <w:rFonts w:eastAsia="Times New Roman"/>
          <w:bCs/>
          <w:sz w:val="28"/>
          <w:szCs w:val="28"/>
          <w:lang w:eastAsia="ru-RU"/>
        </w:rPr>
        <w:t xml:space="preserve">(з </w:t>
      </w:r>
      <w:r w:rsidRPr="00D35E0D">
        <w:rPr>
          <w:rFonts w:eastAsia="Times New Roman"/>
          <w:bCs/>
          <w:sz w:val="28"/>
          <w:szCs w:val="28"/>
          <w:lang w:eastAsia="ru-RU"/>
        </w:rPr>
        <w:t>урахуванн</w:t>
      </w:r>
      <w:r w:rsidR="00003D3F" w:rsidRPr="00D35E0D">
        <w:rPr>
          <w:rFonts w:eastAsia="Times New Roman"/>
          <w:bCs/>
          <w:sz w:val="28"/>
          <w:szCs w:val="28"/>
          <w:lang w:eastAsia="ru-RU"/>
        </w:rPr>
        <w:t>ям часу на проведення митними органами консультацій за зверненнями суб’єктів господарювання з питань застосування преференційних правил походження й</w:t>
      </w:r>
      <w:r w:rsidR="0021293F" w:rsidRPr="00D35E0D">
        <w:rPr>
          <w:rFonts w:eastAsia="Times New Roman"/>
          <w:bCs/>
          <w:sz w:val="28"/>
          <w:szCs w:val="28"/>
          <w:lang w:eastAsia="ru-RU"/>
        </w:rPr>
        <w:t xml:space="preserve"> надання додаткових документів</w:t>
      </w:r>
      <w:r w:rsidRPr="00D35E0D">
        <w:rPr>
          <w:rFonts w:eastAsia="Times New Roman"/>
          <w:bCs/>
          <w:sz w:val="28"/>
          <w:szCs w:val="28"/>
          <w:lang w:eastAsia="ru-RU"/>
        </w:rPr>
        <w:t xml:space="preserve">). </w:t>
      </w:r>
    </w:p>
    <w:p w14:paraId="2ABFF2D5" w14:textId="441DC9DC" w:rsidR="006F763F" w:rsidRPr="00D35E0D" w:rsidRDefault="00651B55" w:rsidP="006F763F">
      <w:pPr>
        <w:widowControl w:val="0"/>
        <w:ind w:firstLine="567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D35E0D">
        <w:rPr>
          <w:rFonts w:eastAsia="Times New Roman"/>
          <w:bCs/>
          <w:sz w:val="28"/>
          <w:szCs w:val="28"/>
          <w:lang w:eastAsia="ru-RU"/>
        </w:rPr>
        <w:t>В</w:t>
      </w:r>
      <w:r w:rsidR="006F763F" w:rsidRPr="00D35E0D">
        <w:rPr>
          <w:rFonts w:eastAsia="Times New Roman"/>
          <w:bCs/>
          <w:sz w:val="28"/>
          <w:szCs w:val="28"/>
          <w:lang w:eastAsia="ru-RU"/>
        </w:rPr>
        <w:t xml:space="preserve">иконання вимог </w:t>
      </w:r>
      <w:r w:rsidRPr="00D35E0D">
        <w:rPr>
          <w:rFonts w:eastAsia="Times New Roman"/>
          <w:bCs/>
          <w:sz w:val="28"/>
          <w:szCs w:val="28"/>
          <w:lang w:eastAsia="ru-RU"/>
        </w:rPr>
        <w:t xml:space="preserve">акта </w:t>
      </w:r>
      <w:r w:rsidR="006F763F" w:rsidRPr="00D35E0D">
        <w:rPr>
          <w:rFonts w:eastAsia="Times New Roman"/>
          <w:bCs/>
          <w:sz w:val="28"/>
          <w:szCs w:val="28"/>
          <w:lang w:eastAsia="ru-RU"/>
        </w:rPr>
        <w:t xml:space="preserve">буде забезпечено існуючими у структурі митних </w:t>
      </w:r>
      <w:r w:rsidR="006F763F" w:rsidRPr="00D35E0D">
        <w:rPr>
          <w:rFonts w:eastAsia="Times New Roman"/>
          <w:bCs/>
          <w:sz w:val="28"/>
          <w:szCs w:val="28"/>
          <w:lang w:eastAsia="ru-RU"/>
        </w:rPr>
        <w:lastRenderedPageBreak/>
        <w:t>органів підрозділами та здійснюватиметься в межах затверджених бюджетних асигнувань на утримання митних органів.</w:t>
      </w:r>
    </w:p>
    <w:p w14:paraId="20D39D76" w14:textId="202ACD35" w:rsidR="00843EDA" w:rsidRPr="00D35E0D" w:rsidRDefault="00843EDA" w:rsidP="00843EDA">
      <w:pPr>
        <w:ind w:firstLine="567"/>
        <w:jc w:val="both"/>
        <w:rPr>
          <w:rStyle w:val="font171"/>
        </w:rPr>
      </w:pPr>
      <w:r w:rsidRPr="00D35E0D">
        <w:rPr>
          <w:rStyle w:val="font171"/>
        </w:rPr>
        <w:t>Розрахунок витрат, які будуть виникати внаслідок дії регуляторного акта, одного суб’єкта господарювання великого та середнього підприємництва наведено у додатку 1</w:t>
      </w:r>
      <w:r w:rsidR="00651B55" w:rsidRPr="00D35E0D">
        <w:rPr>
          <w:rStyle w:val="font171"/>
        </w:rPr>
        <w:t xml:space="preserve"> до АРВ</w:t>
      </w:r>
      <w:r w:rsidRPr="00D35E0D">
        <w:rPr>
          <w:rStyle w:val="font171"/>
        </w:rPr>
        <w:t>.</w:t>
      </w:r>
    </w:p>
    <w:p w14:paraId="714C87AA" w14:textId="7A3CF5EE" w:rsidR="00FD56D5" w:rsidRPr="00D35E0D" w:rsidRDefault="00843EDA" w:rsidP="00F11C27">
      <w:pPr>
        <w:ind w:firstLine="567"/>
        <w:jc w:val="both"/>
        <w:rPr>
          <w:sz w:val="28"/>
          <w:szCs w:val="28"/>
        </w:rPr>
      </w:pPr>
      <w:r w:rsidRPr="00D35E0D">
        <w:rPr>
          <w:rStyle w:val="font171"/>
        </w:rPr>
        <w:t xml:space="preserve">Оскільки питома вага </w:t>
      </w:r>
      <w:r w:rsidR="00D053EC" w:rsidRPr="00D35E0D">
        <w:rPr>
          <w:rStyle w:val="font171"/>
        </w:rPr>
        <w:t>суб’єктів малого підприємництва</w:t>
      </w:r>
      <w:r w:rsidRPr="00D35E0D">
        <w:rPr>
          <w:rStyle w:val="font171"/>
        </w:rPr>
        <w:t xml:space="preserve"> (малих та мікропідприємств разом) у загальній кількості суб’єктів господарювання, на яких поширюється регулювання, перевищує 10 відсотків, здійснено розрахунок витрат на запровадження державного регулювання для су</w:t>
      </w:r>
      <w:r w:rsidR="00E20DDE" w:rsidRPr="00D35E0D">
        <w:rPr>
          <w:rStyle w:val="font171"/>
        </w:rPr>
        <w:t>б’єктів малого підприємництва (т</w:t>
      </w:r>
      <w:r w:rsidRPr="00D35E0D">
        <w:rPr>
          <w:rStyle w:val="font171"/>
        </w:rPr>
        <w:t>ест малого під</w:t>
      </w:r>
      <w:r w:rsidR="00506DA3" w:rsidRPr="00D35E0D">
        <w:rPr>
          <w:rStyle w:val="font171"/>
        </w:rPr>
        <w:t xml:space="preserve">приємництва наведено у додатку </w:t>
      </w:r>
      <w:r w:rsidR="00406977" w:rsidRPr="00D35E0D">
        <w:rPr>
          <w:rStyle w:val="font171"/>
        </w:rPr>
        <w:t>2</w:t>
      </w:r>
      <w:r w:rsidR="00651B55" w:rsidRPr="00D35E0D">
        <w:rPr>
          <w:rStyle w:val="font171"/>
        </w:rPr>
        <w:t xml:space="preserve"> до АРВ</w:t>
      </w:r>
      <w:r w:rsidRPr="00D35E0D">
        <w:rPr>
          <w:rStyle w:val="font171"/>
        </w:rPr>
        <w:t>).</w:t>
      </w:r>
    </w:p>
    <w:p w14:paraId="1FFD6FC2" w14:textId="77777777" w:rsidR="00FC4BB1" w:rsidRPr="00EF3062" w:rsidRDefault="00FC4BB1" w:rsidP="00F906CB">
      <w:pPr>
        <w:ind w:firstLine="567"/>
        <w:jc w:val="both"/>
        <w:rPr>
          <w:rStyle w:val="font171"/>
          <w:b/>
          <w:bCs/>
        </w:rPr>
      </w:pPr>
    </w:p>
    <w:p w14:paraId="58B527A3" w14:textId="77777777" w:rsidR="00B91E6A" w:rsidRDefault="00773E23" w:rsidP="00F906CB">
      <w:pPr>
        <w:ind w:firstLine="567"/>
        <w:jc w:val="both"/>
      </w:pPr>
      <w:r>
        <w:rPr>
          <w:rStyle w:val="font171"/>
          <w:b/>
          <w:bCs/>
        </w:rPr>
        <w:t>VII. Обгрунтування</w:t>
      </w:r>
      <w:r w:rsidR="00B91E6A">
        <w:rPr>
          <w:rStyle w:val="font171"/>
          <w:b/>
          <w:bCs/>
        </w:rPr>
        <w:t xml:space="preserve"> запропонованого строку дії регуляторного акта</w:t>
      </w:r>
    </w:p>
    <w:p w14:paraId="38BE80F7" w14:textId="77777777" w:rsidR="00FC4BB1" w:rsidRDefault="00FC4BB1" w:rsidP="00F906CB">
      <w:pPr>
        <w:ind w:firstLine="567"/>
        <w:jc w:val="both"/>
        <w:rPr>
          <w:rStyle w:val="font171"/>
        </w:rPr>
      </w:pPr>
    </w:p>
    <w:p w14:paraId="7F665B05" w14:textId="77777777" w:rsidR="00B91E6A" w:rsidRDefault="00B91E6A" w:rsidP="00F906CB">
      <w:pPr>
        <w:ind w:firstLine="567"/>
        <w:jc w:val="both"/>
      </w:pPr>
      <w:r>
        <w:rPr>
          <w:rStyle w:val="font171"/>
        </w:rPr>
        <w:t>Строк дії регуляторного акта є необмеженим, оскільки акти законодавства, на виконання яких розроблено акт, мають необмежений строк дії.</w:t>
      </w:r>
    </w:p>
    <w:p w14:paraId="14BEC01C" w14:textId="77777777" w:rsidR="00B91E6A" w:rsidRDefault="00B91E6A" w:rsidP="00F906CB">
      <w:pPr>
        <w:ind w:firstLine="567"/>
        <w:jc w:val="both"/>
        <w:rPr>
          <w:rStyle w:val="font171"/>
        </w:rPr>
      </w:pPr>
      <w:r>
        <w:rPr>
          <w:rStyle w:val="font171"/>
        </w:rPr>
        <w:t>Зміна строку дії регуляторного акта можлива в разі зміни положень актів законодавства, на виконання яких розроблено регуляторний акт.</w:t>
      </w:r>
    </w:p>
    <w:p w14:paraId="4BF644B7" w14:textId="4B642E73" w:rsidR="00471CEC" w:rsidRDefault="00395CB3" w:rsidP="00F906CB">
      <w:pPr>
        <w:ind w:firstLine="567"/>
        <w:jc w:val="both"/>
        <w:rPr>
          <w:rStyle w:val="font171"/>
        </w:rPr>
      </w:pPr>
      <w:r>
        <w:rPr>
          <w:rStyle w:val="font171"/>
        </w:rPr>
        <w:t>Термін набрання чинності регуляторного акта – відповідно до законодавства з дня його офіційного</w:t>
      </w:r>
      <w:r w:rsidR="00101E58">
        <w:rPr>
          <w:rStyle w:val="font171"/>
        </w:rPr>
        <w:t xml:space="preserve"> опублікування</w:t>
      </w:r>
      <w:r w:rsidR="00A7441D">
        <w:rPr>
          <w:rStyle w:val="font171"/>
        </w:rPr>
        <w:t>.</w:t>
      </w:r>
    </w:p>
    <w:p w14:paraId="74DCBE39" w14:textId="77777777" w:rsidR="00FD56D5" w:rsidRPr="00EE34A6" w:rsidRDefault="00FD56D5" w:rsidP="00F906CB">
      <w:pPr>
        <w:jc w:val="both"/>
        <w:rPr>
          <w:lang w:val="ru-RU"/>
        </w:rPr>
      </w:pPr>
    </w:p>
    <w:p w14:paraId="537A788F" w14:textId="77777777" w:rsidR="00B91E6A" w:rsidRDefault="00B91E6A" w:rsidP="00F906CB">
      <w:pPr>
        <w:ind w:firstLine="567"/>
        <w:jc w:val="both"/>
        <w:rPr>
          <w:rStyle w:val="font171"/>
          <w:b/>
          <w:bCs/>
        </w:rPr>
      </w:pPr>
      <w:r>
        <w:rPr>
          <w:rStyle w:val="font171"/>
          <w:b/>
          <w:bCs/>
        </w:rPr>
        <w:t>VIII. Визначення показників результативності дії регуляторного акта</w:t>
      </w:r>
    </w:p>
    <w:p w14:paraId="1C6FD680" w14:textId="77777777" w:rsidR="00FD56D5" w:rsidRDefault="00FD56D5" w:rsidP="00F906CB">
      <w:pPr>
        <w:ind w:firstLine="567"/>
        <w:jc w:val="both"/>
        <w:rPr>
          <w:rStyle w:val="font171"/>
          <w:lang w:val="ru-RU"/>
        </w:rPr>
      </w:pPr>
    </w:p>
    <w:p w14:paraId="0984AA18" w14:textId="77777777" w:rsidR="00EB48B3" w:rsidRPr="00EB48B3" w:rsidRDefault="00EB48B3" w:rsidP="00EB48B3">
      <w:pPr>
        <w:ind w:firstLine="567"/>
        <w:jc w:val="both"/>
        <w:rPr>
          <w:rStyle w:val="font171"/>
        </w:rPr>
      </w:pPr>
      <w:r w:rsidRPr="00EB48B3">
        <w:rPr>
          <w:rStyle w:val="font171"/>
        </w:rPr>
        <w:t>Прогнозні значення показників резу</w:t>
      </w:r>
      <w:r w:rsidR="00506DA3">
        <w:rPr>
          <w:rStyle w:val="font171"/>
        </w:rPr>
        <w:t>льтативності регуляторного акта</w:t>
      </w:r>
      <w:r w:rsidRPr="00EB48B3">
        <w:rPr>
          <w:rStyle w:val="font171"/>
        </w:rPr>
        <w:t xml:space="preserve"> виражені у кількісній формі:</w:t>
      </w:r>
    </w:p>
    <w:p w14:paraId="417E1A09" w14:textId="77777777" w:rsidR="00EB48B3" w:rsidRPr="00EB48B3" w:rsidRDefault="00EB48B3" w:rsidP="00EB48B3">
      <w:pPr>
        <w:ind w:firstLine="567"/>
        <w:jc w:val="both"/>
        <w:rPr>
          <w:rStyle w:val="font171"/>
        </w:rPr>
      </w:pPr>
      <w:r w:rsidRPr="00EB48B3">
        <w:rPr>
          <w:rStyle w:val="font171"/>
        </w:rPr>
        <w:t xml:space="preserve">кількість суб’єктів господарювання, на яких поширюватиметься дія акта – 6055 осіб; </w:t>
      </w:r>
    </w:p>
    <w:p w14:paraId="1DB99168" w14:textId="1DE145B5" w:rsidR="00EB48B3" w:rsidRPr="00EB48B3" w:rsidRDefault="00EB48B3" w:rsidP="00EB48B3">
      <w:pPr>
        <w:ind w:firstLine="567"/>
        <w:jc w:val="both"/>
        <w:rPr>
          <w:rStyle w:val="font171"/>
        </w:rPr>
      </w:pPr>
      <w:r w:rsidRPr="00EB48B3">
        <w:rPr>
          <w:rStyle w:val="font171"/>
        </w:rPr>
        <w:t xml:space="preserve">розмір коштів і час, що витрачатимуться суб’єктами господарювання, пов’язаними з виконанням вимог акта: </w:t>
      </w:r>
      <w:r w:rsidRPr="00D35E0D">
        <w:rPr>
          <w:rStyle w:val="font171"/>
        </w:rPr>
        <w:t xml:space="preserve">у </w:t>
      </w:r>
      <w:r w:rsidR="00FC4BB1">
        <w:rPr>
          <w:rStyle w:val="font171"/>
        </w:rPr>
        <w:t xml:space="preserve">грошовому еквіваленті – </w:t>
      </w:r>
      <w:r w:rsidR="00723DED">
        <w:rPr>
          <w:rStyle w:val="font171"/>
        </w:rPr>
        <w:t xml:space="preserve">                                </w:t>
      </w:r>
      <w:r w:rsidR="00894961" w:rsidRPr="00D35E0D">
        <w:rPr>
          <w:rStyle w:val="font171"/>
        </w:rPr>
        <w:t>4 357 965,15</w:t>
      </w:r>
      <w:r w:rsidR="008A2D71">
        <w:rPr>
          <w:rStyle w:val="font171"/>
        </w:rPr>
        <w:t xml:space="preserve"> грн</w:t>
      </w:r>
      <w:r w:rsidR="00894961" w:rsidRPr="00D35E0D">
        <w:rPr>
          <w:rStyle w:val="font171"/>
        </w:rPr>
        <w:t xml:space="preserve"> за перший рік, 20 627 265,75</w:t>
      </w:r>
      <w:r w:rsidR="008A2D71">
        <w:rPr>
          <w:rStyle w:val="font171"/>
        </w:rPr>
        <w:t xml:space="preserve"> грн</w:t>
      </w:r>
      <w:r w:rsidR="00894961" w:rsidRPr="00D35E0D">
        <w:rPr>
          <w:rStyle w:val="font171"/>
        </w:rPr>
        <w:t xml:space="preserve"> за п’ять років</w:t>
      </w:r>
      <w:r w:rsidRPr="00EB48B3">
        <w:rPr>
          <w:rStyle w:val="font171"/>
        </w:rPr>
        <w:t xml:space="preserve">; у часовому </w:t>
      </w:r>
      <w:r w:rsidR="00E70524">
        <w:rPr>
          <w:rStyle w:val="font171"/>
        </w:rPr>
        <w:t xml:space="preserve">                  </w:t>
      </w:r>
      <w:r w:rsidRPr="00EB48B3">
        <w:rPr>
          <w:rStyle w:val="font171"/>
        </w:rPr>
        <w:t>– 1</w:t>
      </w:r>
      <w:r w:rsidR="00FC4BB1">
        <w:rPr>
          <w:rStyle w:val="font171"/>
        </w:rPr>
        <w:t>1</w:t>
      </w:r>
      <w:r w:rsidRPr="00EB48B3">
        <w:rPr>
          <w:rStyle w:val="font171"/>
        </w:rPr>
        <w:t xml:space="preserve"> год</w:t>
      </w:r>
      <w:r w:rsidR="00723DED">
        <w:rPr>
          <w:rStyle w:val="font171"/>
        </w:rPr>
        <w:t xml:space="preserve"> </w:t>
      </w:r>
      <w:r w:rsidR="00FC4BB1">
        <w:rPr>
          <w:rStyle w:val="font171"/>
        </w:rPr>
        <w:t>на одного суб’єкта господарювання</w:t>
      </w:r>
      <w:r w:rsidRPr="00EB48B3">
        <w:rPr>
          <w:rStyle w:val="font171"/>
        </w:rPr>
        <w:t>;</w:t>
      </w:r>
    </w:p>
    <w:p w14:paraId="730BF6DB" w14:textId="77777777" w:rsidR="00EB48B3" w:rsidRDefault="00EB48B3" w:rsidP="00506DA3">
      <w:pPr>
        <w:ind w:firstLine="567"/>
        <w:jc w:val="both"/>
        <w:rPr>
          <w:rStyle w:val="font171"/>
        </w:rPr>
      </w:pPr>
      <w:r w:rsidRPr="00EB48B3">
        <w:rPr>
          <w:rStyle w:val="font171"/>
        </w:rPr>
        <w:t xml:space="preserve">рівень поінформованості суб’єктів господарювання з основних положень проєкту регуляторного акта </w:t>
      </w:r>
      <w:r w:rsidR="00506DA3">
        <w:rPr>
          <w:rStyle w:val="font171"/>
        </w:rPr>
        <w:t xml:space="preserve">– 100 відс. </w:t>
      </w:r>
      <w:r w:rsidRPr="00EB48B3">
        <w:rPr>
          <w:rStyle w:val="font171"/>
        </w:rPr>
        <w:t>(оприлюднений на офіційному вебсайті Міністерства фінансів України).</w:t>
      </w:r>
    </w:p>
    <w:p w14:paraId="2B01E201" w14:textId="0BC4D225" w:rsidR="002123EB" w:rsidRPr="00BC5838" w:rsidRDefault="00101E58" w:rsidP="00101E58">
      <w:pPr>
        <w:ind w:firstLine="567"/>
        <w:jc w:val="both"/>
        <w:rPr>
          <w:rStyle w:val="font171"/>
        </w:rPr>
      </w:pPr>
      <w:r w:rsidRPr="00BF51C7">
        <w:rPr>
          <w:rStyle w:val="font171"/>
        </w:rPr>
        <w:t>Розмір надходжень до державного та місцевих бюджетів і державних цільових фондів, пов’язаних з дією акта – надходження не передбачаються, оскільки сертифікат EUR.1 є документом, який дає право</w:t>
      </w:r>
      <w:r w:rsidR="00B3359C" w:rsidRPr="00BF51C7">
        <w:rPr>
          <w:rStyle w:val="font171"/>
        </w:rPr>
        <w:t xml:space="preserve"> на застосування пільги зі сплати вивізного мита.</w:t>
      </w:r>
      <w:r w:rsidR="00F525EC" w:rsidRPr="00BF51C7">
        <w:rPr>
          <w:rStyle w:val="font171"/>
        </w:rPr>
        <w:t xml:space="preserve"> </w:t>
      </w:r>
      <w:r w:rsidR="00A02146" w:rsidRPr="00BF51C7">
        <w:rPr>
          <w:rStyle w:val="font171"/>
        </w:rPr>
        <w:t>З урахуванням обсягів експорту товарів на умовах оновленої Конвенції ПЄМ в</w:t>
      </w:r>
      <w:r w:rsidR="00F525EC" w:rsidRPr="00BF51C7">
        <w:rPr>
          <w:rStyle w:val="font171"/>
        </w:rPr>
        <w:t xml:space="preserve">трати надходжень до бюджету </w:t>
      </w:r>
      <w:r w:rsidR="00A02146" w:rsidRPr="00BF51C7">
        <w:rPr>
          <w:rStyle w:val="font171"/>
        </w:rPr>
        <w:t xml:space="preserve">від застосування пільги зі сплати </w:t>
      </w:r>
      <w:r w:rsidR="00F525EC" w:rsidRPr="00BF51C7">
        <w:rPr>
          <w:rStyle w:val="font171"/>
        </w:rPr>
        <w:t>вивізн</w:t>
      </w:r>
      <w:r w:rsidR="004416B8">
        <w:rPr>
          <w:rStyle w:val="font171"/>
        </w:rPr>
        <w:t>ого мита орієнтовно становитимуть</w:t>
      </w:r>
      <w:r w:rsidR="00F525EC" w:rsidRPr="00BF51C7">
        <w:rPr>
          <w:rStyle w:val="font171"/>
        </w:rPr>
        <w:t xml:space="preserve"> </w:t>
      </w:r>
      <w:r w:rsidR="00F017AB">
        <w:rPr>
          <w:rStyle w:val="font171"/>
        </w:rPr>
        <w:t xml:space="preserve">                    </w:t>
      </w:r>
      <w:r w:rsidR="004416B8">
        <w:rPr>
          <w:rStyle w:val="font171"/>
        </w:rPr>
        <w:t>84 млн</w:t>
      </w:r>
      <w:r w:rsidR="00F525EC" w:rsidRPr="00BF51C7">
        <w:rPr>
          <w:rStyle w:val="font171"/>
        </w:rPr>
        <w:t xml:space="preserve"> </w:t>
      </w:r>
      <w:r w:rsidR="00A02146" w:rsidRPr="00BF51C7">
        <w:rPr>
          <w:rStyle w:val="font171"/>
        </w:rPr>
        <w:t>грн на рік.</w:t>
      </w:r>
      <w:r w:rsidR="008E3386">
        <w:rPr>
          <w:rStyle w:val="font171"/>
        </w:rPr>
        <w:t xml:space="preserve"> </w:t>
      </w:r>
      <w:r w:rsidR="008E3386" w:rsidRPr="00BC5838">
        <w:rPr>
          <w:rStyle w:val="font171"/>
        </w:rPr>
        <w:t xml:space="preserve">В той же час </w:t>
      </w:r>
      <w:r w:rsidR="001A353D">
        <w:rPr>
          <w:rStyle w:val="font171"/>
        </w:rPr>
        <w:t>пільгові умови оподаткуван</w:t>
      </w:r>
      <w:r w:rsidR="00CE3524">
        <w:rPr>
          <w:rStyle w:val="font171"/>
        </w:rPr>
        <w:t xml:space="preserve">ня </w:t>
      </w:r>
      <w:r w:rsidR="002D2D54">
        <w:rPr>
          <w:rStyle w:val="font171"/>
        </w:rPr>
        <w:t>забезпечать</w:t>
      </w:r>
      <w:r w:rsidR="008E3386" w:rsidRPr="00BC5838">
        <w:rPr>
          <w:rStyle w:val="font171"/>
        </w:rPr>
        <w:t xml:space="preserve"> можливість </w:t>
      </w:r>
      <w:r w:rsidR="001A353D">
        <w:rPr>
          <w:rStyle w:val="font171"/>
        </w:rPr>
        <w:t xml:space="preserve">суб’єктам господарювання </w:t>
      </w:r>
      <w:r w:rsidR="00BC5838" w:rsidRPr="00BC5838">
        <w:rPr>
          <w:rStyle w:val="font171"/>
        </w:rPr>
        <w:t>підвищити рівень конкурентоспроможності вітчизняної продукції на зовнішніх ринках</w:t>
      </w:r>
      <w:r w:rsidR="00BC5838">
        <w:rPr>
          <w:rStyle w:val="font171"/>
        </w:rPr>
        <w:t>.</w:t>
      </w:r>
    </w:p>
    <w:p w14:paraId="2D0A129E" w14:textId="77777777" w:rsidR="00EB48B3" w:rsidRPr="00EB48B3" w:rsidRDefault="00506DA3" w:rsidP="00EB48B3">
      <w:pPr>
        <w:ind w:firstLine="567"/>
        <w:jc w:val="both"/>
        <w:rPr>
          <w:rStyle w:val="font171"/>
        </w:rPr>
      </w:pPr>
      <w:r>
        <w:rPr>
          <w:rStyle w:val="font171"/>
        </w:rPr>
        <w:lastRenderedPageBreak/>
        <w:t>Після видання</w:t>
      </w:r>
      <w:r w:rsidR="00EB48B3" w:rsidRPr="00EB48B3">
        <w:rPr>
          <w:rStyle w:val="font171"/>
        </w:rPr>
        <w:t xml:space="preserve"> наказу він буде оприлюднений в установленому законодавством порядку. </w:t>
      </w:r>
    </w:p>
    <w:p w14:paraId="7678EFF7" w14:textId="77777777" w:rsidR="00EB48B3" w:rsidRPr="00D77340" w:rsidRDefault="00EB48B3" w:rsidP="00EB48B3">
      <w:pPr>
        <w:ind w:firstLine="567"/>
        <w:jc w:val="both"/>
        <w:rPr>
          <w:rStyle w:val="font171"/>
        </w:rPr>
      </w:pPr>
      <w:r w:rsidRPr="00D77340">
        <w:rPr>
          <w:rStyle w:val="font171"/>
        </w:rPr>
        <w:t>Додаткові показники результативності регуляторного акта:</w:t>
      </w:r>
    </w:p>
    <w:p w14:paraId="189ADC41" w14:textId="5D3775C5" w:rsidR="00EB48B3" w:rsidRPr="00D77340" w:rsidRDefault="00EB48B3" w:rsidP="00564B14">
      <w:pPr>
        <w:ind w:firstLine="567"/>
        <w:jc w:val="both"/>
        <w:rPr>
          <w:rStyle w:val="font171"/>
        </w:rPr>
      </w:pPr>
      <w:r w:rsidRPr="00D77340">
        <w:rPr>
          <w:rStyle w:val="font171"/>
        </w:rPr>
        <w:t>кількість виданих митними органами сертифікатів EUR.1</w:t>
      </w:r>
      <w:r w:rsidR="00FC4BB1" w:rsidRPr="00D77340">
        <w:rPr>
          <w:rStyle w:val="font171"/>
        </w:rPr>
        <w:t xml:space="preserve"> </w:t>
      </w:r>
      <w:r w:rsidRPr="00D77340">
        <w:rPr>
          <w:rStyle w:val="font171"/>
        </w:rPr>
        <w:t>на умовах оновленої Конвенції ПЄМ</w:t>
      </w:r>
      <w:r w:rsidR="00564B14" w:rsidRPr="00D77340">
        <w:rPr>
          <w:rStyle w:val="font171"/>
        </w:rPr>
        <w:t xml:space="preserve">. Прогнозні показники виданих митними органами сертифікатів EUR.1 на умовах оновленої Конвенції ПЄМ можуть становити </w:t>
      </w:r>
      <w:r w:rsidR="00F017AB">
        <w:rPr>
          <w:rStyle w:val="font171"/>
        </w:rPr>
        <w:t xml:space="preserve">                     </w:t>
      </w:r>
      <w:r w:rsidR="00564B14" w:rsidRPr="00D77340">
        <w:rPr>
          <w:rStyle w:val="font171"/>
        </w:rPr>
        <w:t>150 тис. шт. на рік;</w:t>
      </w:r>
    </w:p>
    <w:p w14:paraId="08007778" w14:textId="1F045B1B" w:rsidR="00EB48B3" w:rsidRPr="00D77340" w:rsidRDefault="00FC4BB1" w:rsidP="00EB48B3">
      <w:pPr>
        <w:ind w:firstLine="567"/>
        <w:jc w:val="both"/>
        <w:rPr>
          <w:rStyle w:val="font171"/>
        </w:rPr>
      </w:pPr>
      <w:r w:rsidRPr="00D77340">
        <w:rPr>
          <w:rStyle w:val="font171"/>
        </w:rPr>
        <w:t>кількість підприємств, якими отримано статус уповноваженого (схваленого) експортера</w:t>
      </w:r>
      <w:r w:rsidR="002D46FA" w:rsidRPr="00D77340">
        <w:rPr>
          <w:rStyle w:val="font171"/>
          <w:lang w:val="ru-RU"/>
        </w:rPr>
        <w:t xml:space="preserve">. </w:t>
      </w:r>
      <w:r w:rsidR="002D46FA" w:rsidRPr="00D77340">
        <w:rPr>
          <w:rStyle w:val="font171"/>
        </w:rPr>
        <w:t>Прогнозні показники кількості підприємств, якими буде отримано статус уповноваженого (схваленого) експортера на умовах оновленої Конвенції ПЄМ</w:t>
      </w:r>
      <w:r w:rsidR="004416B8">
        <w:rPr>
          <w:rStyle w:val="font171"/>
        </w:rPr>
        <w:t>,</w:t>
      </w:r>
      <w:r w:rsidR="002D46FA" w:rsidRPr="00D77340">
        <w:rPr>
          <w:rStyle w:val="font171"/>
        </w:rPr>
        <w:t xml:space="preserve"> можуть становити 1</w:t>
      </w:r>
      <w:r w:rsidR="002D46FA" w:rsidRPr="00D77340">
        <w:rPr>
          <w:rStyle w:val="font171"/>
          <w:lang w:val="ru-RU"/>
        </w:rPr>
        <w:t>0</w:t>
      </w:r>
      <w:r w:rsidR="002D46FA" w:rsidRPr="00D77340">
        <w:rPr>
          <w:rStyle w:val="font171"/>
        </w:rPr>
        <w:t xml:space="preserve"> підприємств на рік</w:t>
      </w:r>
      <w:r w:rsidR="004419DE" w:rsidRPr="00D77340">
        <w:rPr>
          <w:rStyle w:val="font171"/>
          <w:lang w:val="ru-RU"/>
        </w:rPr>
        <w:t>;</w:t>
      </w:r>
      <w:r w:rsidR="00564B14" w:rsidRPr="00D77340">
        <w:rPr>
          <w:rStyle w:val="font171"/>
        </w:rPr>
        <w:t xml:space="preserve"> </w:t>
      </w:r>
    </w:p>
    <w:p w14:paraId="69B73204" w14:textId="0527E6B7" w:rsidR="004419DE" w:rsidRPr="00D77340" w:rsidRDefault="00FC4BB1" w:rsidP="00F906CB">
      <w:pPr>
        <w:ind w:firstLine="567"/>
        <w:jc w:val="both"/>
        <w:rPr>
          <w:rStyle w:val="font171"/>
        </w:rPr>
      </w:pPr>
      <w:r w:rsidRPr="00D77340">
        <w:rPr>
          <w:rStyle w:val="font171"/>
        </w:rPr>
        <w:t xml:space="preserve">кількість експортних митних декларацій, оформлених із сертифікатом </w:t>
      </w:r>
      <w:r w:rsidRPr="00D77340">
        <w:rPr>
          <w:rStyle w:val="font171"/>
          <w:lang w:val="en-US"/>
        </w:rPr>
        <w:t>EUR</w:t>
      </w:r>
      <w:r w:rsidRPr="00D77340">
        <w:rPr>
          <w:rStyle w:val="font171"/>
        </w:rPr>
        <w:t>.1</w:t>
      </w:r>
      <w:r w:rsidR="002D46FA" w:rsidRPr="00D77340">
        <w:rPr>
          <w:rStyle w:val="font171"/>
        </w:rPr>
        <w:t xml:space="preserve">. Прогнозні показники кількості експортних митних декларацій, оформлених із сертифікатом </w:t>
      </w:r>
      <w:r w:rsidR="002D46FA" w:rsidRPr="00D77340">
        <w:rPr>
          <w:rStyle w:val="font171"/>
          <w:lang w:val="en-US"/>
        </w:rPr>
        <w:t>EUR</w:t>
      </w:r>
      <w:r w:rsidR="002D46FA" w:rsidRPr="00D77340">
        <w:rPr>
          <w:rStyle w:val="font171"/>
        </w:rPr>
        <w:t>.1 на умовах оновленої Конвенції П</w:t>
      </w:r>
      <w:r w:rsidR="004419DE" w:rsidRPr="00D77340">
        <w:rPr>
          <w:rStyle w:val="font171"/>
        </w:rPr>
        <w:t>ЄМ</w:t>
      </w:r>
      <w:r w:rsidR="004416B8">
        <w:rPr>
          <w:rStyle w:val="font171"/>
        </w:rPr>
        <w:t>,</w:t>
      </w:r>
      <w:r w:rsidR="004419DE" w:rsidRPr="00D77340">
        <w:rPr>
          <w:rStyle w:val="font171"/>
        </w:rPr>
        <w:t xml:space="preserve"> можуть становити 1</w:t>
      </w:r>
      <w:r w:rsidR="002D46FA" w:rsidRPr="00D77340">
        <w:rPr>
          <w:rStyle w:val="font171"/>
        </w:rPr>
        <w:t> 000 шт. на рік</w:t>
      </w:r>
      <w:r w:rsidR="004419DE" w:rsidRPr="00D77340">
        <w:rPr>
          <w:rStyle w:val="font171"/>
          <w:lang w:val="ru-RU"/>
        </w:rPr>
        <w:t>;</w:t>
      </w:r>
      <w:r w:rsidRPr="00D77340">
        <w:rPr>
          <w:rStyle w:val="font171"/>
        </w:rPr>
        <w:t xml:space="preserve"> </w:t>
      </w:r>
    </w:p>
    <w:p w14:paraId="72AAA45D" w14:textId="7A52D553" w:rsidR="002D46FA" w:rsidRPr="00D77340" w:rsidRDefault="00A02146" w:rsidP="00F906CB">
      <w:pPr>
        <w:ind w:firstLine="567"/>
        <w:jc w:val="both"/>
        <w:rPr>
          <w:rStyle w:val="font171"/>
        </w:rPr>
      </w:pPr>
      <w:r>
        <w:rPr>
          <w:rStyle w:val="font171"/>
        </w:rPr>
        <w:t>сума пільги</w:t>
      </w:r>
      <w:r w:rsidR="00FC4BB1" w:rsidRPr="00D77340">
        <w:rPr>
          <w:rStyle w:val="font171"/>
        </w:rPr>
        <w:t xml:space="preserve"> зі сплати вивізного мита.</w:t>
      </w:r>
      <w:r w:rsidR="00564B14" w:rsidRPr="00D77340">
        <w:rPr>
          <w:rStyle w:val="font171"/>
        </w:rPr>
        <w:t xml:space="preserve"> </w:t>
      </w:r>
      <w:r w:rsidR="002D46FA" w:rsidRPr="00D77340">
        <w:rPr>
          <w:rStyle w:val="font171"/>
        </w:rPr>
        <w:t xml:space="preserve">Прогнозні показники суми </w:t>
      </w:r>
      <w:r>
        <w:rPr>
          <w:rStyle w:val="font171"/>
        </w:rPr>
        <w:t>пільги</w:t>
      </w:r>
      <w:r w:rsidR="002D46FA" w:rsidRPr="00D77340">
        <w:rPr>
          <w:rStyle w:val="font171"/>
        </w:rPr>
        <w:t xml:space="preserve"> зі сплати вивізного мита на умовах оновленої Конвенц</w:t>
      </w:r>
      <w:r w:rsidR="004416B8">
        <w:rPr>
          <w:rStyle w:val="font171"/>
        </w:rPr>
        <w:t>ії ПЄМ можуть становити 100 млн гривень.</w:t>
      </w:r>
    </w:p>
    <w:p w14:paraId="1DCC4C6D" w14:textId="1770815E" w:rsidR="00C81928" w:rsidRPr="00D77340" w:rsidRDefault="002D46FA" w:rsidP="00F906CB">
      <w:pPr>
        <w:ind w:firstLine="567"/>
        <w:jc w:val="both"/>
        <w:rPr>
          <w:rStyle w:val="font171"/>
          <w:b/>
          <w:bCs/>
        </w:rPr>
      </w:pPr>
      <w:r w:rsidRPr="00D77340">
        <w:rPr>
          <w:rStyle w:val="font171"/>
        </w:rPr>
        <w:t xml:space="preserve"> </w:t>
      </w:r>
      <w:bookmarkStart w:id="4" w:name="bookmark16"/>
      <w:bookmarkEnd w:id="4"/>
    </w:p>
    <w:p w14:paraId="419CB15D" w14:textId="77777777" w:rsidR="00B91E6A" w:rsidRDefault="00B91E6A" w:rsidP="00F906CB">
      <w:pPr>
        <w:ind w:firstLine="567"/>
        <w:jc w:val="both"/>
      </w:pPr>
      <w:r>
        <w:rPr>
          <w:rStyle w:val="font171"/>
          <w:b/>
          <w:bCs/>
        </w:rPr>
        <w:t>IX. Визначення заходів, за допомогою</w:t>
      </w:r>
      <w:r w:rsidR="00823235">
        <w:rPr>
          <w:rStyle w:val="font171"/>
          <w:b/>
          <w:bCs/>
        </w:rPr>
        <w:t xml:space="preserve"> яких здійснюва</w:t>
      </w:r>
      <w:r w:rsidR="00430304">
        <w:rPr>
          <w:rStyle w:val="font171"/>
          <w:b/>
          <w:bCs/>
        </w:rPr>
        <w:t xml:space="preserve">тиметься </w:t>
      </w:r>
      <w:r>
        <w:rPr>
          <w:rStyle w:val="font171"/>
          <w:b/>
          <w:bCs/>
        </w:rPr>
        <w:t xml:space="preserve">відстеження </w:t>
      </w:r>
      <w:r w:rsidR="00823235">
        <w:rPr>
          <w:rStyle w:val="font171"/>
          <w:b/>
          <w:bCs/>
        </w:rPr>
        <w:t>результативності дії</w:t>
      </w:r>
      <w:r>
        <w:rPr>
          <w:rStyle w:val="font171"/>
          <w:b/>
          <w:bCs/>
        </w:rPr>
        <w:t xml:space="preserve"> регуляторного акта</w:t>
      </w:r>
    </w:p>
    <w:p w14:paraId="334D065E" w14:textId="77777777" w:rsidR="00F906CB" w:rsidRDefault="00F906CB" w:rsidP="00F906CB">
      <w:pPr>
        <w:jc w:val="both"/>
        <w:rPr>
          <w:rStyle w:val="font171"/>
        </w:rPr>
      </w:pPr>
    </w:p>
    <w:p w14:paraId="2CFA05DD" w14:textId="77777777" w:rsidR="006E76A6" w:rsidRPr="004419DE" w:rsidRDefault="006E76A6" w:rsidP="006E76A6">
      <w:pPr>
        <w:ind w:firstLine="567"/>
        <w:jc w:val="both"/>
        <w:rPr>
          <w:rStyle w:val="font171"/>
        </w:rPr>
      </w:pPr>
      <w:r w:rsidRPr="004419DE">
        <w:rPr>
          <w:rStyle w:val="font171"/>
        </w:rPr>
        <w:t xml:space="preserve">У разі прийняття регуляторного акта послідовно здійснюватиметься базове, повторне та періодичне відстеження його результативності згідно зі статтею 10 Закону України «Про засади державної регуляторної політики у сфері господарської діяльності». </w:t>
      </w:r>
    </w:p>
    <w:p w14:paraId="0EBFAE3A" w14:textId="77777777" w:rsidR="006E76A6" w:rsidRPr="004419DE" w:rsidRDefault="006E76A6" w:rsidP="006E76A6">
      <w:pPr>
        <w:ind w:firstLine="567"/>
        <w:jc w:val="both"/>
        <w:rPr>
          <w:rStyle w:val="font171"/>
        </w:rPr>
      </w:pPr>
      <w:r w:rsidRPr="004419DE">
        <w:rPr>
          <w:rStyle w:val="font171"/>
        </w:rPr>
        <w:t xml:space="preserve">Метод проведення відстеження результативності – статистичний. </w:t>
      </w:r>
    </w:p>
    <w:p w14:paraId="6A8BB0B9" w14:textId="588469A6" w:rsidR="006E76A6" w:rsidRPr="004419DE" w:rsidRDefault="006E76A6" w:rsidP="006E76A6">
      <w:pPr>
        <w:ind w:firstLine="567"/>
        <w:jc w:val="both"/>
        <w:rPr>
          <w:rStyle w:val="font171"/>
          <w:lang w:val="ru-RU"/>
        </w:rPr>
      </w:pPr>
      <w:r w:rsidRPr="004419DE">
        <w:rPr>
          <w:rStyle w:val="font171"/>
        </w:rPr>
        <w:t xml:space="preserve">Базове відстеження результативності акта буде здійснюватися у І кварталі </w:t>
      </w:r>
      <w:r w:rsidR="004416B8">
        <w:rPr>
          <w:rStyle w:val="font171"/>
        </w:rPr>
        <w:t>2026 року</w:t>
      </w:r>
      <w:r w:rsidR="008D4101" w:rsidRPr="004419DE">
        <w:rPr>
          <w:rStyle w:val="font171"/>
        </w:rPr>
        <w:t xml:space="preserve"> після набрання чинності актом</w:t>
      </w:r>
      <w:r w:rsidRPr="004419DE">
        <w:rPr>
          <w:rStyle w:val="font171"/>
        </w:rPr>
        <w:t xml:space="preserve">, оскільки для цього використовуватимуться виключно статистичні показники. </w:t>
      </w:r>
    </w:p>
    <w:p w14:paraId="0C079841" w14:textId="132D5BAC" w:rsidR="006E76A6" w:rsidRPr="004419DE" w:rsidRDefault="006E76A6" w:rsidP="006E76A6">
      <w:pPr>
        <w:ind w:firstLine="567"/>
        <w:jc w:val="both"/>
        <w:rPr>
          <w:rStyle w:val="font171"/>
        </w:rPr>
      </w:pPr>
      <w:r w:rsidRPr="004419DE">
        <w:rPr>
          <w:rStyle w:val="font171"/>
        </w:rPr>
        <w:t>Повторне відстеження результативності акта буде здійснюватися не пізніше I кварталу 2027 року шляхом аналізу статистичних даних порівняно з базовим відстеженням.</w:t>
      </w:r>
    </w:p>
    <w:p w14:paraId="1A68B06F" w14:textId="77777777" w:rsidR="006E76A6" w:rsidRPr="004419DE" w:rsidRDefault="006E76A6" w:rsidP="006E76A6">
      <w:pPr>
        <w:ind w:firstLine="567"/>
        <w:jc w:val="both"/>
        <w:rPr>
          <w:rStyle w:val="font171"/>
          <w:lang w:val="ru-RU"/>
        </w:rPr>
      </w:pPr>
      <w:r w:rsidRPr="004419DE">
        <w:rPr>
          <w:rStyle w:val="font171"/>
        </w:rPr>
        <w:t>Періодичне відстеження результативності акта буде здійснюватися раз на кожні три роки</w:t>
      </w:r>
      <w:r w:rsidR="00506DA3" w:rsidRPr="004419DE">
        <w:rPr>
          <w:rStyle w:val="font171"/>
        </w:rPr>
        <w:t>,</w:t>
      </w:r>
      <w:r w:rsidRPr="004419DE">
        <w:rPr>
          <w:rStyle w:val="font171"/>
        </w:rPr>
        <w:t xml:space="preserve"> починаючи з дня закінчення заходів з повторного відстеження результативності цього акта. </w:t>
      </w:r>
    </w:p>
    <w:p w14:paraId="3D455C5B" w14:textId="77777777" w:rsidR="006E76A6" w:rsidRPr="004419DE" w:rsidRDefault="006E76A6" w:rsidP="006E76A6">
      <w:pPr>
        <w:ind w:firstLine="567"/>
        <w:jc w:val="both"/>
        <w:rPr>
          <w:rStyle w:val="font171"/>
          <w:lang w:val="ru-RU"/>
        </w:rPr>
      </w:pPr>
      <w:r w:rsidRPr="004419DE">
        <w:rPr>
          <w:rStyle w:val="font171"/>
        </w:rPr>
        <w:t xml:space="preserve">Установлені кількісні показники результативності акта порівнюються із значенням аналогічних показників, встановлених під час повторного відстеження. </w:t>
      </w:r>
    </w:p>
    <w:p w14:paraId="28F4D438" w14:textId="77777777" w:rsidR="006E76A6" w:rsidRPr="004419DE" w:rsidRDefault="006E76A6" w:rsidP="006E76A6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419DE">
        <w:rPr>
          <w:rFonts w:eastAsia="Times New Roman"/>
          <w:sz w:val="28"/>
          <w:szCs w:val="28"/>
          <w:lang w:eastAsia="ru-RU"/>
        </w:rPr>
        <w:t>Виконавець заходів відстеження – Державна митна служба України.</w:t>
      </w:r>
    </w:p>
    <w:p w14:paraId="537E34EB" w14:textId="77777777" w:rsidR="00D75EF8" w:rsidRPr="006E76A6" w:rsidRDefault="006E76A6" w:rsidP="006E76A6">
      <w:pPr>
        <w:ind w:firstLine="567"/>
        <w:jc w:val="both"/>
        <w:rPr>
          <w:rStyle w:val="font171"/>
          <w:b/>
        </w:rPr>
      </w:pPr>
      <w:r w:rsidRPr="006E76A6">
        <w:rPr>
          <w:rStyle w:val="font171"/>
        </w:rPr>
        <w:lastRenderedPageBreak/>
        <w:t>У разі надходження пропозицій та зауважень щодо вирішення неврегульованих або проблемних питань</w:t>
      </w:r>
      <w:r w:rsidR="00506DA3">
        <w:rPr>
          <w:rStyle w:val="font171"/>
        </w:rPr>
        <w:t>,</w:t>
      </w:r>
      <w:r w:rsidRPr="006E76A6">
        <w:rPr>
          <w:rStyle w:val="font171"/>
        </w:rPr>
        <w:t xml:space="preserve"> буде розглянуто необхідність внесення відповідних змін.</w:t>
      </w:r>
    </w:p>
    <w:p w14:paraId="2BC10DA3" w14:textId="77777777" w:rsidR="00341072" w:rsidRDefault="00341072" w:rsidP="00F906CB">
      <w:pPr>
        <w:jc w:val="both"/>
        <w:rPr>
          <w:rStyle w:val="font171"/>
        </w:rPr>
      </w:pPr>
    </w:p>
    <w:p w14:paraId="65D176BA" w14:textId="77777777" w:rsidR="0097613B" w:rsidRDefault="0097613B" w:rsidP="00F906CB">
      <w:pPr>
        <w:jc w:val="both"/>
        <w:rPr>
          <w:rStyle w:val="font171"/>
        </w:rPr>
      </w:pPr>
    </w:p>
    <w:p w14:paraId="2E096964" w14:textId="77777777" w:rsidR="0097613B" w:rsidRDefault="00506DA3" w:rsidP="00F906CB">
      <w:pPr>
        <w:jc w:val="both"/>
        <w:rPr>
          <w:rStyle w:val="font171"/>
        </w:rPr>
      </w:pPr>
      <w:r w:rsidRPr="00506DA3">
        <w:rPr>
          <w:rStyle w:val="font171"/>
        </w:rPr>
        <w:t>В. о. Голови</w:t>
      </w:r>
      <w:r w:rsidR="0097613B">
        <w:rPr>
          <w:rStyle w:val="font171"/>
        </w:rPr>
        <w:t xml:space="preserve"> Державної</w:t>
      </w:r>
    </w:p>
    <w:p w14:paraId="1452CAA2" w14:textId="2FC4AA11" w:rsidR="00F11C27" w:rsidRDefault="0097613B" w:rsidP="00F906CB">
      <w:pPr>
        <w:jc w:val="both"/>
        <w:rPr>
          <w:rStyle w:val="font171"/>
        </w:rPr>
      </w:pPr>
      <w:r>
        <w:rPr>
          <w:rStyle w:val="font171"/>
        </w:rPr>
        <w:t>митної служби України</w:t>
      </w:r>
      <w:r w:rsidR="00506DA3" w:rsidRPr="00506DA3">
        <w:rPr>
          <w:rStyle w:val="font171"/>
        </w:rPr>
        <w:t xml:space="preserve">                                         </w:t>
      </w:r>
      <w:r>
        <w:rPr>
          <w:rStyle w:val="font171"/>
        </w:rPr>
        <w:t xml:space="preserve">                  </w:t>
      </w:r>
      <w:r w:rsidR="00E111A7">
        <w:rPr>
          <w:rStyle w:val="font171"/>
        </w:rPr>
        <w:t xml:space="preserve"> </w:t>
      </w:r>
      <w:r w:rsidR="00506DA3" w:rsidRPr="00506DA3">
        <w:rPr>
          <w:rStyle w:val="font171"/>
        </w:rPr>
        <w:t xml:space="preserve"> Сергій ЗВЯГІНЦЕВ</w:t>
      </w:r>
    </w:p>
    <w:p w14:paraId="4B535810" w14:textId="77777777" w:rsidR="00A95395" w:rsidRDefault="00A95395" w:rsidP="00506DA3">
      <w:pPr>
        <w:ind w:left="6096"/>
        <w:jc w:val="both"/>
        <w:rPr>
          <w:rFonts w:eastAsia="Times New Roman"/>
          <w:bCs/>
          <w:szCs w:val="28"/>
        </w:rPr>
        <w:sectPr w:rsidR="00A95395" w:rsidSect="00E84F7F">
          <w:headerReference w:type="default" r:id="rId9"/>
          <w:pgSz w:w="11906" w:h="16838"/>
          <w:pgMar w:top="1134" w:right="567" w:bottom="1843" w:left="1701" w:header="709" w:footer="709" w:gutter="0"/>
          <w:cols w:space="708"/>
          <w:titlePg/>
          <w:docGrid w:linePitch="360"/>
        </w:sectPr>
      </w:pPr>
    </w:p>
    <w:p w14:paraId="68BD90B0" w14:textId="77777777" w:rsidR="00506DA3" w:rsidRPr="00506DA3" w:rsidRDefault="00506DA3" w:rsidP="00506DA3">
      <w:pPr>
        <w:ind w:left="6096"/>
        <w:jc w:val="both"/>
        <w:rPr>
          <w:rFonts w:eastAsia="Times New Roman"/>
          <w:bCs/>
          <w:szCs w:val="28"/>
        </w:rPr>
      </w:pPr>
      <w:r w:rsidRPr="00506DA3">
        <w:rPr>
          <w:rFonts w:eastAsia="Times New Roman"/>
          <w:bCs/>
          <w:szCs w:val="28"/>
        </w:rPr>
        <w:lastRenderedPageBreak/>
        <w:t>Додаток 1</w:t>
      </w:r>
    </w:p>
    <w:p w14:paraId="4B64AFEA" w14:textId="77777777" w:rsidR="00506DA3" w:rsidRPr="00506DA3" w:rsidRDefault="00506DA3" w:rsidP="00506DA3">
      <w:pPr>
        <w:ind w:left="6096"/>
        <w:jc w:val="both"/>
        <w:rPr>
          <w:rFonts w:eastAsia="Times New Roman"/>
          <w:bCs/>
          <w:szCs w:val="28"/>
        </w:rPr>
      </w:pPr>
      <w:r w:rsidRPr="00506DA3">
        <w:rPr>
          <w:rFonts w:eastAsia="Times New Roman"/>
          <w:bCs/>
          <w:szCs w:val="28"/>
        </w:rPr>
        <w:t>до аналізу регуляторного впливу</w:t>
      </w:r>
    </w:p>
    <w:p w14:paraId="38B39C0F" w14:textId="00014056" w:rsidR="004419DE" w:rsidRPr="00506DA3" w:rsidRDefault="004419DE" w:rsidP="004419DE">
      <w:pPr>
        <w:jc w:val="center"/>
        <w:rPr>
          <w:b/>
          <w:sz w:val="28"/>
          <w:szCs w:val="28"/>
        </w:rPr>
      </w:pPr>
      <w:r w:rsidRPr="00506DA3">
        <w:rPr>
          <w:b/>
          <w:sz w:val="28"/>
          <w:szCs w:val="28"/>
        </w:rPr>
        <w:t>ВИТРАТИ</w:t>
      </w:r>
      <w:r w:rsidR="001367D8" w:rsidRPr="008A2D71">
        <w:rPr>
          <w:b/>
          <w:sz w:val="28"/>
          <w:szCs w:val="28"/>
        </w:rPr>
        <w:t>*</w:t>
      </w:r>
    </w:p>
    <w:p w14:paraId="5D76BB52" w14:textId="77777777" w:rsidR="004419DE" w:rsidRPr="00506DA3" w:rsidRDefault="004419DE" w:rsidP="004419DE">
      <w:pPr>
        <w:jc w:val="center"/>
        <w:rPr>
          <w:b/>
          <w:sz w:val="28"/>
          <w:szCs w:val="28"/>
        </w:rPr>
      </w:pPr>
      <w:r w:rsidRPr="00506DA3">
        <w:rPr>
          <w:b/>
          <w:sz w:val="28"/>
          <w:szCs w:val="28"/>
        </w:rPr>
        <w:t>на одного суб’єкта господарювання великого та середнього підприємництва, які виникають внаслідок дії регуляторного акта</w:t>
      </w:r>
    </w:p>
    <w:p w14:paraId="2EFD2AC2" w14:textId="7044C090" w:rsidR="004419DE" w:rsidRDefault="00D77340" w:rsidP="004419DE">
      <w:pPr>
        <w:jc w:val="center"/>
        <w:rPr>
          <w:b/>
        </w:rPr>
      </w:pPr>
      <w:r>
        <w:rPr>
          <w:b/>
        </w:rPr>
        <w:t xml:space="preserve">(Альтернатива </w:t>
      </w:r>
      <w:r>
        <w:rPr>
          <w:b/>
          <w:lang w:val="en-US"/>
        </w:rPr>
        <w:t>1</w:t>
      </w:r>
      <w:r w:rsidR="004419DE" w:rsidRPr="00506DA3">
        <w:rPr>
          <w:b/>
        </w:rPr>
        <w:t>)</w:t>
      </w:r>
    </w:p>
    <w:p w14:paraId="415E1284" w14:textId="189C4994" w:rsidR="004419DE" w:rsidRPr="00506DA3" w:rsidRDefault="004419DE" w:rsidP="004419DE">
      <w:pPr>
        <w:jc w:val="center"/>
        <w:rPr>
          <w:b/>
        </w:rPr>
      </w:pP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58"/>
        <w:gridCol w:w="5651"/>
        <w:gridCol w:w="1495"/>
        <w:gridCol w:w="1473"/>
      </w:tblGrid>
      <w:tr w:rsidR="004419DE" w:rsidRPr="00506DA3" w14:paraId="2B6B5BB4" w14:textId="77777777" w:rsidTr="005307BB">
        <w:trPr>
          <w:tblHeader/>
          <w:jc w:val="center"/>
        </w:trPr>
        <w:tc>
          <w:tcPr>
            <w:tcW w:w="681" w:type="pct"/>
            <w:hideMark/>
          </w:tcPr>
          <w:p w14:paraId="50F93B14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2832" w:type="pct"/>
            <w:hideMark/>
          </w:tcPr>
          <w:p w14:paraId="045C420A" w14:textId="77777777" w:rsidR="004419DE" w:rsidRPr="00506DA3" w:rsidRDefault="004419DE" w:rsidP="00723DED">
            <w:pPr>
              <w:spacing w:before="150" w:after="150"/>
              <w:ind w:right="19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</w:t>
            </w:r>
          </w:p>
        </w:tc>
        <w:tc>
          <w:tcPr>
            <w:tcW w:w="749" w:type="pct"/>
            <w:hideMark/>
          </w:tcPr>
          <w:p w14:paraId="625E2FF4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За перший рік</w:t>
            </w:r>
          </w:p>
        </w:tc>
        <w:tc>
          <w:tcPr>
            <w:tcW w:w="738" w:type="pct"/>
            <w:hideMark/>
          </w:tcPr>
          <w:p w14:paraId="526297EE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За п’ять років</w:t>
            </w:r>
          </w:p>
        </w:tc>
      </w:tr>
      <w:tr w:rsidR="00D77340" w:rsidRPr="00EA4F0B" w14:paraId="29E92FC8" w14:textId="77777777" w:rsidTr="005307BB">
        <w:trPr>
          <w:jc w:val="center"/>
        </w:trPr>
        <w:tc>
          <w:tcPr>
            <w:tcW w:w="681" w:type="pct"/>
            <w:hideMark/>
          </w:tcPr>
          <w:p w14:paraId="50A9E4DA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32" w:type="pct"/>
            <w:hideMark/>
          </w:tcPr>
          <w:p w14:paraId="20BD5E95" w14:textId="3EBF7095" w:rsidR="00D77340" w:rsidRPr="00506DA3" w:rsidRDefault="00D77340" w:rsidP="00D77340">
            <w:pPr>
              <w:spacing w:before="150" w:after="150"/>
              <w:ind w:left="13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 xml:space="preserve">Витрати на придбання основних фондів, обладнання та приладів, сервісне обслуговування, навчання/підвищення кваліфікації персоналу </w:t>
            </w:r>
            <w:r w:rsidRPr="00D77340">
              <w:rPr>
                <w:rFonts w:eastAsia="Times New Roman"/>
                <w:lang w:eastAsia="ru-RU"/>
              </w:rPr>
              <w:t xml:space="preserve">тощо, </w:t>
            </w:r>
            <w:r w:rsidRPr="00506DA3">
              <w:rPr>
                <w:rFonts w:eastAsia="Times New Roman"/>
                <w:lang w:eastAsia="ru-RU"/>
              </w:rPr>
              <w:t>гривень</w:t>
            </w:r>
          </w:p>
        </w:tc>
        <w:tc>
          <w:tcPr>
            <w:tcW w:w="749" w:type="pct"/>
            <w:vAlign w:val="center"/>
            <w:hideMark/>
          </w:tcPr>
          <w:p w14:paraId="1BE23660" w14:textId="783AB4B8" w:rsidR="00D77340" w:rsidRPr="00D77340" w:rsidRDefault="00D77340" w:rsidP="00723DED">
            <w:pPr>
              <w:spacing w:before="150" w:after="150"/>
              <w:jc w:val="center"/>
              <w:rPr>
                <w:rFonts w:eastAsia="Times New Roman"/>
                <w:lang w:val="en-US" w:eastAsia="ru-RU"/>
              </w:rPr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504CB5D9" w14:textId="08AD4CB2" w:rsidR="00D77340" w:rsidRPr="00EA4F0B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t>–</w:t>
            </w:r>
          </w:p>
        </w:tc>
      </w:tr>
      <w:tr w:rsidR="004419DE" w:rsidRPr="00506DA3" w14:paraId="5E3DA7FE" w14:textId="77777777" w:rsidTr="005307BB">
        <w:trPr>
          <w:trHeight w:val="1001"/>
          <w:jc w:val="center"/>
        </w:trPr>
        <w:tc>
          <w:tcPr>
            <w:tcW w:w="681" w:type="pct"/>
            <w:hideMark/>
          </w:tcPr>
          <w:p w14:paraId="71DADF59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32" w:type="pct"/>
            <w:hideMark/>
          </w:tcPr>
          <w:p w14:paraId="74B75569" w14:textId="6F091586" w:rsidR="00D77340" w:rsidRPr="005A65AA" w:rsidRDefault="004419DE" w:rsidP="005A65AA">
            <w:pPr>
              <w:spacing w:before="150" w:after="150"/>
              <w:ind w:left="130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749" w:type="pct"/>
            <w:vAlign w:val="center"/>
            <w:hideMark/>
          </w:tcPr>
          <w:p w14:paraId="3854958E" w14:textId="784684D5" w:rsidR="004419DE" w:rsidRPr="00BF51C7" w:rsidRDefault="00183CF6" w:rsidP="008A2D71">
            <w:pPr>
              <w:jc w:val="center"/>
            </w:pPr>
            <w:r w:rsidRPr="00BF51C7">
              <w:t>13866</w:t>
            </w:r>
          </w:p>
        </w:tc>
        <w:tc>
          <w:tcPr>
            <w:tcW w:w="738" w:type="pct"/>
            <w:vAlign w:val="center"/>
            <w:hideMark/>
          </w:tcPr>
          <w:p w14:paraId="1FFA3E88" w14:textId="5C056713" w:rsidR="004419DE" w:rsidRPr="00BF51C7" w:rsidRDefault="00183CF6" w:rsidP="005307BB">
            <w:pPr>
              <w:jc w:val="center"/>
            </w:pPr>
            <w:r w:rsidRPr="00BF51C7">
              <w:t>69330</w:t>
            </w:r>
          </w:p>
        </w:tc>
      </w:tr>
      <w:tr w:rsidR="004419DE" w:rsidRPr="00506DA3" w14:paraId="7FA60CDB" w14:textId="77777777" w:rsidTr="005307BB">
        <w:trPr>
          <w:jc w:val="center"/>
        </w:trPr>
        <w:tc>
          <w:tcPr>
            <w:tcW w:w="681" w:type="pct"/>
            <w:hideMark/>
          </w:tcPr>
          <w:p w14:paraId="7E62AB23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32" w:type="pct"/>
            <w:hideMark/>
          </w:tcPr>
          <w:p w14:paraId="2A4C6530" w14:textId="77777777" w:rsidR="004419DE" w:rsidRPr="00506DA3" w:rsidRDefault="004419DE" w:rsidP="00723DED">
            <w:pPr>
              <w:spacing w:before="150" w:after="150"/>
              <w:ind w:left="13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749" w:type="pct"/>
            <w:vAlign w:val="center"/>
            <w:hideMark/>
          </w:tcPr>
          <w:p w14:paraId="4FD2A57F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5F23E8C7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</w:tr>
      <w:tr w:rsidR="004419DE" w:rsidRPr="00506DA3" w14:paraId="4E362F9B" w14:textId="77777777" w:rsidTr="005307BB">
        <w:trPr>
          <w:jc w:val="center"/>
        </w:trPr>
        <w:tc>
          <w:tcPr>
            <w:tcW w:w="681" w:type="pct"/>
            <w:hideMark/>
          </w:tcPr>
          <w:p w14:paraId="20482359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32" w:type="pct"/>
            <w:hideMark/>
          </w:tcPr>
          <w:p w14:paraId="0A80D57E" w14:textId="77777777" w:rsidR="004419DE" w:rsidRPr="00506DA3" w:rsidRDefault="004419DE" w:rsidP="00723DED">
            <w:pPr>
              <w:spacing w:before="150" w:after="150"/>
              <w:ind w:left="13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749" w:type="pct"/>
            <w:vAlign w:val="center"/>
          </w:tcPr>
          <w:p w14:paraId="0B8AF32E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</w:tcPr>
          <w:p w14:paraId="6C9FEC39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</w:tr>
      <w:tr w:rsidR="00D77340" w:rsidRPr="00506DA3" w14:paraId="08D16ED0" w14:textId="77777777" w:rsidTr="005307BB">
        <w:trPr>
          <w:jc w:val="center"/>
        </w:trPr>
        <w:tc>
          <w:tcPr>
            <w:tcW w:w="681" w:type="pct"/>
            <w:hideMark/>
          </w:tcPr>
          <w:p w14:paraId="0FCD328A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32" w:type="pct"/>
            <w:hideMark/>
          </w:tcPr>
          <w:p w14:paraId="4E189AD2" w14:textId="77777777" w:rsidR="00D77340" w:rsidRPr="00183CF6" w:rsidRDefault="00D77340" w:rsidP="00723DED">
            <w:pPr>
              <w:spacing w:before="150" w:after="150"/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183CF6">
              <w:rPr>
                <w:rFonts w:eastAsia="Times New Roman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749" w:type="pct"/>
            <w:vAlign w:val="center"/>
            <w:hideMark/>
          </w:tcPr>
          <w:p w14:paraId="20F83718" w14:textId="4720813D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6D664E29" w14:textId="4E662AD1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</w:tr>
      <w:tr w:rsidR="00D77340" w:rsidRPr="00506DA3" w14:paraId="06CD41DE" w14:textId="77777777" w:rsidTr="005307BB">
        <w:trPr>
          <w:jc w:val="center"/>
        </w:trPr>
        <w:tc>
          <w:tcPr>
            <w:tcW w:w="681" w:type="pct"/>
            <w:hideMark/>
          </w:tcPr>
          <w:p w14:paraId="6594D509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32" w:type="pct"/>
            <w:hideMark/>
          </w:tcPr>
          <w:p w14:paraId="19BDB24F" w14:textId="77777777" w:rsidR="00D77340" w:rsidRPr="00183CF6" w:rsidRDefault="00D77340" w:rsidP="00723DED">
            <w:pPr>
              <w:spacing w:before="150" w:after="150"/>
              <w:ind w:left="130"/>
              <w:jc w:val="both"/>
              <w:rPr>
                <w:rFonts w:eastAsia="Times New Roman"/>
                <w:lang w:eastAsia="ru-RU"/>
              </w:rPr>
            </w:pPr>
            <w:r w:rsidRPr="00183CF6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749" w:type="pct"/>
            <w:vAlign w:val="center"/>
            <w:hideMark/>
          </w:tcPr>
          <w:p w14:paraId="1D6E33BA" w14:textId="50D9838B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27C334CC" w14:textId="44DF37F2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</w:tr>
      <w:tr w:rsidR="004419DE" w:rsidRPr="00506DA3" w14:paraId="4F364A8F" w14:textId="77777777" w:rsidTr="005307BB">
        <w:trPr>
          <w:jc w:val="center"/>
        </w:trPr>
        <w:tc>
          <w:tcPr>
            <w:tcW w:w="681" w:type="pct"/>
            <w:hideMark/>
          </w:tcPr>
          <w:p w14:paraId="0B648744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832" w:type="pct"/>
            <w:hideMark/>
          </w:tcPr>
          <w:p w14:paraId="2AA5F639" w14:textId="77777777" w:rsidR="004419DE" w:rsidRPr="00506DA3" w:rsidRDefault="004419DE" w:rsidP="00723DED">
            <w:pPr>
              <w:spacing w:before="150" w:after="150"/>
              <w:ind w:left="130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Витрати, пов’язані із наймом додаткового персоналу, гривень</w:t>
            </w:r>
          </w:p>
        </w:tc>
        <w:tc>
          <w:tcPr>
            <w:tcW w:w="749" w:type="pct"/>
            <w:vAlign w:val="center"/>
            <w:hideMark/>
          </w:tcPr>
          <w:p w14:paraId="3BE3BD3A" w14:textId="77777777" w:rsidR="004419DE" w:rsidRPr="00506DA3" w:rsidRDefault="004419DE" w:rsidP="00723DED">
            <w:pPr>
              <w:jc w:val="center"/>
            </w:pPr>
            <w:r w:rsidRPr="00506DA3">
              <w:rPr>
                <w:sz w:val="28"/>
                <w:szCs w:val="28"/>
              </w:rPr>
              <w:t>–</w:t>
            </w:r>
          </w:p>
        </w:tc>
        <w:tc>
          <w:tcPr>
            <w:tcW w:w="738" w:type="pct"/>
            <w:vAlign w:val="center"/>
            <w:hideMark/>
          </w:tcPr>
          <w:p w14:paraId="2ADF2FB7" w14:textId="77777777" w:rsidR="004419DE" w:rsidRPr="00EA4F0B" w:rsidRDefault="004419DE" w:rsidP="00723DED">
            <w:pPr>
              <w:jc w:val="center"/>
            </w:pPr>
            <w:r w:rsidRPr="00506DA3">
              <w:rPr>
                <w:sz w:val="28"/>
                <w:szCs w:val="28"/>
              </w:rPr>
              <w:t>–</w:t>
            </w:r>
          </w:p>
        </w:tc>
      </w:tr>
      <w:tr w:rsidR="00D77340" w:rsidRPr="00506DA3" w14:paraId="65E4DEB3" w14:textId="77777777" w:rsidTr="002F3E15">
        <w:trPr>
          <w:jc w:val="center"/>
        </w:trPr>
        <w:tc>
          <w:tcPr>
            <w:tcW w:w="681" w:type="pct"/>
            <w:hideMark/>
          </w:tcPr>
          <w:p w14:paraId="70D729EF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832" w:type="pct"/>
            <w:vAlign w:val="center"/>
            <w:hideMark/>
          </w:tcPr>
          <w:p w14:paraId="0970BBCD" w14:textId="77777777" w:rsidR="00D77340" w:rsidRPr="00506DA3" w:rsidRDefault="00D77340" w:rsidP="002F3E15">
            <w:pPr>
              <w:ind w:left="130" w:right="19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Інше (уточнити), гривень</w:t>
            </w:r>
          </w:p>
          <w:p w14:paraId="44E15242" w14:textId="42722797" w:rsidR="00D77340" w:rsidRPr="00506DA3" w:rsidRDefault="00D77340" w:rsidP="002F3E15">
            <w:pPr>
              <w:ind w:left="130" w:right="19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14:paraId="131D7CF4" w14:textId="6989CC6A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sz w:val="28"/>
                <w:szCs w:val="28"/>
              </w:rPr>
              <w:t>–</w:t>
            </w:r>
          </w:p>
        </w:tc>
        <w:tc>
          <w:tcPr>
            <w:tcW w:w="738" w:type="pct"/>
            <w:vAlign w:val="center"/>
            <w:hideMark/>
          </w:tcPr>
          <w:p w14:paraId="6CE34542" w14:textId="075C07B2" w:rsidR="00D77340" w:rsidRPr="00506DA3" w:rsidRDefault="00D77340" w:rsidP="00723DED">
            <w:pPr>
              <w:jc w:val="center"/>
            </w:pPr>
            <w:r w:rsidRPr="00506DA3">
              <w:rPr>
                <w:sz w:val="28"/>
                <w:szCs w:val="28"/>
              </w:rPr>
              <w:t>–</w:t>
            </w:r>
          </w:p>
        </w:tc>
      </w:tr>
      <w:tr w:rsidR="00183CF6" w:rsidRPr="00506DA3" w14:paraId="587207E6" w14:textId="77777777" w:rsidTr="005307BB">
        <w:trPr>
          <w:jc w:val="center"/>
        </w:trPr>
        <w:tc>
          <w:tcPr>
            <w:tcW w:w="681" w:type="pct"/>
            <w:hideMark/>
          </w:tcPr>
          <w:p w14:paraId="18405E42" w14:textId="77777777" w:rsidR="00183CF6" w:rsidRPr="00506DA3" w:rsidRDefault="00183CF6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832" w:type="pct"/>
            <w:hideMark/>
          </w:tcPr>
          <w:p w14:paraId="786CCCA9" w14:textId="77777777" w:rsidR="00183CF6" w:rsidRPr="00506DA3" w:rsidRDefault="00183CF6" w:rsidP="00723DED">
            <w:pPr>
              <w:spacing w:before="150" w:after="150"/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749" w:type="pct"/>
            <w:vAlign w:val="center"/>
            <w:hideMark/>
          </w:tcPr>
          <w:p w14:paraId="00F46290" w14:textId="1835CB2D" w:rsidR="00183CF6" w:rsidRPr="00506DA3" w:rsidRDefault="00183CF6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t>13</w:t>
            </w:r>
            <w:r w:rsidR="008A2D71">
              <w:t xml:space="preserve"> </w:t>
            </w:r>
            <w:r>
              <w:t>866</w:t>
            </w:r>
            <w:r w:rsidRPr="00D77340">
              <w:t xml:space="preserve"> </w:t>
            </w:r>
          </w:p>
        </w:tc>
        <w:tc>
          <w:tcPr>
            <w:tcW w:w="738" w:type="pct"/>
            <w:vAlign w:val="center"/>
            <w:hideMark/>
          </w:tcPr>
          <w:p w14:paraId="3A75E8D5" w14:textId="62C03791" w:rsidR="00183CF6" w:rsidRPr="000129EF" w:rsidRDefault="00183CF6" w:rsidP="00723DED">
            <w:pPr>
              <w:jc w:val="center"/>
              <w:rPr>
                <w:lang w:val="en-US"/>
              </w:rPr>
            </w:pPr>
            <w:r>
              <w:t>69</w:t>
            </w:r>
            <w:r w:rsidR="008A2D71">
              <w:t xml:space="preserve"> </w:t>
            </w:r>
            <w:r>
              <w:t>330</w:t>
            </w:r>
          </w:p>
        </w:tc>
      </w:tr>
      <w:tr w:rsidR="00183CF6" w:rsidRPr="00131580" w14:paraId="1A288470" w14:textId="77777777" w:rsidTr="00183CF6">
        <w:trPr>
          <w:trHeight w:val="962"/>
          <w:jc w:val="center"/>
        </w:trPr>
        <w:tc>
          <w:tcPr>
            <w:tcW w:w="681" w:type="pct"/>
            <w:hideMark/>
          </w:tcPr>
          <w:p w14:paraId="29A5E3AA" w14:textId="77777777" w:rsidR="00183CF6" w:rsidRPr="00131580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832" w:type="pct"/>
            <w:hideMark/>
          </w:tcPr>
          <w:p w14:paraId="5C1BB3D1" w14:textId="77777777" w:rsidR="00183CF6" w:rsidRDefault="00183CF6" w:rsidP="00723DED">
            <w:pPr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  <w:p w14:paraId="2DCE4892" w14:textId="19104DED" w:rsidR="00183CF6" w:rsidRPr="00131580" w:rsidRDefault="005A65AA" w:rsidP="00723DED">
            <w:pPr>
              <w:ind w:left="130" w:right="129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к</w:t>
            </w:r>
            <w:r w:rsidR="00183CF6" w:rsidRPr="00657B59">
              <w:rPr>
                <w:rFonts w:eastAsia="Times New Roman"/>
                <w:i/>
                <w:sz w:val="22"/>
                <w:szCs w:val="22"/>
                <w:lang w:eastAsia="ru-RU"/>
              </w:rPr>
              <w:t>ількість великих та середніх суб’єктів господарювання визначено з урахуванням вартісних показників обсягів експортних операцій, здійснених суб’єктами господарювання із сертифікатами EUR.1</w:t>
            </w: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49" w:type="pct"/>
            <w:vAlign w:val="center"/>
          </w:tcPr>
          <w:p w14:paraId="5DC2D53D" w14:textId="6D74BF37" w:rsidR="00183CF6" w:rsidRPr="00131580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1878</w:t>
            </w:r>
          </w:p>
        </w:tc>
        <w:tc>
          <w:tcPr>
            <w:tcW w:w="738" w:type="pct"/>
            <w:vAlign w:val="center"/>
          </w:tcPr>
          <w:p w14:paraId="167B7AF3" w14:textId="32D89366" w:rsidR="00183CF6" w:rsidRPr="00131580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1878</w:t>
            </w:r>
          </w:p>
        </w:tc>
      </w:tr>
      <w:tr w:rsidR="00183CF6" w:rsidRPr="00131580" w14:paraId="30245604" w14:textId="77777777" w:rsidTr="00723DED">
        <w:trPr>
          <w:jc w:val="center"/>
        </w:trPr>
        <w:tc>
          <w:tcPr>
            <w:tcW w:w="681" w:type="pct"/>
            <w:hideMark/>
          </w:tcPr>
          <w:p w14:paraId="1F6D6D18" w14:textId="77777777" w:rsidR="00183CF6" w:rsidRPr="00131580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832" w:type="pct"/>
            <w:hideMark/>
          </w:tcPr>
          <w:p w14:paraId="43FEF23B" w14:textId="77777777" w:rsidR="00183CF6" w:rsidRPr="00131580" w:rsidRDefault="00183CF6" w:rsidP="00723DED">
            <w:pPr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749" w:type="pct"/>
            <w:vAlign w:val="center"/>
            <w:hideMark/>
          </w:tcPr>
          <w:p w14:paraId="5656641B" w14:textId="13F4E3B4" w:rsidR="00183CF6" w:rsidRPr="001E0CBC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 w:rsidRPr="001E0CBC">
              <w:rPr>
                <w:rFonts w:eastAsia="Times New Roman"/>
                <w:lang w:eastAsia="ru-RU"/>
              </w:rPr>
              <w:t>26</w:t>
            </w:r>
            <w:r w:rsidR="008A2D71" w:rsidRPr="001E0CBC">
              <w:rPr>
                <w:rFonts w:eastAsia="Times New Roman"/>
                <w:lang w:eastAsia="ru-RU"/>
              </w:rPr>
              <w:t xml:space="preserve"> </w:t>
            </w:r>
            <w:r w:rsidRPr="001E0CBC">
              <w:rPr>
                <w:rFonts w:eastAsia="Times New Roman"/>
                <w:lang w:eastAsia="ru-RU"/>
              </w:rPr>
              <w:t>040</w:t>
            </w:r>
            <w:r w:rsidR="008A2D71" w:rsidRPr="001E0CBC">
              <w:rPr>
                <w:rFonts w:eastAsia="Times New Roman"/>
                <w:lang w:eastAsia="ru-RU"/>
              </w:rPr>
              <w:t xml:space="preserve"> </w:t>
            </w:r>
            <w:r w:rsidRPr="001E0CBC">
              <w:rPr>
                <w:rFonts w:eastAsia="Times New Roman"/>
                <w:lang w:eastAsia="ru-RU"/>
              </w:rPr>
              <w:t xml:space="preserve">348 </w:t>
            </w:r>
          </w:p>
        </w:tc>
        <w:tc>
          <w:tcPr>
            <w:tcW w:w="738" w:type="pct"/>
            <w:vAlign w:val="center"/>
            <w:hideMark/>
          </w:tcPr>
          <w:p w14:paraId="2236ECBA" w14:textId="334CDE2C" w:rsidR="00183CF6" w:rsidRPr="001E0CBC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 w:rsidRPr="001E0CBC">
              <w:rPr>
                <w:rFonts w:eastAsia="Times New Roman"/>
                <w:lang w:eastAsia="ru-RU"/>
              </w:rPr>
              <w:t>130</w:t>
            </w:r>
            <w:r w:rsidR="008A2D71" w:rsidRPr="001E0CBC">
              <w:rPr>
                <w:rFonts w:eastAsia="Times New Roman"/>
                <w:lang w:eastAsia="ru-RU"/>
              </w:rPr>
              <w:t xml:space="preserve"> </w:t>
            </w:r>
            <w:r w:rsidRPr="001E0CBC">
              <w:rPr>
                <w:rFonts w:eastAsia="Times New Roman"/>
                <w:lang w:eastAsia="ru-RU"/>
              </w:rPr>
              <w:t>201</w:t>
            </w:r>
            <w:r w:rsidR="008A2D71" w:rsidRPr="001E0CBC">
              <w:rPr>
                <w:rFonts w:eastAsia="Times New Roman"/>
                <w:lang w:eastAsia="ru-RU"/>
              </w:rPr>
              <w:t xml:space="preserve"> </w:t>
            </w:r>
            <w:r w:rsidRPr="001E0CBC">
              <w:rPr>
                <w:rFonts w:eastAsia="Times New Roman"/>
                <w:lang w:eastAsia="ru-RU"/>
              </w:rPr>
              <w:t>740</w:t>
            </w:r>
          </w:p>
        </w:tc>
      </w:tr>
    </w:tbl>
    <w:p w14:paraId="77956419" w14:textId="77777777" w:rsidR="005A65AA" w:rsidRDefault="005A65AA" w:rsidP="004419DE">
      <w:pPr>
        <w:shd w:val="clear" w:color="auto" w:fill="FFFFFF"/>
        <w:ind w:left="450" w:right="450"/>
        <w:jc w:val="center"/>
        <w:rPr>
          <w:rFonts w:eastAsia="Times New Roman"/>
          <w:sz w:val="20"/>
          <w:szCs w:val="20"/>
          <w:lang w:eastAsia="ru-RU"/>
        </w:rPr>
      </w:pPr>
    </w:p>
    <w:p w14:paraId="39723739" w14:textId="668F5351" w:rsidR="001367D8" w:rsidRPr="00BF51C7" w:rsidRDefault="005A65AA" w:rsidP="005A65AA">
      <w:pPr>
        <w:shd w:val="clear" w:color="auto" w:fill="FFFFFF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BF51C7">
        <w:rPr>
          <w:rFonts w:eastAsia="Times New Roman"/>
          <w:sz w:val="20"/>
          <w:szCs w:val="20"/>
          <w:lang w:eastAsia="ru-RU"/>
        </w:rPr>
        <w:t xml:space="preserve">* </w:t>
      </w:r>
      <w:r w:rsidR="001367D8" w:rsidRPr="00BF51C7">
        <w:rPr>
          <w:rFonts w:eastAsia="Times New Roman"/>
          <w:sz w:val="20"/>
          <w:szCs w:val="20"/>
          <w:lang w:eastAsia="ru-RU"/>
        </w:rPr>
        <w:t xml:space="preserve">У розрахунку відображені лише зміни у витратах за альтернативами. </w:t>
      </w:r>
    </w:p>
    <w:p w14:paraId="24549981" w14:textId="77777777" w:rsidR="004C031A" w:rsidRPr="00506DA3" w:rsidRDefault="004C031A" w:rsidP="004419DE">
      <w:pPr>
        <w:shd w:val="clear" w:color="auto" w:fill="FFFFFF"/>
        <w:ind w:left="450" w:right="450"/>
        <w:jc w:val="center"/>
        <w:rPr>
          <w:rFonts w:eastAsia="Times New Roman"/>
          <w:b/>
          <w:color w:val="333333"/>
          <w:sz w:val="28"/>
          <w:szCs w:val="28"/>
          <w:lang w:eastAsia="ru-RU"/>
        </w:rPr>
      </w:pPr>
    </w:p>
    <w:p w14:paraId="363AF121" w14:textId="715A4936" w:rsidR="004419DE" w:rsidRPr="00B52AA1" w:rsidRDefault="004419DE" w:rsidP="004419DE">
      <w:pPr>
        <w:shd w:val="clear" w:color="auto" w:fill="FFFFFF"/>
        <w:spacing w:after="150"/>
        <w:ind w:left="450" w:right="450"/>
        <w:jc w:val="center"/>
        <w:rPr>
          <w:rStyle w:val="font171"/>
        </w:rPr>
      </w:pPr>
      <w:r w:rsidRPr="00B52AA1">
        <w:rPr>
          <w:rStyle w:val="font171"/>
        </w:rPr>
        <w:t xml:space="preserve">Розрахунок відповідних витрат на одного суб’єкта господарювання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89"/>
        <w:gridCol w:w="3391"/>
        <w:gridCol w:w="1782"/>
      </w:tblGrid>
      <w:tr w:rsidR="004419DE" w:rsidRPr="00506DA3" w14:paraId="15A280D9" w14:textId="77777777" w:rsidTr="00183CF6">
        <w:trPr>
          <w:trHeight w:val="1040"/>
        </w:trPr>
        <w:tc>
          <w:tcPr>
            <w:tcW w:w="2323" w:type="pct"/>
            <w:hideMark/>
          </w:tcPr>
          <w:p w14:paraId="6B5A5398" w14:textId="77777777" w:rsidR="004419DE" w:rsidRPr="00506DA3" w:rsidRDefault="004419DE" w:rsidP="00723DED">
            <w:pPr>
              <w:ind w:left="142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1755" w:type="pct"/>
            <w:hideMark/>
          </w:tcPr>
          <w:p w14:paraId="0345DA58" w14:textId="77777777" w:rsidR="004419DE" w:rsidRPr="00506DA3" w:rsidRDefault="004419DE" w:rsidP="00723DED">
            <w:pPr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922" w:type="pct"/>
            <w:hideMark/>
          </w:tcPr>
          <w:p w14:paraId="29D619A4" w14:textId="77777777" w:rsidR="004419DE" w:rsidRPr="00506DA3" w:rsidRDefault="004419DE" w:rsidP="00723DED">
            <w:pPr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327DCD" w:rsidRPr="00506DA3" w14:paraId="122E2DBB" w14:textId="77777777" w:rsidTr="00723DED">
        <w:tc>
          <w:tcPr>
            <w:tcW w:w="2323" w:type="pct"/>
            <w:hideMark/>
          </w:tcPr>
          <w:p w14:paraId="1635CE44" w14:textId="77777777" w:rsidR="00327DCD" w:rsidRPr="00506DA3" w:rsidRDefault="00327DCD" w:rsidP="00723DED">
            <w:pPr>
              <w:spacing w:before="150" w:after="150"/>
              <w:ind w:left="142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755" w:type="pct"/>
            <w:vAlign w:val="center"/>
            <w:hideMark/>
          </w:tcPr>
          <w:p w14:paraId="339CC7DE" w14:textId="26F41A39" w:rsidR="00327DCD" w:rsidRPr="00BF51C7" w:rsidRDefault="00327DCD" w:rsidP="00723DED">
            <w:pPr>
              <w:jc w:val="center"/>
            </w:pPr>
            <w:r w:rsidRPr="00BF51C7">
              <w:t>13</w:t>
            </w:r>
            <w:r w:rsidR="008A2D71">
              <w:t xml:space="preserve"> </w:t>
            </w:r>
            <w:r w:rsidRPr="00BF51C7">
              <w:t>866</w:t>
            </w:r>
            <w:r w:rsidR="00670710" w:rsidRPr="00BF51C7">
              <w:t>*</w:t>
            </w:r>
          </w:p>
        </w:tc>
        <w:tc>
          <w:tcPr>
            <w:tcW w:w="922" w:type="pct"/>
            <w:vAlign w:val="center"/>
            <w:hideMark/>
          </w:tcPr>
          <w:p w14:paraId="0ECE0F50" w14:textId="7D9EC72F" w:rsidR="00327DCD" w:rsidRPr="00BF51C7" w:rsidRDefault="00327DCD" w:rsidP="00723DED">
            <w:pPr>
              <w:jc w:val="center"/>
            </w:pPr>
            <w:r w:rsidRPr="00BF51C7">
              <w:t>69</w:t>
            </w:r>
            <w:r w:rsidR="008A2D71">
              <w:t xml:space="preserve"> </w:t>
            </w:r>
            <w:r w:rsidRPr="00BF51C7">
              <w:t>330</w:t>
            </w:r>
          </w:p>
        </w:tc>
      </w:tr>
    </w:tbl>
    <w:p w14:paraId="109D2538" w14:textId="77777777" w:rsidR="004419DE" w:rsidRPr="00BF51C7" w:rsidRDefault="004419DE" w:rsidP="004419DE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 w:rsidRPr="00BF51C7">
        <w:rPr>
          <w:rFonts w:eastAsia="Times New Roman"/>
          <w:sz w:val="20"/>
          <w:szCs w:val="20"/>
          <w:lang w:eastAsia="ru-RU"/>
        </w:rPr>
        <w:t>_________</w:t>
      </w:r>
    </w:p>
    <w:p w14:paraId="38ECDA7A" w14:textId="7FD17865" w:rsidR="00670710" w:rsidRPr="00BF51C7" w:rsidRDefault="00670710" w:rsidP="00670710">
      <w:pPr>
        <w:shd w:val="clear" w:color="auto" w:fill="FFFFFF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BF51C7">
        <w:rPr>
          <w:rFonts w:eastAsia="Times New Roman"/>
          <w:sz w:val="20"/>
          <w:szCs w:val="20"/>
          <w:lang w:eastAsia="ru-RU"/>
        </w:rPr>
        <w:t>* Дані про суму сплаченого вивізного мита на одного суб’єкта господарювання великого та середнього підприємництва при експорті товарів до держав Європейського Союзу без сертифікатів EUR.1, що підтверджують походження товарів з України на</w:t>
      </w:r>
      <w:r w:rsidR="004416B8">
        <w:rPr>
          <w:rFonts w:eastAsia="Times New Roman"/>
          <w:sz w:val="20"/>
          <w:szCs w:val="20"/>
          <w:lang w:eastAsia="ru-RU"/>
        </w:rPr>
        <w:t xml:space="preserve"> умовах оновленої Конвенції ПЄМ</w:t>
      </w:r>
      <w:r w:rsidRPr="00BF51C7">
        <w:rPr>
          <w:rFonts w:eastAsia="Times New Roman"/>
          <w:sz w:val="20"/>
          <w:szCs w:val="20"/>
          <w:lang w:eastAsia="ru-RU"/>
        </w:rPr>
        <w:t xml:space="preserve"> взято із інформаційних систем Держмитслужби</w:t>
      </w:r>
    </w:p>
    <w:p w14:paraId="49AE25CC" w14:textId="77777777" w:rsidR="00670710" w:rsidRPr="00BF51C7" w:rsidRDefault="00670710" w:rsidP="004419DE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</w:p>
    <w:p w14:paraId="133AADF8" w14:textId="77777777" w:rsidR="00126711" w:rsidRPr="00320779" w:rsidRDefault="00126711" w:rsidP="00126711">
      <w:pPr>
        <w:jc w:val="center"/>
        <w:rPr>
          <w:b/>
          <w:sz w:val="28"/>
          <w:szCs w:val="28"/>
        </w:rPr>
      </w:pPr>
      <w:r w:rsidRPr="00320779">
        <w:rPr>
          <w:b/>
          <w:sz w:val="28"/>
          <w:szCs w:val="28"/>
        </w:rPr>
        <w:t>ВИТРАТИ</w:t>
      </w:r>
    </w:p>
    <w:p w14:paraId="4D30BEF6" w14:textId="77777777" w:rsidR="00126711" w:rsidRPr="00320779" w:rsidRDefault="00126711" w:rsidP="00126711">
      <w:pPr>
        <w:jc w:val="center"/>
        <w:rPr>
          <w:b/>
          <w:sz w:val="28"/>
          <w:szCs w:val="28"/>
        </w:rPr>
      </w:pPr>
      <w:r w:rsidRPr="00320779">
        <w:rPr>
          <w:b/>
          <w:sz w:val="28"/>
          <w:szCs w:val="28"/>
        </w:rPr>
        <w:t>на одного суб’єкта господарювання великого та середнього підприємництва, які виникають внаслідок дії регуляторного акта</w:t>
      </w:r>
    </w:p>
    <w:p w14:paraId="621AC23A" w14:textId="77777777" w:rsidR="00126711" w:rsidRPr="00320779" w:rsidRDefault="00126711" w:rsidP="00126711">
      <w:pPr>
        <w:jc w:val="center"/>
        <w:rPr>
          <w:b/>
        </w:rPr>
      </w:pPr>
      <w:r w:rsidRPr="00320779">
        <w:rPr>
          <w:b/>
        </w:rPr>
        <w:t>(Альтернатива 2)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52"/>
        <w:gridCol w:w="5687"/>
        <w:gridCol w:w="1419"/>
        <w:gridCol w:w="1368"/>
      </w:tblGrid>
      <w:tr w:rsidR="00126711" w:rsidRPr="00126711" w14:paraId="54D98DF4" w14:textId="77777777" w:rsidTr="009D3A0A">
        <w:trPr>
          <w:tblHeader/>
          <w:jc w:val="center"/>
        </w:trPr>
        <w:tc>
          <w:tcPr>
            <w:tcW w:w="688" w:type="pct"/>
            <w:hideMark/>
          </w:tcPr>
          <w:p w14:paraId="379A0343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2894" w:type="pct"/>
            <w:hideMark/>
          </w:tcPr>
          <w:p w14:paraId="2A7BF32A" w14:textId="77777777" w:rsidR="00126711" w:rsidRPr="00126711" w:rsidRDefault="00126711" w:rsidP="00723DED">
            <w:pPr>
              <w:spacing w:before="150" w:after="150"/>
              <w:ind w:right="19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</w:t>
            </w:r>
          </w:p>
        </w:tc>
        <w:tc>
          <w:tcPr>
            <w:tcW w:w="722" w:type="pct"/>
            <w:hideMark/>
          </w:tcPr>
          <w:p w14:paraId="702C5338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За перший рік</w:t>
            </w:r>
          </w:p>
        </w:tc>
        <w:tc>
          <w:tcPr>
            <w:tcW w:w="696" w:type="pct"/>
            <w:hideMark/>
          </w:tcPr>
          <w:p w14:paraId="6F8177B0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За п’ять років</w:t>
            </w:r>
          </w:p>
        </w:tc>
      </w:tr>
      <w:tr w:rsidR="00C73E49" w:rsidRPr="00126711" w14:paraId="0F89DD2C" w14:textId="77777777" w:rsidTr="009D3A0A">
        <w:trPr>
          <w:jc w:val="center"/>
        </w:trPr>
        <w:tc>
          <w:tcPr>
            <w:tcW w:w="688" w:type="pct"/>
            <w:hideMark/>
          </w:tcPr>
          <w:p w14:paraId="39279C96" w14:textId="77777777" w:rsidR="00C73E49" w:rsidRPr="00126711" w:rsidRDefault="00C73E49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94" w:type="pct"/>
            <w:hideMark/>
          </w:tcPr>
          <w:p w14:paraId="3FAF0341" w14:textId="2531A77B" w:rsidR="00C73E49" w:rsidRPr="00126711" w:rsidRDefault="00C73E49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  <w:r w:rsidRPr="00C73E49">
              <w:rPr>
                <w:rFonts w:eastAsia="Times New Roman"/>
                <w:lang w:eastAsia="ru-RU"/>
              </w:rPr>
              <w:t xml:space="preserve">, </w:t>
            </w:r>
            <w:r w:rsidRPr="00126711">
              <w:rPr>
                <w:rFonts w:eastAsia="Times New Roman"/>
                <w:lang w:eastAsia="ru-RU"/>
              </w:rPr>
              <w:t>гривень</w:t>
            </w:r>
          </w:p>
        </w:tc>
        <w:tc>
          <w:tcPr>
            <w:tcW w:w="722" w:type="pct"/>
            <w:vAlign w:val="center"/>
            <w:hideMark/>
          </w:tcPr>
          <w:p w14:paraId="381CA982" w14:textId="52B61551" w:rsidR="00C73E49" w:rsidRPr="00126711" w:rsidRDefault="00C73E49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t>–</w:t>
            </w:r>
          </w:p>
        </w:tc>
        <w:tc>
          <w:tcPr>
            <w:tcW w:w="696" w:type="pct"/>
            <w:vAlign w:val="center"/>
            <w:hideMark/>
          </w:tcPr>
          <w:p w14:paraId="3E9FB259" w14:textId="34B44B68" w:rsidR="00C73E49" w:rsidRPr="00126711" w:rsidRDefault="00C73E49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t>–</w:t>
            </w:r>
          </w:p>
        </w:tc>
      </w:tr>
      <w:tr w:rsidR="00126711" w:rsidRPr="00126711" w14:paraId="4215B3FF" w14:textId="77777777" w:rsidTr="009D3A0A">
        <w:trPr>
          <w:trHeight w:val="1001"/>
          <w:jc w:val="center"/>
        </w:trPr>
        <w:tc>
          <w:tcPr>
            <w:tcW w:w="688" w:type="pct"/>
            <w:hideMark/>
          </w:tcPr>
          <w:p w14:paraId="36F6967C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94" w:type="pct"/>
            <w:hideMark/>
          </w:tcPr>
          <w:p w14:paraId="2CF7E10C" w14:textId="77777777" w:rsidR="00126711" w:rsidRPr="00126711" w:rsidRDefault="00126711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722" w:type="pct"/>
            <w:vAlign w:val="center"/>
            <w:hideMark/>
          </w:tcPr>
          <w:p w14:paraId="3C816692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  <w:tc>
          <w:tcPr>
            <w:tcW w:w="696" w:type="pct"/>
            <w:vAlign w:val="center"/>
            <w:hideMark/>
          </w:tcPr>
          <w:p w14:paraId="4B48C761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</w:tr>
      <w:tr w:rsidR="00126711" w:rsidRPr="00126711" w14:paraId="346B7348" w14:textId="77777777" w:rsidTr="009D3A0A">
        <w:trPr>
          <w:jc w:val="center"/>
        </w:trPr>
        <w:tc>
          <w:tcPr>
            <w:tcW w:w="688" w:type="pct"/>
            <w:hideMark/>
          </w:tcPr>
          <w:p w14:paraId="55A71CB8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2894" w:type="pct"/>
            <w:hideMark/>
          </w:tcPr>
          <w:p w14:paraId="0705ABF1" w14:textId="77777777" w:rsidR="00126711" w:rsidRPr="00126711" w:rsidRDefault="00126711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722" w:type="pct"/>
            <w:vAlign w:val="center"/>
            <w:hideMark/>
          </w:tcPr>
          <w:p w14:paraId="7FA20201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  <w:tc>
          <w:tcPr>
            <w:tcW w:w="696" w:type="pct"/>
            <w:vAlign w:val="center"/>
            <w:hideMark/>
          </w:tcPr>
          <w:p w14:paraId="0533EF2E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</w:tr>
      <w:tr w:rsidR="00126711" w:rsidRPr="00126711" w14:paraId="5D49AA56" w14:textId="77777777" w:rsidTr="009D3A0A">
        <w:trPr>
          <w:jc w:val="center"/>
        </w:trPr>
        <w:tc>
          <w:tcPr>
            <w:tcW w:w="688" w:type="pct"/>
            <w:hideMark/>
          </w:tcPr>
          <w:p w14:paraId="19325425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94" w:type="pct"/>
            <w:hideMark/>
          </w:tcPr>
          <w:p w14:paraId="3AD2D1C1" w14:textId="77777777" w:rsidR="00126711" w:rsidRPr="00126711" w:rsidRDefault="00126711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722" w:type="pct"/>
            <w:vAlign w:val="center"/>
          </w:tcPr>
          <w:p w14:paraId="44C5A970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  <w:tc>
          <w:tcPr>
            <w:tcW w:w="696" w:type="pct"/>
            <w:vAlign w:val="center"/>
          </w:tcPr>
          <w:p w14:paraId="6E01FCBC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</w:tr>
      <w:tr w:rsidR="00126711" w:rsidRPr="00126711" w14:paraId="3B68E0B5" w14:textId="77777777" w:rsidTr="009D3A0A">
        <w:trPr>
          <w:jc w:val="center"/>
        </w:trPr>
        <w:tc>
          <w:tcPr>
            <w:tcW w:w="688" w:type="pct"/>
            <w:hideMark/>
          </w:tcPr>
          <w:p w14:paraId="6E1890C3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94" w:type="pct"/>
            <w:hideMark/>
          </w:tcPr>
          <w:p w14:paraId="3F767BC8" w14:textId="03F3053D" w:rsidR="00E262E6" w:rsidRPr="00D358DB" w:rsidRDefault="00126711" w:rsidP="00D358DB">
            <w:pPr>
              <w:ind w:left="142" w:right="56"/>
              <w:jc w:val="both"/>
              <w:rPr>
                <w:rFonts w:eastAsia="Times New Roman"/>
                <w:i/>
                <w:lang w:eastAsia="ru-RU"/>
              </w:rPr>
            </w:pPr>
            <w:r w:rsidRPr="004347A3">
              <w:rPr>
                <w:rFonts w:eastAsia="Times New Roman"/>
                <w:lang w:eastAsia="ru-RU"/>
              </w:rPr>
              <w:t>Витрати на отримання адміністративних послуг (</w:t>
            </w:r>
            <w:r w:rsidR="00505C94">
              <w:rPr>
                <w:rFonts w:eastAsia="Times New Roman"/>
                <w:i/>
                <w:lang w:eastAsia="ru-RU"/>
              </w:rPr>
              <w:t>в</w:t>
            </w:r>
            <w:r w:rsidR="002D60FA" w:rsidRPr="004347A3">
              <w:rPr>
                <w:rFonts w:eastAsia="Times New Roman"/>
                <w:i/>
                <w:lang w:eastAsia="ru-RU"/>
              </w:rPr>
              <w:t>итрати часу</w:t>
            </w:r>
            <w:r w:rsidR="00505C94">
              <w:rPr>
                <w:rFonts w:eastAsia="Times New Roman"/>
                <w:i/>
                <w:lang w:eastAsia="ru-RU"/>
              </w:rPr>
              <w:t>,</w:t>
            </w:r>
            <w:r w:rsidR="002D60FA" w:rsidRPr="004347A3">
              <w:rPr>
                <w:rFonts w:eastAsia="Times New Roman"/>
                <w:i/>
                <w:lang w:eastAsia="ru-RU"/>
              </w:rPr>
              <w:t xml:space="preserve"> пов’язані з підготовкою додаткових документів, що подаватимуться експортером під час експорту або ретроспективно до митниці </w:t>
            </w:r>
            <w:r w:rsidR="00D358DB" w:rsidRPr="004347A3">
              <w:rPr>
                <w:rFonts w:eastAsia="Times New Roman"/>
                <w:i/>
                <w:lang w:eastAsia="ru-RU"/>
              </w:rPr>
              <w:t>для отримання сертифіката EUR.1</w:t>
            </w:r>
            <w:r w:rsidR="002D60FA" w:rsidRPr="004347A3">
              <w:rPr>
                <w:rFonts w:eastAsia="Times New Roman"/>
                <w:i/>
                <w:lang w:eastAsia="ru-RU"/>
              </w:rPr>
              <w:t>)</w:t>
            </w:r>
            <w:r w:rsidRPr="004347A3">
              <w:rPr>
                <w:rFonts w:eastAsia="Times New Roman"/>
                <w:i/>
                <w:lang w:eastAsia="ru-RU"/>
              </w:rPr>
              <w:t>,</w:t>
            </w:r>
            <w:r w:rsidRPr="004347A3">
              <w:rPr>
                <w:rFonts w:eastAsia="Times New Roman"/>
                <w:lang w:eastAsia="ru-RU"/>
              </w:rPr>
              <w:t xml:space="preserve"> гривень</w:t>
            </w:r>
          </w:p>
        </w:tc>
        <w:tc>
          <w:tcPr>
            <w:tcW w:w="722" w:type="pct"/>
            <w:vAlign w:val="center"/>
            <w:hideMark/>
          </w:tcPr>
          <w:p w14:paraId="3F7773B5" w14:textId="77777777" w:rsidR="00126711" w:rsidRPr="00126711" w:rsidRDefault="00126711" w:rsidP="00723DED">
            <w:pPr>
              <w:jc w:val="center"/>
            </w:pPr>
            <w:r w:rsidRPr="00126711">
              <w:t>480*</w:t>
            </w:r>
          </w:p>
        </w:tc>
        <w:tc>
          <w:tcPr>
            <w:tcW w:w="696" w:type="pct"/>
            <w:vAlign w:val="center"/>
            <w:hideMark/>
          </w:tcPr>
          <w:p w14:paraId="649ECE9A" w14:textId="77777777" w:rsidR="00126711" w:rsidRPr="00126711" w:rsidRDefault="00126711" w:rsidP="00723DED">
            <w:pPr>
              <w:jc w:val="center"/>
            </w:pPr>
            <w:r w:rsidRPr="00126711">
              <w:t>2400</w:t>
            </w:r>
          </w:p>
        </w:tc>
      </w:tr>
      <w:tr w:rsidR="00126711" w:rsidRPr="00126711" w14:paraId="12EFB3FA" w14:textId="77777777" w:rsidTr="009D3A0A">
        <w:trPr>
          <w:jc w:val="center"/>
        </w:trPr>
        <w:tc>
          <w:tcPr>
            <w:tcW w:w="688" w:type="pct"/>
            <w:hideMark/>
          </w:tcPr>
          <w:p w14:paraId="418155C6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4" w:type="pct"/>
            <w:hideMark/>
          </w:tcPr>
          <w:p w14:paraId="19C4547D" w14:textId="59E2ABF8" w:rsidR="00984297" w:rsidRPr="00BC5838" w:rsidRDefault="00126711" w:rsidP="00BC5838">
            <w:pPr>
              <w:spacing w:before="150" w:after="150"/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722" w:type="pct"/>
            <w:vAlign w:val="center"/>
            <w:hideMark/>
          </w:tcPr>
          <w:p w14:paraId="1BEA04CC" w14:textId="35ED0114" w:rsidR="00126711" w:rsidRPr="00126711" w:rsidRDefault="00D358DB" w:rsidP="00723DED">
            <w:pPr>
              <w:jc w:val="center"/>
            </w:pPr>
            <w:r>
              <w:t>191,73</w:t>
            </w:r>
          </w:p>
        </w:tc>
        <w:tc>
          <w:tcPr>
            <w:tcW w:w="696" w:type="pct"/>
            <w:vAlign w:val="center"/>
            <w:hideMark/>
          </w:tcPr>
          <w:p w14:paraId="7BC6C139" w14:textId="797D04F4" w:rsidR="00126711" w:rsidRPr="00126711" w:rsidRDefault="00D358DB" w:rsidP="00723DED">
            <w:pPr>
              <w:jc w:val="center"/>
            </w:pPr>
            <w:r>
              <w:t>958,65</w:t>
            </w:r>
          </w:p>
        </w:tc>
      </w:tr>
      <w:tr w:rsidR="00126711" w:rsidRPr="00126711" w14:paraId="363797A6" w14:textId="77777777" w:rsidTr="009D3A0A">
        <w:trPr>
          <w:jc w:val="center"/>
        </w:trPr>
        <w:tc>
          <w:tcPr>
            <w:tcW w:w="688" w:type="pct"/>
            <w:hideMark/>
          </w:tcPr>
          <w:p w14:paraId="10D83280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894" w:type="pct"/>
            <w:hideMark/>
          </w:tcPr>
          <w:p w14:paraId="51160036" w14:textId="77777777" w:rsidR="00126711" w:rsidRPr="00126711" w:rsidRDefault="00126711" w:rsidP="00B94E3D">
            <w:pPr>
              <w:spacing w:before="150" w:after="150"/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Витрати, пов’язані із наймом додаткового персоналу, гривень</w:t>
            </w:r>
          </w:p>
        </w:tc>
        <w:tc>
          <w:tcPr>
            <w:tcW w:w="722" w:type="pct"/>
            <w:vAlign w:val="center"/>
            <w:hideMark/>
          </w:tcPr>
          <w:p w14:paraId="5412FBCC" w14:textId="77777777" w:rsidR="00126711" w:rsidRPr="00126711" w:rsidRDefault="00126711" w:rsidP="00723DED">
            <w:pPr>
              <w:jc w:val="center"/>
            </w:pPr>
            <w:r w:rsidRPr="00126711">
              <w:rPr>
                <w:sz w:val="28"/>
                <w:szCs w:val="28"/>
              </w:rPr>
              <w:t>–</w:t>
            </w:r>
          </w:p>
        </w:tc>
        <w:tc>
          <w:tcPr>
            <w:tcW w:w="696" w:type="pct"/>
            <w:vAlign w:val="center"/>
            <w:hideMark/>
          </w:tcPr>
          <w:p w14:paraId="77529553" w14:textId="77777777" w:rsidR="00126711" w:rsidRPr="00126711" w:rsidRDefault="00126711" w:rsidP="00723DED">
            <w:pPr>
              <w:jc w:val="center"/>
            </w:pPr>
            <w:r w:rsidRPr="00126711">
              <w:rPr>
                <w:sz w:val="28"/>
                <w:szCs w:val="28"/>
              </w:rPr>
              <w:t>–</w:t>
            </w:r>
          </w:p>
        </w:tc>
      </w:tr>
      <w:tr w:rsidR="00126711" w:rsidRPr="00126711" w14:paraId="6F63EE28" w14:textId="77777777" w:rsidTr="009D3A0A">
        <w:trPr>
          <w:jc w:val="center"/>
        </w:trPr>
        <w:tc>
          <w:tcPr>
            <w:tcW w:w="688" w:type="pct"/>
            <w:hideMark/>
          </w:tcPr>
          <w:p w14:paraId="0DC196F2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894" w:type="pct"/>
            <w:hideMark/>
          </w:tcPr>
          <w:p w14:paraId="56C87B02" w14:textId="77777777" w:rsidR="00126711" w:rsidRPr="00126711" w:rsidRDefault="00126711" w:rsidP="00B94E3D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Інше (уточнити), гривень</w:t>
            </w:r>
          </w:p>
          <w:p w14:paraId="6423E54C" w14:textId="1E4F42AD" w:rsidR="00126711" w:rsidRPr="00126711" w:rsidRDefault="00126711" w:rsidP="00B94E3D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 xml:space="preserve">Витрати пов’язані з ознайомленням з нормами регуляторного акта </w:t>
            </w:r>
            <w:r w:rsidR="00607924" w:rsidRPr="00BC5838">
              <w:rPr>
                <w:i/>
              </w:rPr>
              <w:t>(припущено, що суб’єкт витрачатиме час на отримання інформації про вимоги регулювання лише в перший рік)</w:t>
            </w:r>
          </w:p>
        </w:tc>
        <w:tc>
          <w:tcPr>
            <w:tcW w:w="722" w:type="pct"/>
            <w:vAlign w:val="center"/>
            <w:hideMark/>
          </w:tcPr>
          <w:p w14:paraId="50209230" w14:textId="42C02AD9" w:rsidR="00126711" w:rsidRPr="00126711" w:rsidRDefault="00DC58FB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</w:t>
            </w:r>
            <w:r w:rsidR="00B94E3D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696" w:type="pct"/>
            <w:vAlign w:val="center"/>
            <w:hideMark/>
          </w:tcPr>
          <w:p w14:paraId="404463B1" w14:textId="77777777" w:rsidR="00736833" w:rsidRDefault="00736833" w:rsidP="00723DED">
            <w:pPr>
              <w:jc w:val="center"/>
              <w:rPr>
                <w:lang w:val="en-US"/>
              </w:rPr>
            </w:pPr>
          </w:p>
          <w:p w14:paraId="083353D8" w14:textId="77777777" w:rsidR="00126711" w:rsidRPr="00126711" w:rsidRDefault="00126711" w:rsidP="00723DED">
            <w:pPr>
              <w:jc w:val="center"/>
            </w:pPr>
            <w:r w:rsidRPr="00126711">
              <w:t>48</w:t>
            </w:r>
          </w:p>
          <w:p w14:paraId="34244B27" w14:textId="6223D883" w:rsidR="00126711" w:rsidRPr="00126711" w:rsidRDefault="00126711" w:rsidP="00723DED">
            <w:pPr>
              <w:jc w:val="center"/>
            </w:pPr>
          </w:p>
        </w:tc>
      </w:tr>
      <w:tr w:rsidR="00126711" w:rsidRPr="00126711" w14:paraId="740D9D69" w14:textId="77777777" w:rsidTr="009D3A0A">
        <w:trPr>
          <w:jc w:val="center"/>
        </w:trPr>
        <w:tc>
          <w:tcPr>
            <w:tcW w:w="688" w:type="pct"/>
            <w:hideMark/>
          </w:tcPr>
          <w:p w14:paraId="67B47050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894" w:type="pct"/>
            <w:hideMark/>
          </w:tcPr>
          <w:p w14:paraId="1045899A" w14:textId="77777777" w:rsidR="00126711" w:rsidRPr="00126711" w:rsidRDefault="00126711" w:rsidP="00B94E3D">
            <w:pPr>
              <w:spacing w:before="150" w:after="150"/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722" w:type="pct"/>
            <w:vAlign w:val="center"/>
            <w:hideMark/>
          </w:tcPr>
          <w:p w14:paraId="56BC98EF" w14:textId="7198B75F" w:rsidR="00126711" w:rsidRPr="00126711" w:rsidRDefault="00D358DB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719,73</w:t>
            </w:r>
          </w:p>
        </w:tc>
        <w:tc>
          <w:tcPr>
            <w:tcW w:w="696" w:type="pct"/>
            <w:vAlign w:val="center"/>
            <w:hideMark/>
          </w:tcPr>
          <w:p w14:paraId="1C43E750" w14:textId="4F4C450B" w:rsidR="00126711" w:rsidRPr="004E6C15" w:rsidRDefault="00D358DB" w:rsidP="004E6C15">
            <w:pPr>
              <w:jc w:val="center"/>
            </w:pPr>
            <w:r>
              <w:t>3</w:t>
            </w:r>
            <w:r w:rsidR="008A2D71">
              <w:t xml:space="preserve"> </w:t>
            </w:r>
            <w:r>
              <w:t>406,65</w:t>
            </w:r>
          </w:p>
        </w:tc>
      </w:tr>
      <w:tr w:rsidR="00126711" w:rsidRPr="00126711" w14:paraId="65536C3F" w14:textId="77777777" w:rsidTr="009D3A0A">
        <w:trPr>
          <w:trHeight w:val="962"/>
          <w:jc w:val="center"/>
        </w:trPr>
        <w:tc>
          <w:tcPr>
            <w:tcW w:w="688" w:type="pct"/>
            <w:hideMark/>
          </w:tcPr>
          <w:p w14:paraId="495CAB92" w14:textId="77777777" w:rsidR="00126711" w:rsidRPr="00126711" w:rsidRDefault="00126711" w:rsidP="00723DED">
            <w:pPr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894" w:type="pct"/>
            <w:hideMark/>
          </w:tcPr>
          <w:p w14:paraId="3929CA3C" w14:textId="2A13E2FB" w:rsidR="00126711" w:rsidRPr="00126711" w:rsidRDefault="00126711" w:rsidP="00E35042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Кількість суб’єктів господарювання великого та середнього підприємництва, на яких буд</w:t>
            </w:r>
            <w:r w:rsidR="00E35042">
              <w:rPr>
                <w:rFonts w:eastAsia="Times New Roman"/>
                <w:lang w:eastAsia="ru-RU"/>
              </w:rPr>
              <w:t>е поширено регулювання, одиниць</w:t>
            </w:r>
          </w:p>
        </w:tc>
        <w:tc>
          <w:tcPr>
            <w:tcW w:w="722" w:type="pct"/>
            <w:vAlign w:val="center"/>
            <w:hideMark/>
          </w:tcPr>
          <w:p w14:paraId="1340427C" w14:textId="67441777" w:rsidR="00126711" w:rsidRPr="00126711" w:rsidRDefault="00B94E3D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1878</w:t>
            </w:r>
          </w:p>
        </w:tc>
        <w:tc>
          <w:tcPr>
            <w:tcW w:w="696" w:type="pct"/>
            <w:vAlign w:val="center"/>
            <w:hideMark/>
          </w:tcPr>
          <w:p w14:paraId="23433BA2" w14:textId="77777777" w:rsidR="00126711" w:rsidRPr="00126711" w:rsidRDefault="00126711" w:rsidP="00723DED">
            <w:pPr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1878</w:t>
            </w:r>
          </w:p>
        </w:tc>
      </w:tr>
      <w:tr w:rsidR="00126711" w:rsidRPr="00126711" w14:paraId="77F8657F" w14:textId="77777777" w:rsidTr="009D3A0A">
        <w:trPr>
          <w:jc w:val="center"/>
        </w:trPr>
        <w:tc>
          <w:tcPr>
            <w:tcW w:w="688" w:type="pct"/>
            <w:hideMark/>
          </w:tcPr>
          <w:p w14:paraId="4C6CA825" w14:textId="77777777" w:rsidR="00126711" w:rsidRPr="00126711" w:rsidRDefault="00126711" w:rsidP="00723DED">
            <w:pPr>
              <w:jc w:val="center"/>
              <w:rPr>
                <w:rFonts w:eastAsia="Times New Roman"/>
                <w:lang w:eastAsia="ru-RU"/>
              </w:rPr>
            </w:pPr>
            <w:r w:rsidRPr="00BF51C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894" w:type="pct"/>
            <w:hideMark/>
          </w:tcPr>
          <w:p w14:paraId="7F7B658F" w14:textId="77777777" w:rsidR="00126711" w:rsidRPr="00126711" w:rsidRDefault="00126711" w:rsidP="00B94E3D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722" w:type="pct"/>
            <w:hideMark/>
          </w:tcPr>
          <w:p w14:paraId="3BF42226" w14:textId="77777777" w:rsidR="00126711" w:rsidRPr="004E6C15" w:rsidRDefault="00126711" w:rsidP="00723DED">
            <w:pPr>
              <w:jc w:val="center"/>
              <w:rPr>
                <w:rFonts w:eastAsia="Times New Roman"/>
                <w:lang w:eastAsia="ru-RU"/>
              </w:rPr>
            </w:pPr>
          </w:p>
          <w:p w14:paraId="1FCEE7BE" w14:textId="378820FF" w:rsidR="00126711" w:rsidRPr="004E6C15" w:rsidRDefault="00466B02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 w:rsidR="0044683F">
              <w:rPr>
                <w:rFonts w:eastAsia="Times New Roman"/>
                <w:lang w:eastAsia="ru-RU"/>
              </w:rPr>
              <w:t>351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 w:rsidR="0044683F">
              <w:rPr>
                <w:rFonts w:eastAsia="Times New Roman"/>
                <w:lang w:eastAsia="ru-RU"/>
              </w:rPr>
              <w:t>652,94</w:t>
            </w:r>
          </w:p>
        </w:tc>
        <w:tc>
          <w:tcPr>
            <w:tcW w:w="696" w:type="pct"/>
            <w:hideMark/>
          </w:tcPr>
          <w:p w14:paraId="5F9D38FE" w14:textId="77777777" w:rsidR="00126711" w:rsidRPr="004E6C15" w:rsidRDefault="00126711" w:rsidP="00723DED">
            <w:pPr>
              <w:jc w:val="center"/>
              <w:rPr>
                <w:rFonts w:eastAsia="Times New Roman"/>
                <w:lang w:eastAsia="ru-RU"/>
              </w:rPr>
            </w:pPr>
          </w:p>
          <w:p w14:paraId="2DA0415D" w14:textId="232F72A4" w:rsidR="00126711" w:rsidRPr="004E6C15" w:rsidRDefault="0044683F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397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688,70</w:t>
            </w:r>
          </w:p>
        </w:tc>
      </w:tr>
    </w:tbl>
    <w:p w14:paraId="229E698E" w14:textId="12F209F5" w:rsidR="00126711" w:rsidRDefault="00B94E3D" w:rsidP="00126711">
      <w:pPr>
        <w:ind w:firstLine="567"/>
        <w:jc w:val="both"/>
        <w:rPr>
          <w:bCs/>
        </w:rPr>
      </w:pPr>
      <w:r w:rsidRPr="00B94E3D">
        <w:rPr>
          <w:bCs/>
        </w:rPr>
        <w:t>* Розрахунок середньої заробітної плати по Україні здійснено відповідно до Закону України «Про державний бюджет України на 2025 рік», я</w:t>
      </w:r>
      <w:r>
        <w:rPr>
          <w:bCs/>
        </w:rPr>
        <w:t xml:space="preserve">ким затверджено </w:t>
      </w:r>
      <w:r w:rsidRPr="00B94E3D">
        <w:rPr>
          <w:bCs/>
        </w:rPr>
        <w:t>розмір мінімальної заробітної плати на 2025 рік, у місячному розмірі з 1 січня 2025 року становить 8000 гривень, погодинна – 48,0 гривень.</w:t>
      </w:r>
    </w:p>
    <w:p w14:paraId="675695BD" w14:textId="77777777" w:rsidR="005D5FF2" w:rsidRPr="009C0185" w:rsidRDefault="005D5FF2" w:rsidP="00506DA3">
      <w:pPr>
        <w:shd w:val="clear" w:color="auto" w:fill="FFFFFF"/>
        <w:spacing w:after="150"/>
        <w:ind w:left="450" w:right="450"/>
        <w:jc w:val="center"/>
        <w:rPr>
          <w:rFonts w:eastAsia="Times New Roman"/>
          <w:bCs/>
          <w:color w:val="333333"/>
          <w:sz w:val="28"/>
          <w:szCs w:val="28"/>
          <w:lang w:eastAsia="ru-RU"/>
        </w:rPr>
      </w:pPr>
    </w:p>
    <w:p w14:paraId="7FBB51FE" w14:textId="77777777" w:rsidR="005D5FF2" w:rsidRPr="009C0185" w:rsidRDefault="005D5FF2" w:rsidP="00506DA3">
      <w:pPr>
        <w:shd w:val="clear" w:color="auto" w:fill="FFFFFF"/>
        <w:spacing w:after="150"/>
        <w:ind w:left="450" w:right="450"/>
        <w:jc w:val="center"/>
        <w:rPr>
          <w:rFonts w:eastAsia="Times New Roman"/>
          <w:bCs/>
          <w:color w:val="333333"/>
          <w:sz w:val="28"/>
          <w:szCs w:val="28"/>
          <w:lang w:eastAsia="ru-RU"/>
        </w:rPr>
      </w:pPr>
    </w:p>
    <w:p w14:paraId="50457169" w14:textId="77777777" w:rsidR="005D5FF2" w:rsidRPr="009C0185" w:rsidRDefault="005D5FF2" w:rsidP="00506DA3">
      <w:pPr>
        <w:shd w:val="clear" w:color="auto" w:fill="FFFFFF"/>
        <w:spacing w:after="150"/>
        <w:ind w:left="450" w:right="450"/>
        <w:jc w:val="center"/>
        <w:rPr>
          <w:rFonts w:eastAsia="Times New Roman"/>
          <w:bCs/>
          <w:color w:val="333333"/>
          <w:sz w:val="28"/>
          <w:szCs w:val="28"/>
          <w:lang w:eastAsia="ru-RU"/>
        </w:rPr>
      </w:pPr>
    </w:p>
    <w:p w14:paraId="131CB7F7" w14:textId="77777777" w:rsidR="005D5FF2" w:rsidRPr="009C0185" w:rsidRDefault="005D5FF2" w:rsidP="00506DA3">
      <w:pPr>
        <w:shd w:val="clear" w:color="auto" w:fill="FFFFFF"/>
        <w:spacing w:after="150"/>
        <w:ind w:left="450" w:right="450"/>
        <w:jc w:val="center"/>
        <w:rPr>
          <w:rFonts w:eastAsia="Times New Roman"/>
          <w:bCs/>
          <w:color w:val="333333"/>
          <w:sz w:val="28"/>
          <w:szCs w:val="28"/>
          <w:lang w:eastAsia="ru-RU"/>
        </w:rPr>
      </w:pPr>
    </w:p>
    <w:p w14:paraId="7120CCB1" w14:textId="77777777" w:rsidR="009700C0" w:rsidRPr="009700C0" w:rsidRDefault="00506DA3" w:rsidP="00506DA3">
      <w:pPr>
        <w:shd w:val="clear" w:color="auto" w:fill="FFFFFF"/>
        <w:spacing w:after="150"/>
        <w:ind w:left="450" w:right="450"/>
        <w:jc w:val="center"/>
        <w:rPr>
          <w:rFonts w:eastAsia="Times New Roman"/>
          <w:sz w:val="28"/>
          <w:szCs w:val="28"/>
          <w:lang w:eastAsia="ru-RU"/>
        </w:rPr>
      </w:pPr>
      <w:r w:rsidRPr="009700C0">
        <w:rPr>
          <w:rFonts w:eastAsia="Times New Roman"/>
          <w:sz w:val="28"/>
          <w:szCs w:val="28"/>
          <w:lang w:eastAsia="ru-RU"/>
        </w:rPr>
        <w:lastRenderedPageBreak/>
        <w:t>Розрахунок відповідних витрат на одного суб’єкта господарювання</w:t>
      </w:r>
    </w:p>
    <w:tbl>
      <w:tblPr>
        <w:tblStyle w:val="ac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1985"/>
        <w:gridCol w:w="1559"/>
        <w:gridCol w:w="1134"/>
      </w:tblGrid>
      <w:tr w:rsidR="009700C0" w14:paraId="4F1D6246" w14:textId="77777777" w:rsidTr="009700C0">
        <w:tc>
          <w:tcPr>
            <w:tcW w:w="2977" w:type="dxa"/>
            <w:vAlign w:val="center"/>
          </w:tcPr>
          <w:p w14:paraId="3BA7A6F9" w14:textId="78B6B022" w:rsidR="009700C0" w:rsidRDefault="009700C0" w:rsidP="009700C0">
            <w:pPr>
              <w:spacing w:after="150"/>
              <w:ind w:right="450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2268" w:type="dxa"/>
            <w:vAlign w:val="center"/>
          </w:tcPr>
          <w:p w14:paraId="29BD7FB7" w14:textId="138FF8F9" w:rsidR="009700C0" w:rsidRDefault="009700C0" w:rsidP="009700C0">
            <w:pPr>
              <w:tabs>
                <w:tab w:val="left" w:pos="1877"/>
                <w:tab w:val="left" w:pos="1910"/>
              </w:tabs>
              <w:spacing w:after="150"/>
              <w:ind w:right="33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985" w:type="dxa"/>
            <w:vAlign w:val="center"/>
          </w:tcPr>
          <w:p w14:paraId="65D9607A" w14:textId="154F1C3C" w:rsidR="009700C0" w:rsidRDefault="009700C0" w:rsidP="009700C0">
            <w:pPr>
              <w:tabs>
                <w:tab w:val="left" w:pos="1910"/>
                <w:tab w:val="left" w:pos="2052"/>
              </w:tabs>
              <w:spacing w:after="150"/>
              <w:ind w:right="33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 xml:space="preserve">Витрати безпосередньо на дозволи, ліцензії, сертифікати, страхові поліси (за рік </w:t>
            </w:r>
            <w:r>
              <w:rPr>
                <w:rFonts w:eastAsia="Times New Roman"/>
                <w:lang w:eastAsia="ru-RU"/>
              </w:rPr>
              <w:t>–</w:t>
            </w:r>
            <w:r w:rsidRPr="00506DA3">
              <w:rPr>
                <w:rFonts w:eastAsia="Times New Roman"/>
                <w:lang w:eastAsia="ru-RU"/>
              </w:rPr>
              <w:t xml:space="preserve"> стартовий)</w:t>
            </w:r>
          </w:p>
        </w:tc>
        <w:tc>
          <w:tcPr>
            <w:tcW w:w="1559" w:type="dxa"/>
            <w:vAlign w:val="center"/>
          </w:tcPr>
          <w:p w14:paraId="5F570FB8" w14:textId="16FAF0FB" w:rsidR="009700C0" w:rsidRDefault="009700C0" w:rsidP="009700C0">
            <w:pPr>
              <w:tabs>
                <w:tab w:val="left" w:pos="1877"/>
                <w:tab w:val="left" w:pos="1910"/>
              </w:tabs>
              <w:spacing w:after="150"/>
              <w:ind w:right="33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Разом за рік (стартовий)</w:t>
            </w:r>
          </w:p>
        </w:tc>
        <w:tc>
          <w:tcPr>
            <w:tcW w:w="1134" w:type="dxa"/>
            <w:vAlign w:val="center"/>
          </w:tcPr>
          <w:p w14:paraId="2A02F929" w14:textId="33FB9617" w:rsidR="009700C0" w:rsidRDefault="009700C0" w:rsidP="009700C0">
            <w:pPr>
              <w:tabs>
                <w:tab w:val="left" w:pos="1877"/>
                <w:tab w:val="left" w:pos="1910"/>
              </w:tabs>
              <w:spacing w:after="150"/>
              <w:ind w:right="33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9700C0" w14:paraId="3E8531B1" w14:textId="77777777" w:rsidTr="009700C0">
        <w:tc>
          <w:tcPr>
            <w:tcW w:w="2977" w:type="dxa"/>
          </w:tcPr>
          <w:p w14:paraId="55B9C014" w14:textId="77777777" w:rsidR="009700C0" w:rsidRPr="004C7C50" w:rsidRDefault="009700C0" w:rsidP="009700C0">
            <w:pPr>
              <w:spacing w:before="240"/>
              <w:ind w:left="142" w:right="56"/>
              <w:jc w:val="both"/>
              <w:rPr>
                <w:rFonts w:eastAsia="Times New Roman"/>
                <w:lang w:eastAsia="ru-RU"/>
              </w:rPr>
            </w:pPr>
            <w:r w:rsidRPr="00BF51C7">
              <w:rPr>
                <w:rFonts w:eastAsia="Times New Roman"/>
                <w:lang w:eastAsia="ru-RU"/>
              </w:rPr>
              <w:t xml:space="preserve">Витрати на отримання адміністративних послуг </w:t>
            </w:r>
          </w:p>
          <w:p w14:paraId="3550031A" w14:textId="520AA34B" w:rsidR="009700C0" w:rsidRDefault="009700C0" w:rsidP="009700C0">
            <w:pPr>
              <w:spacing w:after="150"/>
              <w:ind w:left="142" w:right="56"/>
              <w:jc w:val="both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BF51C7">
              <w:rPr>
                <w:rFonts w:eastAsia="Times New Roman"/>
                <w:i/>
                <w:lang w:eastAsia="ru-RU"/>
              </w:rPr>
              <w:t xml:space="preserve">(сертифіката EUR.1) Витрати часу пов’язані з підготовкою додаткових документів, що подаватимуться експортером під час експорту або ретроспективно до митниці </w:t>
            </w:r>
            <w:r>
              <w:rPr>
                <w:rFonts w:eastAsia="Times New Roman"/>
                <w:i/>
                <w:lang w:eastAsia="ru-RU"/>
              </w:rPr>
              <w:t>для отримання сертифіката EUR.1</w:t>
            </w:r>
            <w:r w:rsidRPr="00BF51C7">
              <w:rPr>
                <w:rFonts w:eastAsia="Times New Roman"/>
                <w:i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993D6F5" w14:textId="7D2760E4" w:rsidR="009700C0" w:rsidRDefault="009700C0" w:rsidP="009700C0">
            <w:pPr>
              <w:spacing w:after="150"/>
              <w:ind w:right="33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1A353D">
              <w:t>10 год (час, який витрачається суб’єктами</w:t>
            </w:r>
            <w:r w:rsidRPr="001A353D">
              <w:rPr>
                <w:lang w:val="ru-RU"/>
              </w:rPr>
              <w:t xml:space="preserve"> на</w:t>
            </w:r>
            <w:r w:rsidRPr="001A353D">
              <w:t xml:space="preserve"> підготовку документів, необхідних для отримання 33* сертифікатів </w:t>
            </w:r>
            <w:r w:rsidRPr="001A353D">
              <w:rPr>
                <w:lang w:val="en-US"/>
              </w:rPr>
              <w:t>EUR</w:t>
            </w:r>
            <w:r w:rsidRPr="001A353D">
              <w:rPr>
                <w:lang w:val="ru-RU"/>
              </w:rPr>
              <w:t>.1</w:t>
            </w:r>
            <w:r w:rsidRPr="001A353D">
              <w:t>)x48** грн = 480 грн</w:t>
            </w:r>
          </w:p>
        </w:tc>
        <w:tc>
          <w:tcPr>
            <w:tcW w:w="1985" w:type="dxa"/>
            <w:vAlign w:val="center"/>
          </w:tcPr>
          <w:p w14:paraId="17AA5F08" w14:textId="6ABCF333" w:rsidR="009700C0" w:rsidRDefault="009700C0" w:rsidP="009700C0">
            <w:pPr>
              <w:spacing w:after="150"/>
              <w:ind w:right="450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D5D5F">
              <w:t>–</w:t>
            </w:r>
          </w:p>
        </w:tc>
        <w:tc>
          <w:tcPr>
            <w:tcW w:w="1559" w:type="dxa"/>
            <w:vAlign w:val="center"/>
          </w:tcPr>
          <w:p w14:paraId="7E0C6A34" w14:textId="6DCAECC7" w:rsidR="009700C0" w:rsidRDefault="009700C0" w:rsidP="009700C0">
            <w:pPr>
              <w:spacing w:after="150"/>
              <w:ind w:right="34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D5D5F">
              <w:t>480</w:t>
            </w:r>
          </w:p>
        </w:tc>
        <w:tc>
          <w:tcPr>
            <w:tcW w:w="1134" w:type="dxa"/>
            <w:vAlign w:val="center"/>
          </w:tcPr>
          <w:p w14:paraId="3D5344DA" w14:textId="1CEA74CC" w:rsidR="009700C0" w:rsidRDefault="009700C0" w:rsidP="009700C0">
            <w:pPr>
              <w:tabs>
                <w:tab w:val="left" w:pos="1026"/>
                <w:tab w:val="left" w:pos="1060"/>
              </w:tabs>
              <w:spacing w:after="150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D5D5F">
              <w:t>2400</w:t>
            </w:r>
          </w:p>
        </w:tc>
      </w:tr>
    </w:tbl>
    <w:p w14:paraId="1F0A071E" w14:textId="1F67C64E" w:rsidR="009700C0" w:rsidRPr="009700C0" w:rsidRDefault="009700C0" w:rsidP="009700C0">
      <w:pPr>
        <w:shd w:val="clear" w:color="auto" w:fill="FFFFFF"/>
        <w:ind w:right="-285" w:firstLine="567"/>
        <w:jc w:val="both"/>
        <w:rPr>
          <w:rFonts w:eastAsia="Times New Roman"/>
          <w:lang w:eastAsia="ru-RU"/>
        </w:rPr>
      </w:pPr>
      <w:r w:rsidRPr="009700C0">
        <w:rPr>
          <w:rFonts w:eastAsia="Times New Roman"/>
          <w:lang w:eastAsia="ru-RU"/>
        </w:rPr>
        <w:t>*Виходячи із загальної кількості сертифікатів EUR.1, які отримують суб’єкти господарювання щорічно – 197,4 тиc. шт. (за основу взято період 2024-2025 років), один суб’єкт господарювання щорічно отримує приблизно 33 сертифікати EUR.1;</w:t>
      </w:r>
    </w:p>
    <w:p w14:paraId="4CA89C4B" w14:textId="5EBFD37A" w:rsidR="00506DA3" w:rsidRPr="009700C0" w:rsidRDefault="009700C0" w:rsidP="009700C0">
      <w:pPr>
        <w:shd w:val="clear" w:color="auto" w:fill="FFFFFF"/>
        <w:ind w:right="-285" w:firstLine="567"/>
        <w:jc w:val="both"/>
        <w:rPr>
          <w:rFonts w:eastAsia="Times New Roman"/>
          <w:lang w:eastAsia="ru-RU"/>
        </w:rPr>
      </w:pPr>
      <w:r w:rsidRPr="009700C0">
        <w:rPr>
          <w:rFonts w:eastAsia="Times New Roman"/>
          <w:lang w:eastAsia="ru-RU"/>
        </w:rPr>
        <w:t>**Розрахунок середньої заробітної плати по Україні здійснено відповідно до Закону України «Про державний бюджет України на 2025 рік», яким затверджено розмір мінімальної заробітної плати на 2025 рік, у місячному розмірі з 1 січня 2025 року становить 8000 гривень, погодинна – 48,0 гривень.</w:t>
      </w:r>
    </w:p>
    <w:tbl>
      <w:tblPr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90"/>
        <w:gridCol w:w="1705"/>
        <w:gridCol w:w="1842"/>
        <w:gridCol w:w="1697"/>
      </w:tblGrid>
      <w:tr w:rsidR="009A66A3" w:rsidRPr="00506DA3" w14:paraId="5B41CDAA" w14:textId="77777777" w:rsidTr="009700C0">
        <w:tc>
          <w:tcPr>
            <w:tcW w:w="236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796CC7" w14:textId="77777777" w:rsidR="00506DA3" w:rsidRPr="00506DA3" w:rsidRDefault="00506DA3" w:rsidP="00506DA3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bookmarkStart w:id="5" w:name="n180"/>
            <w:bookmarkStart w:id="6" w:name="n185"/>
            <w:bookmarkStart w:id="7" w:name="n186"/>
            <w:bookmarkStart w:id="8" w:name="n187"/>
            <w:bookmarkEnd w:id="5"/>
            <w:bookmarkEnd w:id="6"/>
            <w:bookmarkEnd w:id="7"/>
            <w:bookmarkEnd w:id="8"/>
            <w:r w:rsidRPr="00506DA3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4EC238" w14:textId="77777777" w:rsidR="00506DA3" w:rsidRPr="00506DA3" w:rsidRDefault="00506DA3" w:rsidP="00506DA3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За рік (стартовий)</w:t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7DB377" w14:textId="77777777" w:rsidR="00506DA3" w:rsidRPr="00506DA3" w:rsidRDefault="00506DA3" w:rsidP="00506DA3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Періодичні</w:t>
            </w:r>
            <w:r w:rsidRPr="00506DA3">
              <w:rPr>
                <w:rFonts w:eastAsia="Times New Roman"/>
                <w:lang w:eastAsia="ru-RU"/>
              </w:rPr>
              <w:br/>
              <w:t>(за наступний рік)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5A9CE5" w14:textId="77777777" w:rsidR="00506DA3" w:rsidRPr="00506DA3" w:rsidRDefault="00506DA3" w:rsidP="00506DA3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9A66A3" w:rsidRPr="00506DA3" w14:paraId="344D8BBA" w14:textId="77777777" w:rsidTr="009700C0"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AA61" w14:textId="156A1855" w:rsidR="00D37839" w:rsidRDefault="00506DA3" w:rsidP="00627DEE">
            <w:pPr>
              <w:ind w:left="142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</w:t>
            </w:r>
            <w:r w:rsidR="00220ECD">
              <w:rPr>
                <w:rFonts w:eastAsia="Times New Roman"/>
                <w:lang w:eastAsia="ru-RU"/>
              </w:rPr>
              <w:t>, гривень</w:t>
            </w:r>
            <w:r w:rsidR="009D5D5F">
              <w:rPr>
                <w:rFonts w:eastAsia="Times New Roman"/>
                <w:lang w:eastAsia="ru-RU"/>
              </w:rPr>
              <w:t xml:space="preserve"> </w:t>
            </w:r>
          </w:p>
          <w:p w14:paraId="067BCFBF" w14:textId="13D9AA56" w:rsidR="00506DA3" w:rsidRPr="00D37839" w:rsidRDefault="00D37839" w:rsidP="00627DEE">
            <w:pPr>
              <w:ind w:left="142" w:right="39"/>
              <w:jc w:val="both"/>
              <w:rPr>
                <w:i/>
              </w:rPr>
            </w:pPr>
            <w:r w:rsidRPr="00D37839">
              <w:rPr>
                <w:rFonts w:eastAsia="Times New Roman"/>
                <w:lang w:eastAsia="ru-RU"/>
              </w:rPr>
              <w:t>(</w:t>
            </w:r>
            <w:r w:rsidRPr="00D37839">
              <w:rPr>
                <w:rFonts w:eastAsia="Times New Roman"/>
                <w:i/>
                <w:lang w:eastAsia="ru-RU"/>
              </w:rPr>
              <w:t>в</w:t>
            </w:r>
            <w:r w:rsidR="009D5D5F" w:rsidRPr="00D37839">
              <w:rPr>
                <w:rFonts w:eastAsia="Times New Roman"/>
                <w:i/>
                <w:lang w:eastAsia="ru-RU"/>
              </w:rPr>
              <w:t xml:space="preserve">итрати пов’язані із </w:t>
            </w:r>
            <w:r w:rsidR="009D5D5F" w:rsidRPr="00D37839">
              <w:rPr>
                <w:rStyle w:val="font141"/>
                <w:i/>
                <w:sz w:val="24"/>
                <w:szCs w:val="24"/>
              </w:rPr>
              <w:t>закупівл</w:t>
            </w:r>
            <w:r w:rsidR="00B94E3D" w:rsidRPr="00D37839">
              <w:rPr>
                <w:rStyle w:val="font141"/>
                <w:i/>
                <w:sz w:val="24"/>
                <w:szCs w:val="24"/>
              </w:rPr>
              <w:t>ею витратних матеріалів (офсетний папір</w:t>
            </w:r>
            <w:r>
              <w:rPr>
                <w:rStyle w:val="font141"/>
                <w:i/>
                <w:sz w:val="24"/>
                <w:szCs w:val="24"/>
              </w:rPr>
              <w:t>, тонер для картриджа</w:t>
            </w:r>
            <w:r w:rsidR="009D5D5F" w:rsidRPr="00D37839">
              <w:rPr>
                <w:rStyle w:val="font141"/>
                <w:i/>
                <w:sz w:val="24"/>
                <w:szCs w:val="24"/>
              </w:rPr>
              <w:t xml:space="preserve">) для підготовки </w:t>
            </w:r>
            <w:r w:rsidRPr="00D37839">
              <w:rPr>
                <w:rFonts w:eastAsia="Times New Roman"/>
                <w:i/>
                <w:lang w:eastAsia="ru-RU"/>
              </w:rPr>
              <w:t>додаткових документів</w:t>
            </w:r>
            <w:r w:rsidR="000A2D15">
              <w:rPr>
                <w:rFonts w:eastAsia="Times New Roman"/>
                <w:i/>
                <w:lang w:eastAsia="ru-RU"/>
              </w:rPr>
              <w:t>,</w:t>
            </w:r>
            <w:r w:rsidRPr="00D37839">
              <w:rPr>
                <w:rFonts w:eastAsia="Times New Roman"/>
                <w:i/>
                <w:lang w:eastAsia="ru-RU"/>
              </w:rPr>
              <w:t xml:space="preserve"> що подаватимуться експортером під час експорту або ретроспективно до митниці для отримання сертифіката EUR.1)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856A" w14:textId="09A0FE82" w:rsidR="00506DA3" w:rsidRPr="009D5D5F" w:rsidRDefault="005D1899" w:rsidP="00736833">
            <w:pPr>
              <w:ind w:left="142" w:right="173"/>
              <w:jc w:val="center"/>
            </w:pPr>
            <w:r w:rsidRPr="00BF51C7">
              <w:t>191,73</w:t>
            </w:r>
            <w:r w:rsidRPr="005D5FF2">
              <w:t>*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3C1C" w14:textId="4B332282" w:rsidR="00506DA3" w:rsidRPr="001B4761" w:rsidRDefault="001B4761" w:rsidP="00736833">
            <w:pPr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191,73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D9AC" w14:textId="400B9AFE" w:rsidR="00506DA3" w:rsidRPr="001B4761" w:rsidRDefault="001B4761" w:rsidP="00736833">
            <w:pPr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958</w:t>
            </w:r>
            <w:r>
              <w:t>,</w:t>
            </w:r>
            <w:r>
              <w:rPr>
                <w:lang w:val="en-US"/>
              </w:rPr>
              <w:t>65</w:t>
            </w:r>
          </w:p>
        </w:tc>
      </w:tr>
      <w:tr w:rsidR="005D1899" w:rsidRPr="00506DA3" w14:paraId="536C0A65" w14:textId="77777777" w:rsidTr="006E48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EDA" w14:textId="474201B8" w:rsidR="009700C0" w:rsidRPr="009700C0" w:rsidRDefault="005D1899" w:rsidP="009700C0">
            <w:pPr>
              <w:ind w:left="142" w:right="140" w:firstLine="425"/>
              <w:jc w:val="both"/>
              <w:rPr>
                <w:rFonts w:eastAsia="Times New Roman"/>
                <w:lang w:eastAsia="ru-RU"/>
              </w:rPr>
            </w:pPr>
            <w:r w:rsidRPr="009700C0">
              <w:rPr>
                <w:rFonts w:eastAsia="Times New Roman"/>
                <w:lang w:eastAsia="ru-RU"/>
              </w:rPr>
              <w:t xml:space="preserve">*4,81 грн (вартість 20 аркушів паперу на один сертифікат EUR.1, виходячи з вартості 1 пачки паперу 500 арк </w:t>
            </w:r>
            <w:r w:rsidR="00736833" w:rsidRPr="009700C0">
              <w:rPr>
                <w:rFonts w:eastAsia="Times New Roman"/>
                <w:lang w:eastAsia="ru-RU"/>
              </w:rPr>
              <w:t xml:space="preserve">120,45 </w:t>
            </w:r>
            <w:r w:rsidRPr="009700C0">
              <w:rPr>
                <w:rFonts w:eastAsia="Times New Roman"/>
                <w:lang w:eastAsia="ru-RU"/>
              </w:rPr>
              <w:t>грн) x 33 (кількість сертифікатів EUR.1, які отримує щорічно один суб’єкт господарювання)</w:t>
            </w:r>
            <w:r w:rsidR="00736833" w:rsidRPr="009700C0">
              <w:rPr>
                <w:rFonts w:eastAsia="Times New Roman"/>
                <w:lang w:eastAsia="ru-RU"/>
              </w:rPr>
              <w:t xml:space="preserve"> </w:t>
            </w:r>
            <w:r w:rsidRPr="009700C0">
              <w:rPr>
                <w:rFonts w:eastAsia="Times New Roman"/>
                <w:lang w:eastAsia="ru-RU"/>
              </w:rPr>
              <w:t>+</w:t>
            </w:r>
            <w:r w:rsidR="00736833" w:rsidRPr="009700C0">
              <w:rPr>
                <w:rFonts w:eastAsia="Times New Roman"/>
                <w:lang w:eastAsia="ru-RU"/>
              </w:rPr>
              <w:t xml:space="preserve"> </w:t>
            </w:r>
            <w:r w:rsidRPr="009700C0">
              <w:rPr>
                <w:rFonts w:eastAsia="Times New Roman"/>
                <w:lang w:eastAsia="ru-RU"/>
              </w:rPr>
              <w:t>33 грн (вартість витрат тонера у картриджі для друку 660 аркушів паперу, ви</w:t>
            </w:r>
            <w:r w:rsidR="001F5669" w:rsidRPr="009700C0">
              <w:rPr>
                <w:rFonts w:eastAsia="Times New Roman"/>
                <w:lang w:eastAsia="ru-RU"/>
              </w:rPr>
              <w:t xml:space="preserve">ходячи з вартості картриджа </w:t>
            </w:r>
            <w:r w:rsidR="007E2B4E" w:rsidRPr="009700C0">
              <w:rPr>
                <w:rFonts w:eastAsia="Times New Roman"/>
                <w:lang w:eastAsia="ru-RU"/>
              </w:rPr>
              <w:t>500</w:t>
            </w:r>
            <w:r w:rsidRPr="009700C0">
              <w:rPr>
                <w:rFonts w:eastAsia="Times New Roman"/>
                <w:lang w:eastAsia="ru-RU"/>
              </w:rPr>
              <w:t xml:space="preserve"> грн).</w:t>
            </w:r>
            <w:r w:rsidR="009700C0" w:rsidRPr="009700C0">
              <w:rPr>
                <w:rFonts w:eastAsia="Times New Roman"/>
                <w:lang w:eastAsia="ru-RU"/>
              </w:rPr>
              <w:t xml:space="preserve"> </w:t>
            </w:r>
            <w:r w:rsidRPr="009700C0">
              <w:rPr>
                <w:rFonts w:eastAsia="Times New Roman"/>
                <w:lang w:eastAsia="ru-RU"/>
              </w:rPr>
              <w:t>Вихідні дані для розрахунків (вартість паперу та картриджу) отримані на сайті</w:t>
            </w:r>
            <w:r w:rsidR="001A353D" w:rsidRPr="009700C0">
              <w:rPr>
                <w:rFonts w:eastAsia="Times New Roman"/>
                <w:lang w:eastAsia="ru-RU"/>
              </w:rPr>
              <w:t>:</w:t>
            </w:r>
            <w:r w:rsidR="006E4829" w:rsidRPr="009700C0">
              <w:rPr>
                <w:rFonts w:eastAsia="Times New Roman"/>
                <w:lang w:eastAsia="ru-RU"/>
              </w:rPr>
              <w:t xml:space="preserve"> (</w:t>
            </w:r>
            <w:hyperlink w:history="1">
              <w:r w:rsidR="006E4829" w:rsidRPr="009700C0">
                <w:t>https://bi.prozorro.org/sense/app/ec65fa69-14a5-4337-b907-23682ef09702/sheet/6a7ce1a3-738f-493b-bb07-daca9128794b/state/analysis</w:t>
              </w:r>
            </w:hyperlink>
            <w:r w:rsidR="001E0CBC">
              <w:rPr>
                <w:rFonts w:eastAsia="Times New Roman"/>
                <w:lang w:eastAsia="ru-RU"/>
              </w:rPr>
              <w:t>)</w:t>
            </w:r>
            <w:r w:rsidR="006E4829" w:rsidRPr="009700C0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1069E445" w14:textId="77777777" w:rsidR="00C81928" w:rsidRPr="00C81928" w:rsidRDefault="00C81928" w:rsidP="00C81928">
      <w:pPr>
        <w:shd w:val="clear" w:color="auto" w:fill="FFFFFF"/>
        <w:spacing w:before="150" w:after="150"/>
        <w:jc w:val="right"/>
        <w:rPr>
          <w:rFonts w:eastAsia="Times New Roman"/>
          <w:b/>
          <w:bCs/>
          <w:sz w:val="28"/>
          <w:szCs w:val="28"/>
          <w:lang w:eastAsia="ru-RU"/>
        </w:rPr>
      </w:pPr>
      <w:bookmarkStart w:id="9" w:name="n188"/>
      <w:bookmarkEnd w:id="9"/>
      <w:r w:rsidRPr="00C81928">
        <w:rPr>
          <w:rFonts w:eastAsia="Times New Roman"/>
          <w:b/>
          <w:bCs/>
          <w:sz w:val="28"/>
          <w:szCs w:val="28"/>
          <w:lang w:eastAsia="ru-RU"/>
        </w:rPr>
        <w:lastRenderedPageBreak/>
        <w:t>Додаток 2</w:t>
      </w:r>
    </w:p>
    <w:p w14:paraId="4966F5C5" w14:textId="77777777" w:rsidR="00C81928" w:rsidRPr="00C81928" w:rsidRDefault="00C81928" w:rsidP="00C81928">
      <w:pPr>
        <w:shd w:val="clear" w:color="auto" w:fill="FFFFFF"/>
        <w:spacing w:before="150" w:after="150"/>
        <w:jc w:val="center"/>
        <w:rPr>
          <w:rFonts w:eastAsia="Times New Roman"/>
          <w:lang w:eastAsia="ru-RU"/>
        </w:rPr>
      </w:pPr>
      <w:r w:rsidRPr="00C81928">
        <w:rPr>
          <w:rFonts w:eastAsia="Times New Roman"/>
          <w:b/>
          <w:bCs/>
          <w:sz w:val="28"/>
          <w:szCs w:val="28"/>
          <w:lang w:eastAsia="ru-RU"/>
        </w:rPr>
        <w:t>ТЕСТ</w:t>
      </w:r>
      <w:r w:rsidRPr="00C81928">
        <w:rPr>
          <w:rFonts w:eastAsia="Times New Roman"/>
          <w:lang w:eastAsia="ru-RU"/>
        </w:rPr>
        <w:br/>
      </w:r>
      <w:r w:rsidRPr="00C81928">
        <w:rPr>
          <w:rFonts w:eastAsia="Times New Roman"/>
          <w:b/>
          <w:bCs/>
          <w:sz w:val="28"/>
          <w:szCs w:val="28"/>
          <w:lang w:eastAsia="ru-RU"/>
        </w:rPr>
        <w:t>малого підприємництва (М-Тест)</w:t>
      </w:r>
    </w:p>
    <w:p w14:paraId="0DEF6415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bookmarkStart w:id="10" w:name="n200"/>
      <w:bookmarkEnd w:id="10"/>
      <w:r w:rsidRPr="00C81928">
        <w:rPr>
          <w:rFonts w:eastAsia="Times New Roman"/>
          <w:b/>
          <w:sz w:val="28"/>
          <w:szCs w:val="28"/>
          <w:lang w:eastAsia="ru-RU"/>
        </w:rPr>
        <w:t>1. Консультації з представниками мікро- та малого підприємництва щодо оцінки впливу регулювання</w:t>
      </w:r>
    </w:p>
    <w:p w14:paraId="33DF211E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11" w:name="n201"/>
      <w:bookmarkEnd w:id="11"/>
      <w:r w:rsidRPr="00C81928">
        <w:rPr>
          <w:rFonts w:eastAsia="Times New Roman"/>
          <w:sz w:val="28"/>
          <w:szCs w:val="28"/>
          <w:lang w:eastAsia="ru-RU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6"/>
        <w:gridCol w:w="3846"/>
        <w:gridCol w:w="1873"/>
        <w:gridCol w:w="2267"/>
      </w:tblGrid>
      <w:tr w:rsidR="00C81928" w:rsidRPr="00C81928" w14:paraId="0B88B9F9" w14:textId="77777777" w:rsidTr="00EA0B32">
        <w:trPr>
          <w:jc w:val="center"/>
        </w:trPr>
        <w:tc>
          <w:tcPr>
            <w:tcW w:w="850" w:type="pct"/>
            <w:hideMark/>
          </w:tcPr>
          <w:p w14:paraId="12064B2D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bookmarkStart w:id="12" w:name="n202"/>
            <w:bookmarkEnd w:id="12"/>
            <w:r w:rsidRPr="00C81928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1950" w:type="pct"/>
            <w:hideMark/>
          </w:tcPr>
          <w:p w14:paraId="167EB792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50" w:type="pct"/>
            <w:hideMark/>
          </w:tcPr>
          <w:p w14:paraId="165514B0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Кількість учасників консультацій, осіб</w:t>
            </w:r>
          </w:p>
        </w:tc>
        <w:tc>
          <w:tcPr>
            <w:tcW w:w="1150" w:type="pct"/>
            <w:hideMark/>
          </w:tcPr>
          <w:p w14:paraId="590763B3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Основні результати консультацій (опис)</w:t>
            </w:r>
          </w:p>
        </w:tc>
      </w:tr>
      <w:tr w:rsidR="00C81928" w:rsidRPr="00C81928" w14:paraId="7613B522" w14:textId="77777777" w:rsidTr="00EA0B32">
        <w:trPr>
          <w:trHeight w:val="1615"/>
          <w:jc w:val="center"/>
        </w:trPr>
        <w:tc>
          <w:tcPr>
            <w:tcW w:w="850" w:type="pct"/>
          </w:tcPr>
          <w:p w14:paraId="1753472C" w14:textId="77777777" w:rsidR="00C81928" w:rsidRPr="00C81928" w:rsidRDefault="00C81928" w:rsidP="00C81928">
            <w:pPr>
              <w:spacing w:before="150" w:after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1950" w:type="pct"/>
          </w:tcPr>
          <w:p w14:paraId="70DE21EC" w14:textId="77777777" w:rsidR="00C81928" w:rsidRPr="00C81928" w:rsidRDefault="00C81928" w:rsidP="00C81928">
            <w:pPr>
              <w:spacing w:before="150" w:after="150"/>
              <w:ind w:left="186" w:right="189"/>
              <w:jc w:val="both"/>
              <w:rPr>
                <w:rFonts w:eastAsia="Times New Roman"/>
                <w:lang w:val="ru-RU" w:eastAsia="ru-RU"/>
              </w:rPr>
            </w:pPr>
            <w:r w:rsidRPr="00C81928">
              <w:rPr>
                <w:rFonts w:eastAsia="Times New Roman"/>
                <w:lang w:eastAsia="ru-RU"/>
              </w:rPr>
              <w:t>Проєкт наказу оприлюднено для громадського обговорення на офіційному вебсайті Міністерства фінансів України (</w:t>
            </w:r>
            <w:r w:rsidRPr="00C81928">
              <w:rPr>
                <w:rFonts w:eastAsia="Times New Roman"/>
                <w:lang w:val="en-US" w:eastAsia="ru-RU"/>
              </w:rPr>
              <w:t>www</w:t>
            </w:r>
            <w:r w:rsidRPr="00C81928">
              <w:rPr>
                <w:rFonts w:eastAsia="Times New Roman"/>
                <w:lang w:val="ru-RU" w:eastAsia="ru-RU"/>
              </w:rPr>
              <w:t>.</w:t>
            </w:r>
            <w:r w:rsidRPr="00C81928">
              <w:rPr>
                <w:rFonts w:eastAsia="Times New Roman"/>
                <w:lang w:val="en-GB" w:eastAsia="ru-RU"/>
              </w:rPr>
              <w:t>minfin</w:t>
            </w:r>
            <w:r w:rsidRPr="00C81928">
              <w:rPr>
                <w:rFonts w:eastAsia="Times New Roman"/>
                <w:lang w:val="ru-RU" w:eastAsia="ru-RU"/>
              </w:rPr>
              <w:t>.</w:t>
            </w:r>
            <w:r w:rsidRPr="00C81928">
              <w:rPr>
                <w:rFonts w:eastAsia="Times New Roman"/>
                <w:lang w:val="en-GB" w:eastAsia="ru-RU"/>
              </w:rPr>
              <w:t>gov</w:t>
            </w:r>
            <w:r w:rsidRPr="00C81928">
              <w:rPr>
                <w:rFonts w:eastAsia="Times New Roman"/>
                <w:lang w:val="ru-RU" w:eastAsia="ru-RU"/>
              </w:rPr>
              <w:t>.</w:t>
            </w:r>
            <w:r w:rsidRPr="00C81928">
              <w:rPr>
                <w:rFonts w:eastAsia="Times New Roman"/>
                <w:lang w:val="en-GB" w:eastAsia="ru-RU"/>
              </w:rPr>
              <w:t>ua</w:t>
            </w:r>
            <w:r w:rsidRPr="00C81928">
              <w:rPr>
                <w:rFonts w:eastAsia="Times New Roman"/>
                <w:lang w:val="ru-RU" w:eastAsia="ru-RU"/>
              </w:rPr>
              <w:t>)</w:t>
            </w:r>
          </w:p>
        </w:tc>
        <w:tc>
          <w:tcPr>
            <w:tcW w:w="950" w:type="pct"/>
          </w:tcPr>
          <w:p w14:paraId="14C84AC1" w14:textId="77777777" w:rsidR="00C81928" w:rsidRPr="00C81928" w:rsidRDefault="00C81928" w:rsidP="00C81928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14:paraId="62E896DE" w14:textId="77777777" w:rsidR="00C81928" w:rsidRPr="00C81928" w:rsidRDefault="00C81928" w:rsidP="00C81928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ru-RU" w:eastAsia="en-US"/>
              </w:rPr>
            </w:pPr>
          </w:p>
          <w:p w14:paraId="0FF0AACD" w14:textId="745913E4" w:rsidR="00C81928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</w:tcPr>
          <w:p w14:paraId="1ED54062" w14:textId="77777777" w:rsidR="00C81928" w:rsidRPr="00C81928" w:rsidRDefault="00C81928" w:rsidP="00C81928">
            <w:pPr>
              <w:spacing w:before="150" w:after="150"/>
              <w:jc w:val="both"/>
              <w:rPr>
                <w:rFonts w:eastAsia="Times New Roman"/>
                <w:highlight w:val="yellow"/>
                <w:lang w:eastAsia="ru-RU"/>
              </w:rPr>
            </w:pPr>
          </w:p>
        </w:tc>
      </w:tr>
    </w:tbl>
    <w:p w14:paraId="6D18C8C4" w14:textId="77777777" w:rsidR="00341072" w:rsidRDefault="00341072" w:rsidP="00C81928">
      <w:pPr>
        <w:shd w:val="clear" w:color="auto" w:fill="FFFFFF"/>
        <w:spacing w:after="150"/>
        <w:ind w:firstLine="450"/>
        <w:jc w:val="both"/>
        <w:rPr>
          <w:rFonts w:eastAsia="Times New Roman"/>
          <w:b/>
          <w:sz w:val="28"/>
          <w:szCs w:val="28"/>
          <w:lang w:eastAsia="ru-RU"/>
        </w:rPr>
      </w:pPr>
      <w:bookmarkStart w:id="13" w:name="n203"/>
      <w:bookmarkEnd w:id="13"/>
    </w:p>
    <w:p w14:paraId="6ADB0B4D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C81928">
        <w:rPr>
          <w:rFonts w:eastAsia="Times New Roman"/>
          <w:b/>
          <w:sz w:val="28"/>
          <w:szCs w:val="28"/>
          <w:lang w:eastAsia="ru-RU"/>
        </w:rPr>
        <w:t>2. Вимірювання впливу регулювання на суб’єктів малого підприємництва (мікро- та малі):</w:t>
      </w:r>
    </w:p>
    <w:p w14:paraId="704D6BCD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14" w:name="n204"/>
      <w:bookmarkEnd w:id="14"/>
      <w:r w:rsidRPr="00C81928">
        <w:rPr>
          <w:rFonts w:eastAsia="Times New Roman"/>
          <w:sz w:val="28"/>
          <w:szCs w:val="28"/>
          <w:lang w:eastAsia="ru-RU"/>
        </w:rPr>
        <w:t>кількість суб’єктів малого підприємництва, на яких поширюється регулювання: 4177 одиниць, у тому числі малого підприємництва                         2387 одиниць та мікропідприємництва – 1790 одиниць;</w:t>
      </w:r>
    </w:p>
    <w:p w14:paraId="652D87CA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15" w:name="n205"/>
      <w:bookmarkEnd w:id="15"/>
      <w:r w:rsidRPr="00C81928">
        <w:rPr>
          <w:rFonts w:eastAsia="Times New Roman"/>
          <w:sz w:val="28"/>
          <w:szCs w:val="28"/>
          <w:lang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– </w:t>
      </w:r>
      <w:r w:rsidRPr="00C81928">
        <w:rPr>
          <w:rFonts w:eastAsia="Times New Roman"/>
          <w:sz w:val="28"/>
          <w:szCs w:val="28"/>
          <w:lang w:val="ru-RU" w:eastAsia="ru-RU"/>
        </w:rPr>
        <w:t>69</w:t>
      </w:r>
      <w:r w:rsidRPr="00C81928">
        <w:rPr>
          <w:rFonts w:eastAsia="Times New Roman"/>
          <w:sz w:val="28"/>
          <w:szCs w:val="28"/>
          <w:lang w:eastAsia="ru-RU"/>
        </w:rPr>
        <w:t xml:space="preserve"> відсотків. </w:t>
      </w:r>
    </w:p>
    <w:p w14:paraId="1EBF3504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bookmarkStart w:id="16" w:name="n206"/>
      <w:bookmarkEnd w:id="16"/>
      <w:r w:rsidRPr="00C81928">
        <w:rPr>
          <w:rFonts w:eastAsia="Times New Roman"/>
          <w:b/>
          <w:sz w:val="28"/>
          <w:szCs w:val="28"/>
          <w:lang w:eastAsia="ru-RU"/>
        </w:rPr>
        <w:t>3. Розрахунок витрат суб’єктів малого підприємництва на виконання вимог регулювання</w:t>
      </w:r>
    </w:p>
    <w:p w14:paraId="28618BC2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81928">
        <w:rPr>
          <w:rFonts w:eastAsia="Times New Roman"/>
          <w:sz w:val="28"/>
          <w:szCs w:val="28"/>
          <w:lang w:eastAsia="ru-RU"/>
        </w:rPr>
        <w:t xml:space="preserve">У розрахунку вартості години роботи використано вартість 1 години роботи, яка відповідно до Закону України </w:t>
      </w:r>
      <w:r w:rsidRPr="00C81928">
        <w:rPr>
          <w:bCs/>
          <w:sz w:val="28"/>
          <w:szCs w:val="28"/>
        </w:rPr>
        <w:t>«Про Державний бюджет України на 202</w:t>
      </w:r>
      <w:r w:rsidRPr="00C81928">
        <w:rPr>
          <w:bCs/>
          <w:sz w:val="28"/>
          <w:szCs w:val="28"/>
          <w:lang w:val="ru-RU"/>
        </w:rPr>
        <w:t>5</w:t>
      </w:r>
      <w:r w:rsidRPr="00C81928">
        <w:rPr>
          <w:bCs/>
          <w:sz w:val="28"/>
          <w:szCs w:val="28"/>
        </w:rPr>
        <w:t xml:space="preserve"> рік</w:t>
      </w:r>
      <w:r w:rsidRPr="00C81928">
        <w:rPr>
          <w:sz w:val="28"/>
          <w:szCs w:val="28"/>
        </w:rPr>
        <w:t>» у 2025 році становить</w:t>
      </w:r>
      <w:r w:rsidRPr="00C81928">
        <w:rPr>
          <w:sz w:val="28"/>
          <w:szCs w:val="28"/>
          <w:lang w:val="ru-RU"/>
        </w:rPr>
        <w:t xml:space="preserve"> </w:t>
      </w:r>
      <w:r w:rsidRPr="00C81928">
        <w:rPr>
          <w:sz w:val="28"/>
          <w:szCs w:val="28"/>
        </w:rPr>
        <w:t>48 гривень.</w:t>
      </w:r>
    </w:p>
    <w:p w14:paraId="413B58E2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81928">
        <w:rPr>
          <w:sz w:val="28"/>
          <w:szCs w:val="28"/>
        </w:rPr>
        <w:t>Первинна інформація про вимоги регулювання може бути отримана за результатами пошуку проєкту наказу Міністерства фінансів України «Про внесення змін до деяких нормативно-правових актів Міністерства фінансів України».</w:t>
      </w:r>
    </w:p>
    <w:p w14:paraId="1CCDB3EA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81928">
        <w:rPr>
          <w:sz w:val="28"/>
          <w:szCs w:val="28"/>
        </w:rPr>
        <w:lastRenderedPageBreak/>
        <w:t>Інформація про період часу, який витрачається суб’єктами на отримання зазначеної інформації, є оціночною.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91"/>
        <w:gridCol w:w="3686"/>
        <w:gridCol w:w="1686"/>
        <w:gridCol w:w="1563"/>
        <w:gridCol w:w="1567"/>
      </w:tblGrid>
      <w:tr w:rsidR="00C81928" w:rsidRPr="00C81928" w14:paraId="0A5DCEF8" w14:textId="77777777" w:rsidTr="00FF29BC">
        <w:trPr>
          <w:trHeight w:val="12"/>
          <w:tblHeader/>
        </w:trPr>
        <w:tc>
          <w:tcPr>
            <w:tcW w:w="659" w:type="pct"/>
            <w:hideMark/>
          </w:tcPr>
          <w:p w14:paraId="1A7BDB5F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bookmarkStart w:id="17" w:name="n207"/>
            <w:bookmarkEnd w:id="17"/>
            <w:r w:rsidRPr="00C81928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1882" w:type="pct"/>
            <w:hideMark/>
          </w:tcPr>
          <w:p w14:paraId="252021D5" w14:textId="77777777" w:rsid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Найменування оцінки</w:t>
            </w:r>
          </w:p>
          <w:p w14:paraId="5CBEA8BE" w14:textId="77777777" w:rsidR="000F0AA3" w:rsidRDefault="000F0AA3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</w:p>
          <w:p w14:paraId="1C9B8A4E" w14:textId="5BC6FF16" w:rsidR="000F0AA3" w:rsidRPr="00C81928" w:rsidRDefault="000F0AA3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1" w:type="pct"/>
            <w:hideMark/>
          </w:tcPr>
          <w:p w14:paraId="16158E0F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798" w:type="pct"/>
            <w:hideMark/>
          </w:tcPr>
          <w:p w14:paraId="53F78002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Періодичні (за наступний рік)</w:t>
            </w:r>
          </w:p>
        </w:tc>
        <w:tc>
          <w:tcPr>
            <w:tcW w:w="800" w:type="pct"/>
            <w:hideMark/>
          </w:tcPr>
          <w:p w14:paraId="58F6AD28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Витрати за</w:t>
            </w:r>
            <w:r w:rsidRPr="00C81928">
              <w:rPr>
                <w:rFonts w:eastAsia="Times New Roman"/>
                <w:lang w:eastAsia="ru-RU"/>
              </w:rPr>
              <w:br/>
              <w:t>п’ять років</w:t>
            </w:r>
          </w:p>
        </w:tc>
      </w:tr>
      <w:tr w:rsidR="00C81928" w:rsidRPr="00C81928" w14:paraId="7CDE5646" w14:textId="77777777" w:rsidTr="009345FA">
        <w:trPr>
          <w:trHeight w:val="12"/>
        </w:trPr>
        <w:tc>
          <w:tcPr>
            <w:tcW w:w="5000" w:type="pct"/>
            <w:gridSpan w:val="5"/>
            <w:hideMark/>
          </w:tcPr>
          <w:p w14:paraId="4BD9C819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Оцінка </w:t>
            </w:r>
            <w:r w:rsidRPr="00C81928">
              <w:rPr>
                <w:bCs/>
                <w:sz w:val="28"/>
                <w:szCs w:val="28"/>
              </w:rPr>
              <w:t>«</w:t>
            </w:r>
            <w:r w:rsidRPr="00C81928">
              <w:rPr>
                <w:rFonts w:eastAsia="Times New Roman"/>
                <w:lang w:eastAsia="ru-RU"/>
              </w:rPr>
              <w:t>прямих</w:t>
            </w:r>
            <w:r w:rsidRPr="00C81928">
              <w:rPr>
                <w:sz w:val="28"/>
                <w:szCs w:val="28"/>
              </w:rPr>
              <w:t>»</w:t>
            </w:r>
            <w:r w:rsidRPr="00C81928">
              <w:rPr>
                <w:rFonts w:eastAsia="Times New Roman"/>
                <w:lang w:eastAsia="ru-RU"/>
              </w:rPr>
              <w:t xml:space="preserve"> витрат суб’єктів малого підприємництва на виконання регулювання</w:t>
            </w:r>
          </w:p>
        </w:tc>
      </w:tr>
      <w:tr w:rsidR="00627DEE" w:rsidRPr="00C81928" w14:paraId="4CEA32E3" w14:textId="77777777" w:rsidTr="00FF29BC">
        <w:trPr>
          <w:trHeight w:val="12"/>
        </w:trPr>
        <w:tc>
          <w:tcPr>
            <w:tcW w:w="659" w:type="pct"/>
            <w:hideMark/>
          </w:tcPr>
          <w:p w14:paraId="78A0AA8C" w14:textId="77777777" w:rsidR="00627DEE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82" w:type="pct"/>
            <w:hideMark/>
          </w:tcPr>
          <w:p w14:paraId="46BBA516" w14:textId="77777777" w:rsidR="00627DEE" w:rsidRPr="00C81928" w:rsidRDefault="00627DEE" w:rsidP="00C81928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861" w:type="pct"/>
            <w:vAlign w:val="center"/>
            <w:hideMark/>
          </w:tcPr>
          <w:p w14:paraId="27B909F2" w14:textId="3E2D204D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8" w:type="pct"/>
            <w:vAlign w:val="center"/>
            <w:hideMark/>
          </w:tcPr>
          <w:p w14:paraId="00BF514D" w14:textId="40BBE7B6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800" w:type="pct"/>
            <w:vAlign w:val="center"/>
            <w:hideMark/>
          </w:tcPr>
          <w:p w14:paraId="469E95EB" w14:textId="40C60995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627DEE" w:rsidRPr="00C81928" w14:paraId="2E648D99" w14:textId="77777777" w:rsidTr="00FF29BC">
        <w:trPr>
          <w:trHeight w:val="12"/>
        </w:trPr>
        <w:tc>
          <w:tcPr>
            <w:tcW w:w="659" w:type="pct"/>
            <w:hideMark/>
          </w:tcPr>
          <w:p w14:paraId="4FAEFD97" w14:textId="77777777" w:rsidR="00627DEE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82" w:type="pct"/>
            <w:hideMark/>
          </w:tcPr>
          <w:p w14:paraId="07435C81" w14:textId="77777777" w:rsidR="00627DEE" w:rsidRPr="00C81928" w:rsidRDefault="00627DEE" w:rsidP="00C81928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861" w:type="pct"/>
            <w:vAlign w:val="center"/>
            <w:hideMark/>
          </w:tcPr>
          <w:p w14:paraId="3E4081C0" w14:textId="104CFC54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8" w:type="pct"/>
            <w:vAlign w:val="center"/>
            <w:hideMark/>
          </w:tcPr>
          <w:p w14:paraId="4BBE8821" w14:textId="54BF9BAC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800" w:type="pct"/>
            <w:vAlign w:val="center"/>
            <w:hideMark/>
          </w:tcPr>
          <w:p w14:paraId="67792A9C" w14:textId="78E5CD73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627DEE" w:rsidRPr="00C81928" w14:paraId="0B5AA434" w14:textId="77777777" w:rsidTr="00FF29BC">
        <w:trPr>
          <w:trHeight w:val="12"/>
        </w:trPr>
        <w:tc>
          <w:tcPr>
            <w:tcW w:w="659" w:type="pct"/>
            <w:hideMark/>
          </w:tcPr>
          <w:p w14:paraId="6298E1C6" w14:textId="77777777" w:rsidR="00627DEE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82" w:type="pct"/>
            <w:hideMark/>
          </w:tcPr>
          <w:p w14:paraId="1E1A55CE" w14:textId="2CE60295" w:rsidR="00627DEE" w:rsidRPr="00C81928" w:rsidRDefault="00627DEE" w:rsidP="0097613B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Процедури експлуатації обладнання (експлуатаційні витрати </w:t>
            </w:r>
            <w:r w:rsidR="0097613B">
              <w:rPr>
                <w:rFonts w:eastAsia="Times New Roman"/>
                <w:lang w:eastAsia="ru-RU"/>
              </w:rPr>
              <w:t>–</w:t>
            </w:r>
            <w:r w:rsidRPr="00C81928">
              <w:rPr>
                <w:rFonts w:eastAsia="Times New Roman"/>
                <w:lang w:eastAsia="ru-RU"/>
              </w:rPr>
              <w:t xml:space="preserve"> витратні матеріали)</w:t>
            </w:r>
          </w:p>
        </w:tc>
        <w:tc>
          <w:tcPr>
            <w:tcW w:w="861" w:type="pct"/>
            <w:vAlign w:val="center"/>
            <w:hideMark/>
          </w:tcPr>
          <w:p w14:paraId="735A7063" w14:textId="5C5FAFCE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8" w:type="pct"/>
            <w:vAlign w:val="center"/>
            <w:hideMark/>
          </w:tcPr>
          <w:p w14:paraId="6F967AC7" w14:textId="5BC931E8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800" w:type="pct"/>
            <w:vAlign w:val="center"/>
            <w:hideMark/>
          </w:tcPr>
          <w:p w14:paraId="7AF10506" w14:textId="788620A3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627DEE" w:rsidRPr="00C81928" w14:paraId="0E3EAC2F" w14:textId="77777777" w:rsidTr="00FF29BC">
        <w:trPr>
          <w:trHeight w:val="12"/>
        </w:trPr>
        <w:tc>
          <w:tcPr>
            <w:tcW w:w="659" w:type="pct"/>
            <w:hideMark/>
          </w:tcPr>
          <w:p w14:paraId="2F5A1D75" w14:textId="77777777" w:rsidR="00627DEE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82" w:type="pct"/>
            <w:hideMark/>
          </w:tcPr>
          <w:p w14:paraId="2F28DEAE" w14:textId="77777777" w:rsidR="00627DEE" w:rsidRPr="00C81928" w:rsidRDefault="00627DEE" w:rsidP="00C81928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861" w:type="pct"/>
            <w:vAlign w:val="center"/>
            <w:hideMark/>
          </w:tcPr>
          <w:p w14:paraId="4DF3967F" w14:textId="3435F750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8" w:type="pct"/>
            <w:vAlign w:val="center"/>
            <w:hideMark/>
          </w:tcPr>
          <w:p w14:paraId="14E16573" w14:textId="35DF56F8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800" w:type="pct"/>
            <w:vAlign w:val="center"/>
            <w:hideMark/>
          </w:tcPr>
          <w:p w14:paraId="25FDA20E" w14:textId="0A4610E7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C81928" w:rsidRPr="00C81928" w14:paraId="4F2A97E5" w14:textId="77777777" w:rsidTr="00FF29BC">
        <w:trPr>
          <w:trHeight w:val="12"/>
        </w:trPr>
        <w:tc>
          <w:tcPr>
            <w:tcW w:w="659" w:type="pct"/>
            <w:hideMark/>
          </w:tcPr>
          <w:p w14:paraId="15604A4A" w14:textId="77777777" w:rsidR="00C81928" w:rsidRPr="00C81928" w:rsidRDefault="00C81928" w:rsidP="00C81928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882" w:type="pct"/>
            <w:hideMark/>
          </w:tcPr>
          <w:p w14:paraId="7AFAFAA0" w14:textId="77777777" w:rsidR="00C81928" w:rsidRPr="00FA59BC" w:rsidRDefault="00C81928" w:rsidP="00BF51C7">
            <w:pPr>
              <w:ind w:left="150" w:right="133"/>
              <w:jc w:val="both"/>
              <w:rPr>
                <w:rFonts w:eastAsia="Times New Roman"/>
                <w:lang w:eastAsia="ru-RU"/>
              </w:rPr>
            </w:pPr>
            <w:r w:rsidRPr="00FA59BC">
              <w:rPr>
                <w:rFonts w:eastAsia="Times New Roman"/>
                <w:lang w:eastAsia="ru-RU"/>
              </w:rPr>
              <w:t>Інші процедури (уточнити)</w:t>
            </w:r>
          </w:p>
          <w:p w14:paraId="501C902A" w14:textId="77777777" w:rsidR="0044683F" w:rsidRPr="00FA59BC" w:rsidRDefault="0044683F" w:rsidP="00BF51C7">
            <w:pPr>
              <w:ind w:left="150" w:right="133"/>
              <w:jc w:val="both"/>
              <w:rPr>
                <w:rFonts w:eastAsia="Times New Roman"/>
                <w:i/>
                <w:lang w:eastAsia="ru-RU"/>
              </w:rPr>
            </w:pPr>
            <w:r w:rsidRPr="00FA59BC">
              <w:rPr>
                <w:rFonts w:eastAsia="Times New Roman"/>
                <w:i/>
                <w:lang w:eastAsia="ru-RU"/>
              </w:rPr>
              <w:t>Витрати пов’язані із закупівлею витратних матеріалів (офсетний папір, тонер для картриджа) для підготовки додаткових документів що подаватимуться експортером під час експорту або ретроспективно до митниці для отримання сертифіката EUR.1.</w:t>
            </w:r>
          </w:p>
          <w:p w14:paraId="2A0EA9BD" w14:textId="3616D1CE" w:rsidR="00391657" w:rsidRPr="00FA59BC" w:rsidRDefault="0044683F" w:rsidP="00BF51C7">
            <w:pPr>
              <w:ind w:left="150" w:right="133"/>
              <w:jc w:val="both"/>
              <w:rPr>
                <w:rFonts w:eastAsia="Times New Roman"/>
                <w:i/>
                <w:lang w:eastAsia="ru-RU"/>
              </w:rPr>
            </w:pPr>
            <w:r w:rsidRPr="00FA59BC">
              <w:rPr>
                <w:rFonts w:eastAsia="Times New Roman"/>
                <w:i/>
                <w:lang w:eastAsia="ru-RU"/>
              </w:rPr>
              <w:t>Суб’єкт господарюван</w:t>
            </w:r>
            <w:r w:rsidR="00CA0B4C" w:rsidRPr="00FA59BC">
              <w:rPr>
                <w:rFonts w:eastAsia="Times New Roman"/>
                <w:i/>
                <w:lang w:eastAsia="ru-RU"/>
              </w:rPr>
              <w:t xml:space="preserve">ня щорічно </w:t>
            </w:r>
            <w:r w:rsidR="004416B8" w:rsidRPr="00FA59BC">
              <w:rPr>
                <w:rFonts w:eastAsia="Times New Roman"/>
                <w:i/>
                <w:lang w:eastAsia="ru-RU"/>
              </w:rPr>
              <w:t>приблизно отримує 33 сертифікати</w:t>
            </w:r>
            <w:r w:rsidRPr="00FA59BC">
              <w:rPr>
                <w:rFonts w:eastAsia="Times New Roman"/>
                <w:i/>
                <w:lang w:eastAsia="ru-RU"/>
              </w:rPr>
              <w:t xml:space="preserve"> EUR.1, обсяг додаткових документів, необхідних для отримання сертифікатів EUR.1</w:t>
            </w:r>
            <w:r w:rsidR="004416B8" w:rsidRPr="00FA59BC">
              <w:rPr>
                <w:rFonts w:eastAsia="Times New Roman"/>
                <w:i/>
                <w:lang w:eastAsia="ru-RU"/>
              </w:rPr>
              <w:t>, становить</w:t>
            </w:r>
            <w:r w:rsidRPr="00FA59BC">
              <w:rPr>
                <w:rFonts w:eastAsia="Times New Roman"/>
                <w:i/>
                <w:lang w:eastAsia="ru-RU"/>
              </w:rPr>
              <w:t xml:space="preserve"> 20 аркушів</w:t>
            </w:r>
          </w:p>
        </w:tc>
        <w:tc>
          <w:tcPr>
            <w:tcW w:w="861" w:type="pct"/>
            <w:vAlign w:val="center"/>
          </w:tcPr>
          <w:p w14:paraId="0F927BA0" w14:textId="22555CF9" w:rsidR="00C81928" w:rsidRPr="00FA59BC" w:rsidRDefault="0044683F" w:rsidP="008E4B01">
            <w:pPr>
              <w:jc w:val="center"/>
              <w:rPr>
                <w:rFonts w:eastAsiaTheme="minorHAnsi"/>
                <w:lang w:eastAsia="en-US"/>
              </w:rPr>
            </w:pPr>
            <w:r w:rsidRPr="00FA59BC">
              <w:rPr>
                <w:lang w:val="en-US"/>
              </w:rPr>
              <w:t>191,73</w:t>
            </w:r>
            <w:r w:rsidR="00B11CA2" w:rsidRPr="00FA59BC">
              <w:t>*</w:t>
            </w:r>
          </w:p>
        </w:tc>
        <w:tc>
          <w:tcPr>
            <w:tcW w:w="798" w:type="pct"/>
            <w:vAlign w:val="center"/>
          </w:tcPr>
          <w:p w14:paraId="019D52F0" w14:textId="0DB2BB40" w:rsidR="00C81928" w:rsidRPr="00FA59BC" w:rsidRDefault="0044683F" w:rsidP="00C81928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FA59BC">
              <w:rPr>
                <w:lang w:val="en-US"/>
              </w:rPr>
              <w:t>191,73</w:t>
            </w:r>
            <w:r w:rsidR="008878C3" w:rsidRPr="00FA59BC">
              <w:t>*</w:t>
            </w:r>
          </w:p>
        </w:tc>
        <w:tc>
          <w:tcPr>
            <w:tcW w:w="800" w:type="pct"/>
            <w:vAlign w:val="center"/>
          </w:tcPr>
          <w:p w14:paraId="0B83824E" w14:textId="1A3012B3" w:rsidR="00C81928" w:rsidRPr="00FA59BC" w:rsidRDefault="0044683F" w:rsidP="00C8192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A59BC">
              <w:rPr>
                <w:lang w:val="en-US"/>
              </w:rPr>
              <w:t>958</w:t>
            </w:r>
            <w:r w:rsidRPr="00FA59BC">
              <w:t>,</w:t>
            </w:r>
            <w:r w:rsidRPr="00FA59BC">
              <w:rPr>
                <w:lang w:val="en-US"/>
              </w:rPr>
              <w:t>65</w:t>
            </w:r>
          </w:p>
        </w:tc>
      </w:tr>
      <w:tr w:rsidR="00FF29BC" w:rsidRPr="00C81928" w14:paraId="6CA1ABD3" w14:textId="77777777" w:rsidTr="00FF29BC">
        <w:trPr>
          <w:trHeight w:val="12"/>
        </w:trPr>
        <w:tc>
          <w:tcPr>
            <w:tcW w:w="659" w:type="pct"/>
            <w:hideMark/>
          </w:tcPr>
          <w:p w14:paraId="3011FBF4" w14:textId="77777777" w:rsidR="00FF29BC" w:rsidRPr="00C81928" w:rsidRDefault="00FF29BC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82" w:type="pct"/>
            <w:hideMark/>
          </w:tcPr>
          <w:p w14:paraId="3CFB9403" w14:textId="77777777" w:rsidR="00FF29BC" w:rsidRPr="00C81928" w:rsidRDefault="00FF29BC" w:rsidP="00C81928">
            <w:pPr>
              <w:spacing w:before="150" w:after="150"/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Разом, гривень</w:t>
            </w:r>
          </w:p>
          <w:p w14:paraId="1A69FECD" w14:textId="77777777" w:rsidR="00FF29BC" w:rsidRPr="00C81928" w:rsidRDefault="00FF29BC" w:rsidP="00C81928">
            <w:pPr>
              <w:spacing w:before="150" w:after="150"/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6F60AB6D" w14:textId="77777777" w:rsidR="00FF29BC" w:rsidRPr="00C81928" w:rsidRDefault="00FF29BC" w:rsidP="00C81928">
            <w:pPr>
              <w:spacing w:before="150" w:after="150"/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(сума рядків 1 + 2 + 3 + 4 + 5)</w:t>
            </w:r>
          </w:p>
        </w:tc>
        <w:tc>
          <w:tcPr>
            <w:tcW w:w="861" w:type="pct"/>
            <w:vAlign w:val="center"/>
            <w:hideMark/>
          </w:tcPr>
          <w:p w14:paraId="357FAF41" w14:textId="68037451" w:rsidR="00FF29BC" w:rsidRPr="008E4B01" w:rsidRDefault="00FF29BC" w:rsidP="00FF29B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2501F5">
              <w:t>191,73</w:t>
            </w:r>
          </w:p>
        </w:tc>
        <w:tc>
          <w:tcPr>
            <w:tcW w:w="798" w:type="pct"/>
            <w:vAlign w:val="center"/>
            <w:hideMark/>
          </w:tcPr>
          <w:p w14:paraId="235B93E0" w14:textId="6CFEB4C5" w:rsidR="00FF29BC" w:rsidRPr="008E4B01" w:rsidRDefault="00FF29BC" w:rsidP="00FF29B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2501F5">
              <w:t>191,73</w:t>
            </w:r>
          </w:p>
        </w:tc>
        <w:tc>
          <w:tcPr>
            <w:tcW w:w="800" w:type="pct"/>
            <w:vAlign w:val="center"/>
            <w:hideMark/>
          </w:tcPr>
          <w:p w14:paraId="66AF42C7" w14:textId="2F82B2A2" w:rsidR="00FF29BC" w:rsidRPr="008E4B01" w:rsidRDefault="00FF29BC" w:rsidP="00FF29B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2501F5">
              <w:t>958,65</w:t>
            </w:r>
          </w:p>
        </w:tc>
      </w:tr>
      <w:tr w:rsidR="00C81928" w:rsidRPr="00C81928" w14:paraId="371437C7" w14:textId="77777777" w:rsidTr="009345FA">
        <w:trPr>
          <w:trHeight w:val="12"/>
        </w:trPr>
        <w:tc>
          <w:tcPr>
            <w:tcW w:w="659" w:type="pct"/>
            <w:hideMark/>
          </w:tcPr>
          <w:p w14:paraId="1149AE33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882" w:type="pct"/>
            <w:hideMark/>
          </w:tcPr>
          <w:p w14:paraId="52AC8769" w14:textId="77777777" w:rsidR="00C81928" w:rsidRPr="00C81928" w:rsidRDefault="00C81928" w:rsidP="00C81928">
            <w:pPr>
              <w:spacing w:before="150" w:after="150"/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Кількість суб’єктів господарювання, що повинні </w:t>
            </w:r>
            <w:r w:rsidRPr="00C81928">
              <w:rPr>
                <w:rFonts w:eastAsia="Times New Roman"/>
                <w:lang w:eastAsia="ru-RU"/>
              </w:rPr>
              <w:lastRenderedPageBreak/>
              <w:t>виконати вимоги регулювання, одиниць</w:t>
            </w:r>
          </w:p>
        </w:tc>
        <w:tc>
          <w:tcPr>
            <w:tcW w:w="2459" w:type="pct"/>
            <w:gridSpan w:val="3"/>
            <w:hideMark/>
          </w:tcPr>
          <w:p w14:paraId="75E2CFE2" w14:textId="77777777" w:rsidR="00010332" w:rsidRDefault="00010332" w:rsidP="00010332">
            <w:pPr>
              <w:jc w:val="center"/>
              <w:rPr>
                <w:rFonts w:eastAsia="Times New Roman"/>
                <w:lang w:eastAsia="ru-RU"/>
              </w:rPr>
            </w:pPr>
          </w:p>
          <w:p w14:paraId="33B16248" w14:textId="77777777" w:rsidR="00C81928" w:rsidRPr="00C81928" w:rsidRDefault="00C81928" w:rsidP="00010332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4177</w:t>
            </w:r>
          </w:p>
        </w:tc>
      </w:tr>
      <w:tr w:rsidR="00627DEE" w:rsidRPr="00C81928" w14:paraId="099FC7FE" w14:textId="77777777" w:rsidTr="00FF29BC">
        <w:trPr>
          <w:trHeight w:val="12"/>
        </w:trPr>
        <w:tc>
          <w:tcPr>
            <w:tcW w:w="659" w:type="pct"/>
            <w:hideMark/>
          </w:tcPr>
          <w:p w14:paraId="1DAC9C0C" w14:textId="77777777" w:rsidR="00627DEE" w:rsidRPr="00C81928" w:rsidRDefault="00627DEE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82" w:type="pct"/>
            <w:hideMark/>
          </w:tcPr>
          <w:p w14:paraId="01EB282B" w14:textId="77777777" w:rsidR="00627DEE" w:rsidRPr="00C81928" w:rsidRDefault="00627DEE" w:rsidP="00C81928">
            <w:pPr>
              <w:spacing w:before="150" w:after="150"/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Сумарно, гривень</w:t>
            </w:r>
          </w:p>
          <w:p w14:paraId="3570A8C1" w14:textId="77777777" w:rsidR="00627DEE" w:rsidRPr="00C81928" w:rsidRDefault="00627DEE" w:rsidP="00C81928">
            <w:pPr>
              <w:spacing w:before="150" w:after="150"/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3E06B142" w14:textId="0D307855" w:rsidR="00627DEE" w:rsidRPr="00C81928" w:rsidRDefault="00627DEE" w:rsidP="00C81928">
            <w:pPr>
              <w:spacing w:before="150" w:after="150"/>
              <w:ind w:left="150"/>
              <w:rPr>
                <w:rFonts w:eastAsia="Times New Roman"/>
                <w:i/>
                <w:iCs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 xml:space="preserve">відповідний стовпчик “разом”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 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кількість суб’єктів малого підприємництва, що повинні виконати вимоги регулювання (рядок 6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 xml:space="preserve">х </w:t>
            </w:r>
            <w:r w:rsidRPr="00C81928">
              <w:rPr>
                <w:rFonts w:eastAsia="Times New Roman"/>
                <w:i/>
                <w:iCs/>
                <w:lang w:eastAsia="ru-RU"/>
              </w:rPr>
              <w:t>рядок 7)</w:t>
            </w:r>
          </w:p>
        </w:tc>
        <w:tc>
          <w:tcPr>
            <w:tcW w:w="861" w:type="pct"/>
            <w:vAlign w:val="center"/>
            <w:hideMark/>
          </w:tcPr>
          <w:p w14:paraId="5C96E023" w14:textId="7C66B3C5" w:rsidR="00627DEE" w:rsidRPr="008E4B01" w:rsidRDefault="007E15D0" w:rsidP="008E4B01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7E15D0">
              <w:t>800</w:t>
            </w:r>
            <w:r w:rsidR="008A2D71">
              <w:t xml:space="preserve"> </w:t>
            </w:r>
            <w:r w:rsidRPr="007E15D0">
              <w:t>856,21</w:t>
            </w:r>
          </w:p>
        </w:tc>
        <w:tc>
          <w:tcPr>
            <w:tcW w:w="798" w:type="pct"/>
            <w:vAlign w:val="center"/>
            <w:hideMark/>
          </w:tcPr>
          <w:p w14:paraId="657C184A" w14:textId="0B0B844E" w:rsidR="00627DEE" w:rsidRPr="007E15D0" w:rsidRDefault="007E15D0" w:rsidP="008E4B01">
            <w:pPr>
              <w:jc w:val="center"/>
            </w:pPr>
            <w:r w:rsidRPr="007E15D0">
              <w:t>800</w:t>
            </w:r>
            <w:r w:rsidR="008A2D71">
              <w:t xml:space="preserve"> </w:t>
            </w:r>
            <w:r w:rsidRPr="007E15D0">
              <w:t>856,21</w:t>
            </w:r>
          </w:p>
        </w:tc>
        <w:tc>
          <w:tcPr>
            <w:tcW w:w="800" w:type="pct"/>
            <w:vAlign w:val="center"/>
            <w:hideMark/>
          </w:tcPr>
          <w:p w14:paraId="52906C83" w14:textId="3BBF86A6" w:rsidR="00627DEE" w:rsidRPr="007E15D0" w:rsidRDefault="007E15D0" w:rsidP="008E4B01">
            <w:pPr>
              <w:spacing w:before="150" w:after="150"/>
              <w:jc w:val="center"/>
            </w:pPr>
            <w:r>
              <w:t>4</w:t>
            </w:r>
            <w:r w:rsidR="008A2D71">
              <w:t xml:space="preserve"> </w:t>
            </w:r>
            <w:r>
              <w:t>004</w:t>
            </w:r>
            <w:r w:rsidR="008A2D71">
              <w:t xml:space="preserve"> </w:t>
            </w:r>
            <w:r>
              <w:t>281,05</w:t>
            </w:r>
          </w:p>
        </w:tc>
      </w:tr>
      <w:tr w:rsidR="00C81928" w:rsidRPr="00C81928" w14:paraId="02833215" w14:textId="77777777" w:rsidTr="009345FA">
        <w:trPr>
          <w:trHeight w:val="12"/>
        </w:trPr>
        <w:tc>
          <w:tcPr>
            <w:tcW w:w="5000" w:type="pct"/>
            <w:gridSpan w:val="5"/>
            <w:hideMark/>
          </w:tcPr>
          <w:p w14:paraId="51C80C0D" w14:textId="77777777" w:rsidR="00C81928" w:rsidRPr="00C81928" w:rsidRDefault="00C81928" w:rsidP="00C81928">
            <w:pPr>
              <w:spacing w:after="150"/>
              <w:ind w:left="142" w:right="100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81928" w:rsidRPr="00C81928" w14:paraId="6E901DDC" w14:textId="77777777" w:rsidTr="00FF29BC">
        <w:trPr>
          <w:trHeight w:val="12"/>
        </w:trPr>
        <w:tc>
          <w:tcPr>
            <w:tcW w:w="659" w:type="pct"/>
            <w:hideMark/>
          </w:tcPr>
          <w:p w14:paraId="7E24FD8E" w14:textId="138E9828" w:rsidR="00C81928" w:rsidRPr="00C81928" w:rsidRDefault="008E4B01" w:rsidP="00DF09C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882" w:type="pct"/>
            <w:hideMark/>
          </w:tcPr>
          <w:p w14:paraId="6C203E0D" w14:textId="5B1469B3" w:rsidR="00C81928" w:rsidRPr="00C81928" w:rsidRDefault="00C81928" w:rsidP="00B16FC7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отримання первинної інформації про вимоги регулювання</w:t>
            </w:r>
            <w:r w:rsidR="002E5B9C">
              <w:rPr>
                <w:rFonts w:eastAsia="Times New Roman"/>
                <w:lang w:eastAsia="ru-RU"/>
              </w:rPr>
              <w:t xml:space="preserve"> (</w:t>
            </w:r>
            <w:r w:rsidR="004416B8">
              <w:rPr>
                <w:rFonts w:eastAsia="Times New Roman"/>
                <w:lang w:eastAsia="ru-RU"/>
              </w:rPr>
              <w:t>пошук регуляторного акта</w:t>
            </w:r>
            <w:r w:rsidR="00DF09C6">
              <w:rPr>
                <w:rFonts w:eastAsia="Times New Roman"/>
                <w:lang w:eastAsia="ru-RU"/>
              </w:rPr>
              <w:t xml:space="preserve"> в мережі </w:t>
            </w:r>
            <w:r w:rsidR="004416B8" w:rsidRPr="004416B8">
              <w:rPr>
                <w:rFonts w:eastAsia="Times New Roman"/>
                <w:lang w:eastAsia="ru-RU"/>
              </w:rPr>
              <w:t>«Інтернет»</w:t>
            </w:r>
            <w:r w:rsidR="00DF09C6">
              <w:rPr>
                <w:rFonts w:eastAsia="Times New Roman"/>
                <w:lang w:eastAsia="ru-RU"/>
              </w:rPr>
              <w:t xml:space="preserve"> та його опрацювання</w:t>
            </w:r>
            <w:r w:rsidR="002E5B9C">
              <w:rPr>
                <w:rFonts w:eastAsia="Times New Roman"/>
                <w:lang w:eastAsia="ru-RU"/>
              </w:rPr>
              <w:t>)</w:t>
            </w:r>
          </w:p>
          <w:p w14:paraId="19FA8C5E" w14:textId="15F0FAB3" w:rsidR="00C81928" w:rsidRPr="00C81928" w:rsidRDefault="004416B8" w:rsidP="00B16FC7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lang w:eastAsia="ru-RU"/>
              </w:rPr>
              <w:t>1 год</w:t>
            </w:r>
            <w:r w:rsidR="00627DEE" w:rsidRPr="00627DEE">
              <w:rPr>
                <w:rFonts w:eastAsia="Times New Roman"/>
                <w:i/>
                <w:iCs/>
                <w:lang w:eastAsia="ru-RU"/>
              </w:rPr>
              <w:t xml:space="preserve"> (час, який витрачається суб’єктом господарювання на пошук нормативно-правового акта в мережі</w:t>
            </w:r>
            <w:r w:rsidR="00DF09C6" w:rsidRPr="0097613B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r w:rsidR="0097613B" w:rsidRPr="0097613B">
              <w:rPr>
                <w:rFonts w:eastAsiaTheme="minorHAnsi"/>
                <w:lang w:eastAsia="en-US"/>
              </w:rPr>
              <w:t>«</w:t>
            </w:r>
            <w:r w:rsidR="00DF09C6" w:rsidRPr="0097613B">
              <w:rPr>
                <w:rFonts w:eastAsia="Times New Roman"/>
                <w:i/>
                <w:iCs/>
                <w:lang w:eastAsia="ru-RU"/>
              </w:rPr>
              <w:t>І</w:t>
            </w:r>
            <w:r w:rsidR="00DF09C6">
              <w:rPr>
                <w:rFonts w:eastAsia="Times New Roman"/>
                <w:i/>
                <w:iCs/>
                <w:lang w:eastAsia="ru-RU"/>
              </w:rPr>
              <w:t>нтернет</w:t>
            </w:r>
            <w:r w:rsidR="0097613B" w:rsidRPr="0097613B">
              <w:rPr>
                <w:rFonts w:eastAsiaTheme="minorHAnsi"/>
                <w:lang w:eastAsia="en-US"/>
              </w:rPr>
              <w:t>»</w:t>
            </w:r>
            <w:r w:rsidR="00DF09C6">
              <w:rPr>
                <w:rFonts w:eastAsia="Times New Roman"/>
                <w:i/>
                <w:iCs/>
                <w:lang w:eastAsia="ru-RU"/>
              </w:rPr>
              <w:t xml:space="preserve"> та ознайомлення з ним</w:t>
            </w:r>
            <w:r>
              <w:rPr>
                <w:rFonts w:eastAsia="Times New Roman"/>
                <w:i/>
                <w:iCs/>
                <w:lang w:eastAsia="ru-RU"/>
              </w:rPr>
              <w:t xml:space="preserve">) x 48 грн </w:t>
            </w:r>
            <w:r w:rsidR="00627DEE" w:rsidRPr="00627DEE">
              <w:rPr>
                <w:rFonts w:eastAsia="Times New Roman"/>
                <w:i/>
                <w:iCs/>
                <w:lang w:eastAsia="ru-RU"/>
              </w:rPr>
              <w:t>=</w:t>
            </w:r>
            <w:r w:rsidR="00DF09C6">
              <w:rPr>
                <w:rFonts w:eastAsia="Times New Roman"/>
                <w:i/>
                <w:iCs/>
                <w:lang w:eastAsia="ru-RU"/>
              </w:rPr>
              <w:t>48 грн</w:t>
            </w:r>
          </w:p>
        </w:tc>
        <w:tc>
          <w:tcPr>
            <w:tcW w:w="861" w:type="pct"/>
            <w:vAlign w:val="center"/>
            <w:hideMark/>
          </w:tcPr>
          <w:p w14:paraId="3BE7B9A1" w14:textId="319D3878" w:rsidR="00C81928" w:rsidRPr="00DF09C6" w:rsidRDefault="00C81928" w:rsidP="00DF09C6">
            <w:pPr>
              <w:ind w:left="60" w:right="129"/>
              <w:jc w:val="center"/>
              <w:rPr>
                <w:rFonts w:eastAsia="Times New Roman"/>
                <w:lang w:eastAsia="ru-RU"/>
              </w:rPr>
            </w:pPr>
            <w:r w:rsidRPr="00DF09C6">
              <w:rPr>
                <w:rFonts w:eastAsia="Times New Roman"/>
                <w:lang w:val="ru-RU" w:eastAsia="ru-RU"/>
              </w:rPr>
              <w:t>48</w:t>
            </w:r>
            <w:r w:rsidR="00DF09C6" w:rsidRPr="00FA59BC">
              <w:rPr>
                <w:rFonts w:eastAsia="Times New Roman"/>
                <w:lang w:val="ru-RU" w:eastAsia="ru-RU"/>
              </w:rPr>
              <w:t>*</w:t>
            </w:r>
            <w:r w:rsidR="00B11CA2" w:rsidRPr="00FA59BC">
              <w:rPr>
                <w:rFonts w:eastAsia="Times New Roman"/>
                <w:lang w:val="ru-RU" w:eastAsia="ru-RU"/>
              </w:rPr>
              <w:t>*</w:t>
            </w:r>
            <w:r w:rsidRPr="00FA59BC">
              <w:rPr>
                <w:rFonts w:eastAsia="Times New Roman"/>
                <w:lang w:val="ru-RU" w:eastAsia="ru-RU"/>
              </w:rPr>
              <w:t xml:space="preserve"> </w:t>
            </w:r>
            <w:r w:rsidRPr="00DF09C6">
              <w:rPr>
                <w:rFonts w:eastAsia="Times New Roman"/>
                <w:lang w:val="ru-RU" w:eastAsia="ru-RU"/>
              </w:rPr>
              <w:t>грн</w:t>
            </w:r>
          </w:p>
        </w:tc>
        <w:tc>
          <w:tcPr>
            <w:tcW w:w="798" w:type="pct"/>
            <w:vAlign w:val="center"/>
            <w:hideMark/>
          </w:tcPr>
          <w:p w14:paraId="43C93A44" w14:textId="77777777" w:rsidR="00C81928" w:rsidRPr="00DF09C6" w:rsidRDefault="00C81928" w:rsidP="00DF09C6">
            <w:pPr>
              <w:ind w:left="90" w:right="96"/>
              <w:jc w:val="center"/>
              <w:rPr>
                <w:rFonts w:eastAsia="Times New Roman"/>
                <w:lang w:eastAsia="ru-RU"/>
              </w:rPr>
            </w:pPr>
            <w:r w:rsidRPr="00DF09C6">
              <w:rPr>
                <w:rFonts w:eastAsia="Times New Roman"/>
                <w:lang w:eastAsia="ru-RU"/>
              </w:rPr>
              <w:t>0,00 грн (</w:t>
            </w:r>
            <w:r w:rsidRPr="00DF09C6">
              <w:rPr>
                <w:rFonts w:eastAsia="Times New Roman"/>
                <w:sz w:val="20"/>
                <w:szCs w:val="20"/>
                <w:lang w:eastAsia="ru-RU"/>
              </w:rPr>
              <w:t>припущено, що суб’єкт повинен виконувати вимоги регулювання лише в перший рік</w:t>
            </w:r>
            <w:r w:rsidRPr="00DF09C6">
              <w:rPr>
                <w:rFonts w:eastAsia="Times New Roman"/>
                <w:sz w:val="20"/>
                <w:szCs w:val="20"/>
                <w:lang w:val="ru-RU" w:eastAsia="ru-RU"/>
              </w:rPr>
              <w:t xml:space="preserve">; за результатами </w:t>
            </w:r>
            <w:r w:rsidRPr="00DF09C6">
              <w:rPr>
                <w:rFonts w:eastAsia="Times New Roman"/>
                <w:sz w:val="20"/>
                <w:szCs w:val="20"/>
                <w:lang w:eastAsia="ru-RU"/>
              </w:rPr>
              <w:t>консультацій</w:t>
            </w:r>
            <w:r w:rsidRPr="00DF09C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00" w:type="pct"/>
            <w:vAlign w:val="center"/>
            <w:hideMark/>
          </w:tcPr>
          <w:p w14:paraId="19CD284F" w14:textId="778C141B" w:rsidR="00C81928" w:rsidRPr="00DF09C6" w:rsidRDefault="00C81928" w:rsidP="00DF09C6">
            <w:pPr>
              <w:jc w:val="center"/>
              <w:rPr>
                <w:rFonts w:eastAsia="Times New Roman"/>
                <w:lang w:eastAsia="ru-RU"/>
              </w:rPr>
            </w:pPr>
            <w:r w:rsidRPr="00DF09C6">
              <w:rPr>
                <w:rFonts w:eastAsia="Times New Roman"/>
                <w:lang w:eastAsia="ru-RU"/>
              </w:rPr>
              <w:t>48</w:t>
            </w:r>
            <w:r w:rsidR="00DF09C6" w:rsidRPr="00FA59BC">
              <w:rPr>
                <w:rFonts w:eastAsia="Times New Roman"/>
                <w:lang w:eastAsia="ru-RU"/>
              </w:rPr>
              <w:t>*</w:t>
            </w:r>
            <w:r w:rsidR="00B11CA2" w:rsidRPr="00FA59BC">
              <w:rPr>
                <w:rFonts w:eastAsia="Times New Roman"/>
                <w:lang w:eastAsia="ru-RU"/>
              </w:rPr>
              <w:t>*</w:t>
            </w:r>
            <w:r w:rsidRPr="00FA59BC">
              <w:rPr>
                <w:rFonts w:eastAsia="Times New Roman"/>
                <w:lang w:eastAsia="ru-RU"/>
              </w:rPr>
              <w:t xml:space="preserve"> </w:t>
            </w:r>
            <w:r w:rsidRPr="00DF09C6">
              <w:rPr>
                <w:rFonts w:eastAsia="Times New Roman"/>
                <w:lang w:eastAsia="ru-RU"/>
              </w:rPr>
              <w:t>грн</w:t>
            </w:r>
            <w:r w:rsidR="00DF09C6" w:rsidRPr="00DF09C6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C81928" w:rsidRPr="00010332" w14:paraId="1969935E" w14:textId="77777777" w:rsidTr="00FF29BC">
        <w:trPr>
          <w:trHeight w:val="12"/>
        </w:trPr>
        <w:tc>
          <w:tcPr>
            <w:tcW w:w="659" w:type="pct"/>
            <w:hideMark/>
          </w:tcPr>
          <w:p w14:paraId="29D685D9" w14:textId="2BE09F52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882" w:type="pct"/>
            <w:hideMark/>
          </w:tcPr>
          <w:p w14:paraId="1483611B" w14:textId="131DBC34" w:rsidR="00C81928" w:rsidRPr="00CE3524" w:rsidRDefault="00657B59" w:rsidP="004416B8">
            <w:pPr>
              <w:spacing w:before="150" w:after="150"/>
              <w:ind w:left="152" w:right="86"/>
              <w:rPr>
                <w:rFonts w:eastAsia="Times New Roman"/>
                <w:lang w:eastAsia="ru-RU"/>
              </w:rPr>
            </w:pPr>
            <w:r w:rsidRPr="00010332">
              <w:rPr>
                <w:rFonts w:eastAsia="Times New Roman"/>
                <w:lang w:eastAsia="ru-RU"/>
              </w:rPr>
              <w:t xml:space="preserve">Процедури </w:t>
            </w:r>
            <w:r w:rsidR="00C81928" w:rsidRPr="00010332">
              <w:rPr>
                <w:rFonts w:eastAsia="Times New Roman"/>
                <w:lang w:eastAsia="ru-RU"/>
              </w:rPr>
              <w:t xml:space="preserve"> виконання вимог регулювання</w:t>
            </w:r>
            <w:r w:rsidR="00944BB1" w:rsidRPr="00010332">
              <w:rPr>
                <w:rFonts w:eastAsia="Times New Roman"/>
                <w:lang w:eastAsia="ru-RU"/>
              </w:rPr>
              <w:t>:</w:t>
            </w:r>
          </w:p>
          <w:p w14:paraId="55F351C8" w14:textId="7FC9F729" w:rsidR="00DF09C6" w:rsidRPr="00832E4E" w:rsidRDefault="00112A55" w:rsidP="004416B8">
            <w:pPr>
              <w:ind w:left="152" w:right="86"/>
              <w:jc w:val="both"/>
              <w:rPr>
                <w:rFonts w:eastAsia="Times New Roman"/>
                <w:i/>
                <w:lang w:eastAsia="ru-RU"/>
              </w:rPr>
            </w:pPr>
            <w:r w:rsidRPr="00112A55">
              <w:rPr>
                <w:rFonts w:eastAsia="Times New Roman"/>
                <w:i/>
                <w:lang w:eastAsia="ru-RU"/>
              </w:rPr>
              <w:t xml:space="preserve">витрати часу, пов’язані з підготовкою додаткових документів, що подаватимуться експортером під час експорту або ретроспективно до митниці </w:t>
            </w:r>
            <w:r w:rsidR="00647B99">
              <w:rPr>
                <w:rFonts w:eastAsia="Times New Roman"/>
                <w:i/>
                <w:lang w:eastAsia="ru-RU"/>
              </w:rPr>
              <w:t>для отримання сертифіката EUR.1 (</w:t>
            </w:r>
            <w:r w:rsidR="0089232F" w:rsidRPr="00010332">
              <w:rPr>
                <w:i/>
              </w:rPr>
              <w:t>10 годин</w:t>
            </w:r>
            <w:r w:rsidR="004416B8">
              <w:rPr>
                <w:i/>
              </w:rPr>
              <w:t xml:space="preserve"> </w:t>
            </w:r>
            <w:r w:rsidR="00DF09C6" w:rsidRPr="00010332">
              <w:rPr>
                <w:rFonts w:eastAsia="Times New Roman"/>
                <w:i/>
                <w:lang w:val="en-US" w:eastAsia="ru-RU"/>
              </w:rPr>
              <w:t>x</w:t>
            </w:r>
            <w:r w:rsidR="004416B8">
              <w:rPr>
                <w:rFonts w:eastAsia="Times New Roman"/>
                <w:i/>
                <w:lang w:eastAsia="ru-RU"/>
              </w:rPr>
              <w:t xml:space="preserve"> </w:t>
            </w:r>
            <w:r w:rsidR="00DF09C6" w:rsidRPr="00CE3524">
              <w:rPr>
                <w:rFonts w:eastAsia="Times New Roman"/>
                <w:i/>
                <w:lang w:eastAsia="ru-RU"/>
              </w:rPr>
              <w:t>48* грн = 480 грн</w:t>
            </w:r>
            <w:r w:rsidR="00647B99" w:rsidRPr="00CE3524">
              <w:rPr>
                <w:rFonts w:eastAsia="Times New Roman"/>
                <w:i/>
                <w:lang w:eastAsia="ru-RU"/>
              </w:rPr>
              <w:t>)</w:t>
            </w:r>
          </w:p>
        </w:tc>
        <w:tc>
          <w:tcPr>
            <w:tcW w:w="861" w:type="pct"/>
            <w:vAlign w:val="center"/>
            <w:hideMark/>
          </w:tcPr>
          <w:p w14:paraId="72953A79" w14:textId="5999139F" w:rsidR="00C81928" w:rsidRPr="002D2D54" w:rsidRDefault="008E4B01" w:rsidP="008B2B30">
            <w:pPr>
              <w:spacing w:before="150" w:after="150"/>
              <w:jc w:val="center"/>
              <w:rPr>
                <w:rFonts w:eastAsia="Times New Roman"/>
                <w:lang w:val="ru-RU" w:eastAsia="ru-RU"/>
              </w:rPr>
            </w:pPr>
            <w:r w:rsidRPr="002D2D54">
              <w:rPr>
                <w:rFonts w:eastAsia="Times New Roman"/>
                <w:lang w:val="ru-RU" w:eastAsia="ru-RU"/>
              </w:rPr>
              <w:t>480</w:t>
            </w:r>
            <w:r w:rsidR="009404F7" w:rsidRPr="002D2D54">
              <w:rPr>
                <w:rFonts w:eastAsia="Times New Roman"/>
                <w:lang w:val="ru-RU" w:eastAsia="ru-RU"/>
              </w:rPr>
              <w:t>*</w:t>
            </w:r>
            <w:r w:rsidRPr="002D2D54">
              <w:rPr>
                <w:rFonts w:eastAsia="Times New Roman"/>
                <w:lang w:val="ru-RU" w:eastAsia="ru-RU"/>
              </w:rPr>
              <w:t xml:space="preserve"> грн</w:t>
            </w:r>
          </w:p>
        </w:tc>
        <w:tc>
          <w:tcPr>
            <w:tcW w:w="798" w:type="pct"/>
            <w:vAlign w:val="center"/>
            <w:hideMark/>
          </w:tcPr>
          <w:p w14:paraId="61F12579" w14:textId="60929B31" w:rsidR="00C81928" w:rsidRPr="002D2D54" w:rsidRDefault="00DF09C6" w:rsidP="008B2B3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eastAsia="ru-RU"/>
              </w:rPr>
              <w:t>480</w:t>
            </w:r>
            <w:r w:rsidR="009404F7" w:rsidRPr="002D2D54">
              <w:rPr>
                <w:rFonts w:eastAsia="Times New Roman"/>
                <w:lang w:eastAsia="ru-RU"/>
              </w:rPr>
              <w:t>*</w:t>
            </w:r>
            <w:r w:rsidRPr="002D2D54">
              <w:rPr>
                <w:rFonts w:eastAsia="Times New Roman"/>
                <w:lang w:eastAsia="ru-RU"/>
              </w:rPr>
              <w:t xml:space="preserve"> грн</w:t>
            </w:r>
          </w:p>
        </w:tc>
        <w:tc>
          <w:tcPr>
            <w:tcW w:w="800" w:type="pct"/>
            <w:vAlign w:val="center"/>
            <w:hideMark/>
          </w:tcPr>
          <w:p w14:paraId="7B3773FC" w14:textId="63311595" w:rsidR="00C81928" w:rsidRPr="002D2D54" w:rsidRDefault="00DF09C6" w:rsidP="008B2B3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2D2D54">
              <w:t>2400</w:t>
            </w:r>
          </w:p>
        </w:tc>
      </w:tr>
      <w:tr w:rsidR="00627DEE" w:rsidRPr="00C81928" w14:paraId="1F357943" w14:textId="77777777" w:rsidTr="00FF29BC">
        <w:trPr>
          <w:trHeight w:val="12"/>
        </w:trPr>
        <w:tc>
          <w:tcPr>
            <w:tcW w:w="659" w:type="pct"/>
            <w:hideMark/>
          </w:tcPr>
          <w:p w14:paraId="02474AB4" w14:textId="4BF8107A" w:rsidR="00627DEE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882" w:type="pct"/>
            <w:hideMark/>
          </w:tcPr>
          <w:p w14:paraId="04098ECC" w14:textId="77777777" w:rsidR="00627DEE" w:rsidRPr="00C81928" w:rsidRDefault="00627DEE" w:rsidP="0089232F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офіційного звітування</w:t>
            </w:r>
          </w:p>
          <w:p w14:paraId="7DB7CC73" w14:textId="77777777" w:rsidR="00627DEE" w:rsidRPr="00C81928" w:rsidRDefault="00627DEE" w:rsidP="0089232F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0F2B4C49" w14:textId="34F93227" w:rsidR="00627DEE" w:rsidRPr="00C81928" w:rsidRDefault="00627DEE" w:rsidP="0089232F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 xml:space="preserve">витрати часу на отримання інформації про порядок звітування щодо регулювання, </w:t>
            </w:r>
            <w:r w:rsidRPr="00C81928">
              <w:rPr>
                <w:rFonts w:eastAsia="Times New Roman"/>
                <w:i/>
                <w:iCs/>
                <w:lang w:eastAsia="ru-RU"/>
              </w:rPr>
              <w:lastRenderedPageBreak/>
              <w:t xml:space="preserve">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вартість часу суб’єкта малого підприємництва (заробітна плата)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оціночна кількість оригінальних звітів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кількість періодів звітності за рік</w:t>
            </w:r>
          </w:p>
        </w:tc>
        <w:tc>
          <w:tcPr>
            <w:tcW w:w="861" w:type="pct"/>
            <w:vAlign w:val="center"/>
            <w:hideMark/>
          </w:tcPr>
          <w:p w14:paraId="0B1A4219" w14:textId="205BAE89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9AD">
              <w:rPr>
                <w:rFonts w:eastAsia="Times New Roman"/>
                <w:lang w:eastAsia="ru-RU"/>
              </w:rPr>
              <w:lastRenderedPageBreak/>
              <w:t>–</w:t>
            </w:r>
          </w:p>
        </w:tc>
        <w:tc>
          <w:tcPr>
            <w:tcW w:w="798" w:type="pct"/>
            <w:vAlign w:val="center"/>
            <w:hideMark/>
          </w:tcPr>
          <w:p w14:paraId="096667B1" w14:textId="52E87B2E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9A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00" w:type="pct"/>
            <w:vAlign w:val="center"/>
            <w:hideMark/>
          </w:tcPr>
          <w:p w14:paraId="38A4A407" w14:textId="62A26BD2" w:rsidR="00627DEE" w:rsidRPr="00C81928" w:rsidRDefault="00627DEE" w:rsidP="00627DE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9AD">
              <w:rPr>
                <w:rFonts w:eastAsia="Times New Roman"/>
                <w:lang w:eastAsia="ru-RU"/>
              </w:rPr>
              <w:t>–</w:t>
            </w:r>
          </w:p>
        </w:tc>
      </w:tr>
      <w:tr w:rsidR="00BE45DE" w:rsidRPr="00C81928" w14:paraId="2A8FF517" w14:textId="77777777" w:rsidTr="00FF29BC">
        <w:trPr>
          <w:trHeight w:val="12"/>
        </w:trPr>
        <w:tc>
          <w:tcPr>
            <w:tcW w:w="659" w:type="pct"/>
            <w:hideMark/>
          </w:tcPr>
          <w:p w14:paraId="6179B536" w14:textId="77777777" w:rsidR="00BE45DE" w:rsidRPr="00C81928" w:rsidRDefault="00BE45DE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882" w:type="pct"/>
            <w:hideMark/>
          </w:tcPr>
          <w:p w14:paraId="1529C976" w14:textId="77777777" w:rsidR="00BE45DE" w:rsidRPr="00C81928" w:rsidRDefault="00BE45DE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щодо забезпечення процесу перевірок</w:t>
            </w:r>
          </w:p>
          <w:p w14:paraId="7F227C78" w14:textId="77777777" w:rsidR="00BE45DE" w:rsidRPr="00C81928" w:rsidRDefault="00BE45DE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690E082B" w14:textId="2FE4FA71" w:rsidR="00BE45DE" w:rsidRPr="00C81928" w:rsidRDefault="00BE45DE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 xml:space="preserve">витрати часу на забезпечення процесу перевірок з боку контролюючих органів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вартість часу суб’єкта малого підприємництва (заробітна плата)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оціночна кількість перевірок за рік</w:t>
            </w:r>
          </w:p>
        </w:tc>
        <w:tc>
          <w:tcPr>
            <w:tcW w:w="861" w:type="pct"/>
            <w:vAlign w:val="center"/>
            <w:hideMark/>
          </w:tcPr>
          <w:p w14:paraId="5A5C4E22" w14:textId="26D218FF" w:rsidR="00BE45DE" w:rsidRPr="00C81928" w:rsidRDefault="00BE45DE" w:rsidP="00BE45DE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8" w:type="pct"/>
            <w:vAlign w:val="center"/>
            <w:hideMark/>
          </w:tcPr>
          <w:p w14:paraId="222E5980" w14:textId="0F40076D" w:rsidR="00BE45DE" w:rsidRPr="00C81928" w:rsidRDefault="00BE45DE" w:rsidP="00BE45DE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00" w:type="pct"/>
            <w:vAlign w:val="center"/>
            <w:hideMark/>
          </w:tcPr>
          <w:p w14:paraId="672C5399" w14:textId="3E424D78" w:rsidR="00BE45DE" w:rsidRPr="00C81928" w:rsidRDefault="00BE45DE" w:rsidP="00BE45DE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</w:tr>
      <w:tr w:rsidR="007E15D0" w:rsidRPr="00C81928" w14:paraId="6A06DD28" w14:textId="77777777" w:rsidTr="00FF29BC">
        <w:trPr>
          <w:trHeight w:val="12"/>
        </w:trPr>
        <w:tc>
          <w:tcPr>
            <w:tcW w:w="659" w:type="pct"/>
            <w:hideMark/>
          </w:tcPr>
          <w:p w14:paraId="6FBA4B65" w14:textId="77777777" w:rsidR="007E15D0" w:rsidRPr="007E15D0" w:rsidRDefault="007E15D0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7E15D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882" w:type="pct"/>
            <w:hideMark/>
          </w:tcPr>
          <w:p w14:paraId="55CD25E8" w14:textId="46B098B4" w:rsidR="007E15D0" w:rsidRPr="007E15D0" w:rsidRDefault="007E15D0" w:rsidP="007E15D0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7E15D0">
              <w:rPr>
                <w:rFonts w:eastAsia="Times New Roman"/>
                <w:lang w:eastAsia="ru-RU"/>
              </w:rPr>
              <w:t>Інші процедури (уточнити)</w:t>
            </w:r>
          </w:p>
        </w:tc>
        <w:tc>
          <w:tcPr>
            <w:tcW w:w="861" w:type="pct"/>
            <w:vAlign w:val="center"/>
            <w:hideMark/>
          </w:tcPr>
          <w:p w14:paraId="3A340874" w14:textId="3C219E52" w:rsidR="007E15D0" w:rsidRPr="007E15D0" w:rsidRDefault="007E15D0" w:rsidP="00B16FC7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8" w:type="pct"/>
            <w:vAlign w:val="center"/>
          </w:tcPr>
          <w:p w14:paraId="79351571" w14:textId="177B4310" w:rsidR="007E15D0" w:rsidRPr="007E15D0" w:rsidRDefault="007E15D0" w:rsidP="008B2B3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800" w:type="pct"/>
            <w:vAlign w:val="center"/>
          </w:tcPr>
          <w:p w14:paraId="04847EF3" w14:textId="19D0A0D6" w:rsidR="007E15D0" w:rsidRPr="007E15D0" w:rsidRDefault="007E15D0" w:rsidP="008B2B3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</w:tr>
      <w:tr w:rsidR="008E4B01" w:rsidRPr="00C81928" w14:paraId="1A67C2FF" w14:textId="77777777" w:rsidTr="00FF29BC">
        <w:trPr>
          <w:trHeight w:val="12"/>
        </w:trPr>
        <w:tc>
          <w:tcPr>
            <w:tcW w:w="659" w:type="pct"/>
            <w:hideMark/>
          </w:tcPr>
          <w:p w14:paraId="245F402B" w14:textId="311B59A0" w:rsidR="008E4B01" w:rsidRPr="00C81928" w:rsidRDefault="008E4B01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882" w:type="pct"/>
            <w:hideMark/>
          </w:tcPr>
          <w:p w14:paraId="752D7607" w14:textId="77777777" w:rsidR="008E4B01" w:rsidRPr="00C81928" w:rsidRDefault="008E4B01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Разом, гривень</w:t>
            </w:r>
          </w:p>
          <w:p w14:paraId="6C15E486" w14:textId="77777777" w:rsidR="008E4B01" w:rsidRPr="00C81928" w:rsidRDefault="008E4B01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1EECDDCC" w14:textId="77777777" w:rsidR="008E4B01" w:rsidRPr="00C81928" w:rsidRDefault="008E4B01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(сума рядків 9 + 10 + 11 + 12 + 13)</w:t>
            </w:r>
          </w:p>
        </w:tc>
        <w:tc>
          <w:tcPr>
            <w:tcW w:w="861" w:type="pct"/>
            <w:vAlign w:val="center"/>
            <w:hideMark/>
          </w:tcPr>
          <w:p w14:paraId="6FB1E85E" w14:textId="4EBD10DA" w:rsidR="008E4B01" w:rsidRPr="00010332" w:rsidRDefault="00CA0B4C" w:rsidP="009B3241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528</w:t>
            </w:r>
          </w:p>
        </w:tc>
        <w:tc>
          <w:tcPr>
            <w:tcW w:w="798" w:type="pct"/>
            <w:vAlign w:val="center"/>
            <w:hideMark/>
          </w:tcPr>
          <w:p w14:paraId="1D0138A9" w14:textId="67F34D1B" w:rsidR="008E4B01" w:rsidRPr="00647B99" w:rsidRDefault="003C634E" w:rsidP="009B3241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647B99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800" w:type="pct"/>
            <w:vAlign w:val="center"/>
            <w:hideMark/>
          </w:tcPr>
          <w:p w14:paraId="14E11823" w14:textId="668294AC" w:rsidR="008E4B01" w:rsidRPr="00647B99" w:rsidRDefault="003C634E" w:rsidP="009B3241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647B99">
              <w:rPr>
                <w:rFonts w:eastAsia="Times New Roman"/>
                <w:lang w:eastAsia="ru-RU"/>
              </w:rPr>
              <w:t>2448</w:t>
            </w:r>
          </w:p>
        </w:tc>
      </w:tr>
      <w:tr w:rsidR="008E4B01" w:rsidRPr="00C81928" w14:paraId="00BDB7D9" w14:textId="77777777" w:rsidTr="00FF29BC">
        <w:trPr>
          <w:trHeight w:val="12"/>
        </w:trPr>
        <w:tc>
          <w:tcPr>
            <w:tcW w:w="659" w:type="pct"/>
            <w:hideMark/>
          </w:tcPr>
          <w:p w14:paraId="19B060AB" w14:textId="77777777" w:rsidR="008E4B01" w:rsidRPr="00C81928" w:rsidRDefault="008E4B01" w:rsidP="00B16FC7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882" w:type="pct"/>
            <w:hideMark/>
          </w:tcPr>
          <w:p w14:paraId="1E794429" w14:textId="77777777" w:rsidR="008E4B01" w:rsidRPr="00C81928" w:rsidRDefault="008E4B01" w:rsidP="0089232F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Кількість суб’єктів малого підприємництва, що повинні виконати вимоги регулювання, </w:t>
            </w:r>
            <w:r w:rsidRPr="00C81928">
              <w:rPr>
                <w:rFonts w:eastAsia="Times New Roman"/>
                <w:lang w:eastAsia="ru-RU"/>
              </w:rPr>
              <w:lastRenderedPageBreak/>
              <w:t>одиниць</w:t>
            </w:r>
          </w:p>
        </w:tc>
        <w:tc>
          <w:tcPr>
            <w:tcW w:w="861" w:type="pct"/>
            <w:vAlign w:val="center"/>
            <w:hideMark/>
          </w:tcPr>
          <w:p w14:paraId="2D3889AD" w14:textId="77777777" w:rsidR="008E4B01" w:rsidRPr="00C81928" w:rsidRDefault="008E4B01" w:rsidP="00B16FC7">
            <w:pPr>
              <w:jc w:val="center"/>
              <w:rPr>
                <w:rFonts w:eastAsia="Times New Roman"/>
                <w:b/>
                <w:lang w:val="en-US" w:eastAsia="ru-RU"/>
              </w:rPr>
            </w:pPr>
            <w:r w:rsidRPr="00C81928">
              <w:rPr>
                <w:rFonts w:eastAsia="Times New Roman"/>
                <w:lang w:eastAsia="ru-RU"/>
              </w:rPr>
              <w:lastRenderedPageBreak/>
              <w:t>4177</w:t>
            </w:r>
          </w:p>
        </w:tc>
        <w:tc>
          <w:tcPr>
            <w:tcW w:w="798" w:type="pct"/>
            <w:vAlign w:val="center"/>
            <w:hideMark/>
          </w:tcPr>
          <w:p w14:paraId="6D066ED6" w14:textId="77777777" w:rsidR="008E4B01" w:rsidRPr="00647B99" w:rsidRDefault="008E4B01" w:rsidP="00B16FC7">
            <w:pPr>
              <w:jc w:val="center"/>
              <w:rPr>
                <w:rFonts w:eastAsia="Times New Roman"/>
                <w:lang w:eastAsia="ru-RU"/>
              </w:rPr>
            </w:pPr>
            <w:r w:rsidRPr="00647B99">
              <w:rPr>
                <w:rFonts w:eastAsia="Times New Roman"/>
                <w:lang w:eastAsia="ru-RU"/>
              </w:rPr>
              <w:t>4177</w:t>
            </w:r>
          </w:p>
        </w:tc>
        <w:tc>
          <w:tcPr>
            <w:tcW w:w="800" w:type="pct"/>
            <w:vAlign w:val="center"/>
            <w:hideMark/>
          </w:tcPr>
          <w:p w14:paraId="7C9BFE4F" w14:textId="77777777" w:rsidR="00B16FC7" w:rsidRPr="00647B99" w:rsidRDefault="00B16FC7" w:rsidP="00B16FC7">
            <w:pPr>
              <w:jc w:val="center"/>
              <w:rPr>
                <w:rFonts w:eastAsia="Times New Roman"/>
                <w:lang w:eastAsia="ru-RU"/>
              </w:rPr>
            </w:pPr>
          </w:p>
          <w:p w14:paraId="2AD70267" w14:textId="77777777" w:rsidR="008E4B01" w:rsidRPr="00647B99" w:rsidRDefault="008E4B01" w:rsidP="00B16FC7">
            <w:pPr>
              <w:jc w:val="center"/>
              <w:rPr>
                <w:rFonts w:eastAsia="Times New Roman"/>
                <w:lang w:eastAsia="ru-RU"/>
              </w:rPr>
            </w:pPr>
            <w:r w:rsidRPr="00647B99">
              <w:rPr>
                <w:rFonts w:eastAsia="Times New Roman"/>
                <w:lang w:eastAsia="ru-RU"/>
              </w:rPr>
              <w:t>4177</w:t>
            </w:r>
          </w:p>
          <w:p w14:paraId="1583EA3C" w14:textId="77777777" w:rsidR="008E4B01" w:rsidRPr="00647B99" w:rsidRDefault="008E4B01" w:rsidP="00B16FC7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8E4B01" w:rsidRPr="00C81928" w14:paraId="7B838A16" w14:textId="77777777" w:rsidTr="00FF29BC">
        <w:trPr>
          <w:trHeight w:val="12"/>
        </w:trPr>
        <w:tc>
          <w:tcPr>
            <w:tcW w:w="659" w:type="pct"/>
            <w:hideMark/>
          </w:tcPr>
          <w:p w14:paraId="0942AE37" w14:textId="77777777" w:rsidR="008E4B01" w:rsidRPr="00C81928" w:rsidRDefault="008E4B01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882" w:type="pct"/>
            <w:hideMark/>
          </w:tcPr>
          <w:p w14:paraId="5E22382A" w14:textId="77777777" w:rsidR="008E4B01" w:rsidRPr="00C81928" w:rsidRDefault="008E4B01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Сумарно, гривень</w:t>
            </w:r>
          </w:p>
          <w:p w14:paraId="61D193D6" w14:textId="77777777" w:rsidR="008E4B01" w:rsidRPr="00C81928" w:rsidRDefault="008E4B01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4021628B" w14:textId="2325F707" w:rsidR="008E4B01" w:rsidRPr="00C81928" w:rsidRDefault="0097613B" w:rsidP="0089232F">
            <w:pPr>
              <w:spacing w:before="150" w:after="150"/>
              <w:ind w:left="152" w:right="8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lang w:eastAsia="ru-RU"/>
              </w:rPr>
              <w:t>відповідний стовпчик “разом</w:t>
            </w:r>
            <w:r w:rsidR="008E4B01" w:rsidRPr="00C81928">
              <w:rPr>
                <w:rFonts w:eastAsia="Times New Roman"/>
                <w:i/>
                <w:iCs/>
                <w:lang w:eastAsia="ru-RU"/>
              </w:rPr>
              <w:t xml:space="preserve">” </w:t>
            </w:r>
            <w:r w:rsidR="006459FC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="008E4B01" w:rsidRPr="00C81928">
              <w:rPr>
                <w:rFonts w:eastAsia="Times New Roman"/>
                <w:i/>
                <w:iCs/>
                <w:lang w:eastAsia="ru-RU"/>
              </w:rPr>
              <w:t xml:space="preserve"> кількість суб’єктів малого підприємництва, що повинні виконати вимоги регулювання (рядок 14 </w:t>
            </w:r>
            <w:r w:rsidR="00487105" w:rsidRPr="00C81928">
              <w:rPr>
                <w:rFonts w:eastAsia="Times New Roman"/>
                <w:i/>
                <w:iCs/>
                <w:lang w:eastAsia="ru-RU"/>
              </w:rPr>
              <w:t xml:space="preserve">х </w:t>
            </w:r>
            <w:r w:rsidR="008E4B01" w:rsidRPr="00C81928">
              <w:rPr>
                <w:rFonts w:eastAsia="Times New Roman"/>
                <w:i/>
                <w:iCs/>
                <w:lang w:eastAsia="ru-RU"/>
              </w:rPr>
              <w:t>рядок 15)</w:t>
            </w:r>
          </w:p>
        </w:tc>
        <w:tc>
          <w:tcPr>
            <w:tcW w:w="861" w:type="pct"/>
            <w:hideMark/>
          </w:tcPr>
          <w:p w14:paraId="5BCE3441" w14:textId="77777777" w:rsidR="008E4B01" w:rsidRPr="00601A7A" w:rsidRDefault="008E4B01" w:rsidP="00C81928">
            <w:pPr>
              <w:spacing w:before="150" w:after="150"/>
              <w:rPr>
                <w:rFonts w:eastAsia="Times New Roman"/>
                <w:lang w:eastAsia="ru-RU"/>
              </w:rPr>
            </w:pPr>
          </w:p>
          <w:p w14:paraId="10B77F94" w14:textId="77777777" w:rsidR="008E4B01" w:rsidRPr="00601A7A" w:rsidRDefault="008E4B01" w:rsidP="00C81928">
            <w:pPr>
              <w:spacing w:before="150" w:after="150"/>
              <w:rPr>
                <w:rFonts w:eastAsia="Times New Roman"/>
                <w:lang w:eastAsia="ru-RU"/>
              </w:rPr>
            </w:pPr>
          </w:p>
          <w:p w14:paraId="6AA5FBB2" w14:textId="571F0E3D" w:rsidR="008E4B01" w:rsidRPr="00601A7A" w:rsidRDefault="00CA0B4C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2</w:t>
            </w:r>
            <w:r w:rsidR="008A2D71">
              <w:rPr>
                <w:rFonts w:eastAsia="Times New Roman"/>
                <w:lang w:val="ru-RU" w:eastAsia="ru-RU"/>
              </w:rPr>
              <w:t xml:space="preserve"> </w:t>
            </w:r>
            <w:r>
              <w:rPr>
                <w:rFonts w:eastAsia="Times New Roman"/>
                <w:lang w:val="ru-RU" w:eastAsia="ru-RU"/>
              </w:rPr>
              <w:t>205</w:t>
            </w:r>
            <w:r w:rsidR="008A2D71">
              <w:rPr>
                <w:rFonts w:eastAsia="Times New Roman"/>
                <w:lang w:val="ru-RU" w:eastAsia="ru-RU"/>
              </w:rPr>
              <w:t xml:space="preserve"> </w:t>
            </w:r>
            <w:r>
              <w:rPr>
                <w:rFonts w:eastAsia="Times New Roman"/>
                <w:lang w:val="ru-RU" w:eastAsia="ru-RU"/>
              </w:rPr>
              <w:t>456</w:t>
            </w:r>
          </w:p>
        </w:tc>
        <w:tc>
          <w:tcPr>
            <w:tcW w:w="798" w:type="pct"/>
            <w:hideMark/>
          </w:tcPr>
          <w:p w14:paraId="7CB5DEEF" w14:textId="77777777" w:rsidR="008E4B01" w:rsidRPr="00647B99" w:rsidRDefault="008E4B01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</w:p>
          <w:p w14:paraId="68368004" w14:textId="77777777" w:rsidR="008E4B01" w:rsidRPr="00647B99" w:rsidRDefault="008E4B01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</w:p>
          <w:p w14:paraId="0DDA09C6" w14:textId="2A1EDD45" w:rsidR="008E4B01" w:rsidRPr="00647B99" w:rsidRDefault="00CA0B4C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647B99">
              <w:rPr>
                <w:rFonts w:eastAsia="Times New Roman"/>
                <w:lang w:val="ru-RU" w:eastAsia="ru-RU"/>
              </w:rPr>
              <w:t>2</w:t>
            </w:r>
            <w:r w:rsidR="00112A55" w:rsidRPr="00647B99">
              <w:rPr>
                <w:rFonts w:eastAsia="Times New Roman"/>
                <w:lang w:val="ru-RU" w:eastAsia="ru-RU"/>
              </w:rPr>
              <w:t> 004 960</w:t>
            </w:r>
          </w:p>
        </w:tc>
        <w:tc>
          <w:tcPr>
            <w:tcW w:w="800" w:type="pct"/>
            <w:hideMark/>
          </w:tcPr>
          <w:p w14:paraId="00B5AF20" w14:textId="77777777" w:rsidR="008E4B01" w:rsidRPr="00647B99" w:rsidRDefault="008E4B01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</w:p>
          <w:p w14:paraId="550C08F5" w14:textId="77777777" w:rsidR="008E4B01" w:rsidRPr="00647B99" w:rsidRDefault="008E4B01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</w:p>
          <w:p w14:paraId="49C090E5" w14:textId="6185EA44" w:rsidR="008E4B01" w:rsidRPr="00647B99" w:rsidRDefault="00CA0B4C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647B99">
              <w:rPr>
                <w:rFonts w:eastAsia="Times New Roman"/>
                <w:lang w:eastAsia="ru-RU"/>
              </w:rPr>
              <w:t>10</w:t>
            </w:r>
            <w:r w:rsidR="00112A55" w:rsidRPr="00647B99">
              <w:rPr>
                <w:rFonts w:eastAsia="Times New Roman"/>
                <w:lang w:eastAsia="ru-RU"/>
              </w:rPr>
              <w:t> 225 296</w:t>
            </w:r>
          </w:p>
        </w:tc>
      </w:tr>
    </w:tbl>
    <w:p w14:paraId="04E6012D" w14:textId="77777777" w:rsidR="00B16FC7" w:rsidRDefault="00B16FC7" w:rsidP="00C81928">
      <w:pPr>
        <w:shd w:val="clear" w:color="auto" w:fill="FFFFFF"/>
        <w:ind w:left="448" w:right="448"/>
        <w:jc w:val="center"/>
        <w:rPr>
          <w:rFonts w:eastAsia="Times New Roman"/>
          <w:sz w:val="20"/>
          <w:szCs w:val="20"/>
          <w:lang w:eastAsia="ru-RU"/>
        </w:rPr>
      </w:pPr>
      <w:bookmarkStart w:id="18" w:name="n208"/>
      <w:bookmarkEnd w:id="18"/>
    </w:p>
    <w:p w14:paraId="52BFF3ED" w14:textId="05856519" w:rsidR="00B11CA2" w:rsidRPr="00FA59BC" w:rsidRDefault="00B11CA2" w:rsidP="00B16FC7">
      <w:pPr>
        <w:shd w:val="clear" w:color="auto" w:fill="FFFFFF"/>
        <w:tabs>
          <w:tab w:val="left" w:pos="9638"/>
        </w:tabs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FA59BC">
        <w:rPr>
          <w:rFonts w:eastAsia="Times New Roman"/>
          <w:sz w:val="20"/>
          <w:szCs w:val="20"/>
          <w:lang w:eastAsia="ru-RU"/>
        </w:rPr>
        <w:t xml:space="preserve">* </w:t>
      </w:r>
      <w:r w:rsidR="00DD2883" w:rsidRPr="00FA59BC">
        <w:rPr>
          <w:rFonts w:eastAsia="Times New Roman"/>
          <w:sz w:val="20"/>
          <w:szCs w:val="20"/>
          <w:lang w:eastAsia="ru-RU"/>
        </w:rPr>
        <w:t xml:space="preserve">Розрахунок відповідних витрат на одного суб’єкта господарювання  наведено </w:t>
      </w:r>
      <w:r w:rsidR="008878C3" w:rsidRPr="00FA59BC">
        <w:rPr>
          <w:rFonts w:eastAsia="Times New Roman"/>
          <w:sz w:val="20"/>
          <w:szCs w:val="20"/>
          <w:lang w:eastAsia="ru-RU"/>
        </w:rPr>
        <w:t>у п.</w:t>
      </w:r>
      <w:r w:rsidR="00DD2883" w:rsidRPr="00FA59BC">
        <w:rPr>
          <w:rFonts w:eastAsia="Times New Roman"/>
          <w:sz w:val="20"/>
          <w:szCs w:val="20"/>
          <w:lang w:eastAsia="ru-RU"/>
        </w:rPr>
        <w:t xml:space="preserve"> </w:t>
      </w:r>
      <w:r w:rsidR="008878C3" w:rsidRPr="00FA59BC">
        <w:rPr>
          <w:rFonts w:eastAsia="Times New Roman"/>
          <w:sz w:val="20"/>
          <w:szCs w:val="20"/>
          <w:lang w:eastAsia="ru-RU"/>
        </w:rPr>
        <w:t xml:space="preserve">п. </w:t>
      </w:r>
      <w:r w:rsidR="00DD2883" w:rsidRPr="00FA59BC">
        <w:rPr>
          <w:rFonts w:eastAsia="Times New Roman"/>
          <w:sz w:val="20"/>
          <w:szCs w:val="20"/>
          <w:lang w:eastAsia="ru-RU"/>
        </w:rPr>
        <w:t xml:space="preserve">5, 6 </w:t>
      </w:r>
      <w:r w:rsidRPr="00FA59BC">
        <w:rPr>
          <w:rFonts w:eastAsia="Times New Roman"/>
          <w:sz w:val="20"/>
          <w:szCs w:val="20"/>
          <w:lang w:eastAsia="ru-RU"/>
        </w:rPr>
        <w:t>таблиці 1 для альтернативи 2.</w:t>
      </w:r>
    </w:p>
    <w:p w14:paraId="2595001E" w14:textId="0945B867" w:rsidR="00B16FC7" w:rsidRDefault="00B16FC7" w:rsidP="00B16FC7">
      <w:pPr>
        <w:shd w:val="clear" w:color="auto" w:fill="FFFFFF"/>
        <w:tabs>
          <w:tab w:val="left" w:pos="9638"/>
        </w:tabs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2D2D54">
        <w:rPr>
          <w:rFonts w:eastAsia="Times New Roman"/>
          <w:sz w:val="20"/>
          <w:szCs w:val="20"/>
          <w:lang w:eastAsia="ru-RU"/>
        </w:rPr>
        <w:t>*</w:t>
      </w:r>
      <w:r w:rsidR="00B11CA2" w:rsidRPr="002D2D54">
        <w:rPr>
          <w:rFonts w:eastAsia="Times New Roman"/>
          <w:sz w:val="20"/>
          <w:szCs w:val="20"/>
          <w:lang w:eastAsia="ru-RU"/>
        </w:rPr>
        <w:t>*</w:t>
      </w:r>
      <w:r w:rsidRPr="00B11CA2">
        <w:rPr>
          <w:rFonts w:eastAsia="Times New Roman"/>
          <w:color w:val="00B050"/>
          <w:sz w:val="20"/>
          <w:szCs w:val="20"/>
          <w:lang w:eastAsia="ru-RU"/>
        </w:rPr>
        <w:t xml:space="preserve"> </w:t>
      </w:r>
      <w:r w:rsidRPr="00B16FC7">
        <w:rPr>
          <w:rFonts w:eastAsia="Times New Roman"/>
          <w:sz w:val="20"/>
          <w:szCs w:val="20"/>
          <w:lang w:eastAsia="ru-RU"/>
        </w:rPr>
        <w:t>Розрахунок середньої заробітної плати по Україні здійснено відповідно до Закону України «Про державний бюджет України на 2025 рік», яким затверджено розмір мінімальної заробітної плати на 2025 рік, у місячному розмірі з 1 січня 2025 року становить 8000 гривень, погодинна – 48,0 гривень.</w:t>
      </w:r>
    </w:p>
    <w:p w14:paraId="35DBEB29" w14:textId="77777777" w:rsidR="00596121" w:rsidRDefault="00596121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24049BE" w14:textId="4E57E546" w:rsidR="008A46F0" w:rsidRPr="008A46F0" w:rsidRDefault="008A46F0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  <w:r w:rsidRPr="008A46F0">
        <w:rPr>
          <w:rFonts w:eastAsia="Times New Roman"/>
          <w:b/>
          <w:sz w:val="28"/>
          <w:szCs w:val="28"/>
          <w:lang w:eastAsia="ru-RU"/>
        </w:rPr>
        <w:t xml:space="preserve">Бюджетні витрати </w:t>
      </w:r>
    </w:p>
    <w:p w14:paraId="5759D637" w14:textId="07C72A04" w:rsidR="008A46F0" w:rsidRPr="008A46F0" w:rsidRDefault="008A46F0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  <w:r w:rsidRPr="008A46F0">
        <w:rPr>
          <w:rFonts w:eastAsia="Times New Roman"/>
          <w:b/>
          <w:sz w:val="28"/>
          <w:szCs w:val="28"/>
          <w:lang w:eastAsia="ru-RU"/>
        </w:rPr>
        <w:t xml:space="preserve">на адміністрування регулювання суб’єктів </w:t>
      </w:r>
      <w:r w:rsidR="00217013">
        <w:rPr>
          <w:rFonts w:eastAsia="Times New Roman"/>
          <w:b/>
          <w:sz w:val="28"/>
          <w:szCs w:val="28"/>
          <w:lang w:eastAsia="ru-RU"/>
        </w:rPr>
        <w:t xml:space="preserve">малого </w:t>
      </w:r>
      <w:r w:rsidRPr="008A46F0">
        <w:rPr>
          <w:rFonts w:eastAsia="Times New Roman"/>
          <w:b/>
          <w:sz w:val="28"/>
          <w:szCs w:val="28"/>
          <w:lang w:eastAsia="ru-RU"/>
        </w:rPr>
        <w:t>підприємництва</w:t>
      </w:r>
    </w:p>
    <w:p w14:paraId="2C7BCDCE" w14:textId="77777777" w:rsidR="008A46F0" w:rsidRPr="008A46F0" w:rsidRDefault="008A46F0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49318CD" w14:textId="77777777" w:rsidR="008A46F0" w:rsidRDefault="008A46F0" w:rsidP="008A46F0">
      <w:pPr>
        <w:shd w:val="clear" w:color="auto" w:fill="FFFFFF"/>
        <w:spacing w:after="150"/>
        <w:ind w:firstLine="450"/>
        <w:jc w:val="both"/>
        <w:rPr>
          <w:rFonts w:eastAsia="Times New Roman"/>
          <w:sz w:val="28"/>
          <w:szCs w:val="28"/>
          <w:lang w:eastAsia="ru-RU"/>
        </w:rPr>
      </w:pPr>
      <w:bookmarkStart w:id="19" w:name="n209"/>
      <w:bookmarkEnd w:id="19"/>
      <w:r w:rsidRPr="008A46F0">
        <w:rPr>
          <w:rFonts w:eastAsia="Times New Roman"/>
          <w:sz w:val="28"/>
          <w:szCs w:val="28"/>
          <w:lang w:eastAsia="ru-RU"/>
        </w:rPr>
        <w:t>Розрахунок витрат на адміністрування регулювання здійснюється Державною митною службою України.</w:t>
      </w:r>
    </w:p>
    <w:tbl>
      <w:tblPr>
        <w:tblW w:w="5209" w:type="pc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5"/>
        <w:gridCol w:w="1292"/>
        <w:gridCol w:w="1580"/>
        <w:gridCol w:w="1496"/>
        <w:gridCol w:w="1987"/>
        <w:gridCol w:w="1556"/>
      </w:tblGrid>
      <w:tr w:rsidR="008A46F0" w:rsidRPr="008A46F0" w14:paraId="79836120" w14:textId="77777777" w:rsidTr="009D3A0A">
        <w:trPr>
          <w:tblHeader/>
        </w:trPr>
        <w:tc>
          <w:tcPr>
            <w:tcW w:w="1070" w:type="pct"/>
            <w:hideMark/>
          </w:tcPr>
          <w:p w14:paraId="3A2B3675" w14:textId="63EE4F49" w:rsidR="008A46F0" w:rsidRPr="00450A5C" w:rsidRDefault="008A46F0" w:rsidP="00217013">
            <w:pPr>
              <w:spacing w:before="150" w:after="150"/>
              <w:jc w:val="center"/>
              <w:rPr>
                <w:rFonts w:eastAsia="Times New Roman"/>
                <w:b/>
                <w:lang w:eastAsia="ru-RU"/>
              </w:rPr>
            </w:pPr>
            <w:bookmarkStart w:id="20" w:name="n210"/>
            <w:bookmarkStart w:id="21" w:name="n212"/>
            <w:bookmarkEnd w:id="20"/>
            <w:bookmarkEnd w:id="21"/>
            <w:r w:rsidRPr="00450A5C">
              <w:rPr>
                <w:rFonts w:eastAsia="Times New Roman"/>
                <w:b/>
                <w:lang w:eastAsia="ru-RU"/>
              </w:rPr>
              <w:t xml:space="preserve">Процедура регулювання суб’єктів </w:t>
            </w:r>
            <w:r w:rsidR="00217013" w:rsidRPr="00450A5C">
              <w:rPr>
                <w:rFonts w:eastAsia="Times New Roman"/>
                <w:b/>
                <w:lang w:eastAsia="ru-RU"/>
              </w:rPr>
              <w:t>малого</w:t>
            </w:r>
            <w:r w:rsidRPr="00450A5C">
              <w:rPr>
                <w:rFonts w:eastAsia="Times New Roman"/>
                <w:b/>
                <w:lang w:eastAsia="ru-RU"/>
              </w:rPr>
              <w:t xml:space="preserve"> підприємництва (розрахунок на одного типового суб’єкта господарювання)</w:t>
            </w:r>
          </w:p>
        </w:tc>
        <w:tc>
          <w:tcPr>
            <w:tcW w:w="642" w:type="pct"/>
            <w:hideMark/>
          </w:tcPr>
          <w:p w14:paraId="26D4F302" w14:textId="77777777" w:rsidR="008A46F0" w:rsidRPr="008A46F0" w:rsidRDefault="008A46F0" w:rsidP="008A46F0">
            <w:pPr>
              <w:spacing w:before="150" w:after="150"/>
              <w:jc w:val="center"/>
              <w:rPr>
                <w:rFonts w:eastAsia="Times New Roman"/>
                <w:b/>
                <w:lang w:eastAsia="ru-RU"/>
              </w:rPr>
            </w:pPr>
            <w:r w:rsidRPr="008A46F0">
              <w:rPr>
                <w:rFonts w:eastAsia="Times New Roman"/>
                <w:b/>
                <w:lang w:eastAsia="ru-RU"/>
              </w:rPr>
              <w:t>Планові витрати часу на процедуру</w:t>
            </w:r>
          </w:p>
        </w:tc>
        <w:tc>
          <w:tcPr>
            <w:tcW w:w="785" w:type="pct"/>
            <w:hideMark/>
          </w:tcPr>
          <w:p w14:paraId="527B58A9" w14:textId="77777777" w:rsidR="008A46F0" w:rsidRPr="008A46F0" w:rsidRDefault="008A46F0" w:rsidP="008A46F0">
            <w:pPr>
              <w:spacing w:before="150" w:after="150"/>
              <w:jc w:val="center"/>
              <w:rPr>
                <w:rFonts w:eastAsia="Times New Roman"/>
                <w:b/>
                <w:lang w:eastAsia="ru-RU"/>
              </w:rPr>
            </w:pPr>
            <w:r w:rsidRPr="008A46F0">
              <w:rPr>
                <w:rFonts w:eastAsia="Times New Roman"/>
                <w:b/>
                <w:lang w:eastAsia="ru-RU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743" w:type="pct"/>
            <w:hideMark/>
          </w:tcPr>
          <w:p w14:paraId="6105296E" w14:textId="77777777" w:rsidR="008A46F0" w:rsidRPr="008A46F0" w:rsidRDefault="008A46F0" w:rsidP="008A46F0">
            <w:pPr>
              <w:spacing w:before="150" w:after="150"/>
              <w:jc w:val="center"/>
              <w:rPr>
                <w:rFonts w:eastAsia="Times New Roman"/>
                <w:b/>
                <w:lang w:eastAsia="ru-RU"/>
              </w:rPr>
            </w:pPr>
            <w:r w:rsidRPr="008A46F0">
              <w:rPr>
                <w:rFonts w:eastAsia="Times New Roman"/>
                <w:b/>
                <w:lang w:eastAsia="ru-RU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987" w:type="pct"/>
            <w:hideMark/>
          </w:tcPr>
          <w:p w14:paraId="1E13393B" w14:textId="77777777" w:rsidR="008A46F0" w:rsidRPr="008A46F0" w:rsidRDefault="008A46F0" w:rsidP="008A46F0">
            <w:pPr>
              <w:spacing w:before="150" w:after="150"/>
              <w:jc w:val="center"/>
              <w:rPr>
                <w:rFonts w:eastAsia="Times New Roman"/>
                <w:b/>
                <w:lang w:eastAsia="ru-RU"/>
              </w:rPr>
            </w:pPr>
            <w:r w:rsidRPr="008A46F0">
              <w:rPr>
                <w:rFonts w:eastAsia="Times New Roman"/>
                <w:b/>
                <w:lang w:eastAsia="ru-RU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774" w:type="pct"/>
            <w:hideMark/>
          </w:tcPr>
          <w:p w14:paraId="62873EDC" w14:textId="77777777" w:rsidR="008A46F0" w:rsidRPr="008A46F0" w:rsidRDefault="008A46F0" w:rsidP="008A46F0">
            <w:pPr>
              <w:spacing w:before="150" w:after="150"/>
              <w:jc w:val="center"/>
              <w:rPr>
                <w:rFonts w:eastAsia="Times New Roman"/>
                <w:b/>
                <w:lang w:eastAsia="ru-RU"/>
              </w:rPr>
            </w:pPr>
            <w:r w:rsidRPr="008A46F0">
              <w:rPr>
                <w:rFonts w:eastAsia="Times New Roman"/>
                <w:b/>
                <w:lang w:eastAsia="ru-RU"/>
              </w:rPr>
              <w:t>Витрати на адміністрування регулювання* (за рік), гривень</w:t>
            </w:r>
          </w:p>
        </w:tc>
      </w:tr>
      <w:tr w:rsidR="008A46F0" w:rsidRPr="008A46F0" w14:paraId="65593FB2" w14:textId="77777777" w:rsidTr="009D3A0A">
        <w:tc>
          <w:tcPr>
            <w:tcW w:w="1070" w:type="pct"/>
            <w:hideMark/>
          </w:tcPr>
          <w:p w14:paraId="19B9FABC" w14:textId="77777777" w:rsidR="00B81BC8" w:rsidRPr="002D2D54" w:rsidRDefault="00B81BC8" w:rsidP="003B53E5">
            <w:pPr>
              <w:ind w:left="130" w:right="156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eastAsia="ru-RU"/>
              </w:rPr>
              <w:t>7.</w:t>
            </w:r>
            <w:r w:rsidR="008A46F0" w:rsidRPr="002D2D54">
              <w:rPr>
                <w:rFonts w:eastAsia="Times New Roman"/>
                <w:lang w:eastAsia="ru-RU"/>
              </w:rPr>
              <w:t xml:space="preserve"> </w:t>
            </w:r>
            <w:r w:rsidRPr="002D2D54">
              <w:rPr>
                <w:rFonts w:eastAsia="Times New Roman"/>
                <w:lang w:eastAsia="ru-RU"/>
              </w:rPr>
              <w:t>Інші адміністративні процедури (уточнити):</w:t>
            </w:r>
          </w:p>
          <w:p w14:paraId="1150039F" w14:textId="77777777" w:rsidR="00B81BC8" w:rsidRPr="002D2D54" w:rsidRDefault="00B81BC8" w:rsidP="00BE45DE">
            <w:pPr>
              <w:ind w:left="130" w:right="156"/>
              <w:jc w:val="both"/>
              <w:rPr>
                <w:rFonts w:eastAsia="Times New Roman"/>
                <w:lang w:eastAsia="ru-RU"/>
              </w:rPr>
            </w:pPr>
          </w:p>
          <w:p w14:paraId="5ED5F9B9" w14:textId="66DD48EC" w:rsidR="00217013" w:rsidRPr="002D2D54" w:rsidRDefault="003B53E5" w:rsidP="00BE45DE">
            <w:pPr>
              <w:ind w:left="130" w:right="156"/>
              <w:jc w:val="both"/>
              <w:rPr>
                <w:rStyle w:val="font141"/>
                <w:sz w:val="24"/>
                <w:szCs w:val="24"/>
              </w:rPr>
            </w:pPr>
            <w:r w:rsidRPr="002D2D54">
              <w:rPr>
                <w:rFonts w:eastAsia="Times New Roman"/>
                <w:lang w:eastAsia="ru-RU"/>
              </w:rPr>
              <w:t xml:space="preserve">7.1. </w:t>
            </w:r>
            <w:r w:rsidR="0075208D" w:rsidRPr="002D2D54">
              <w:rPr>
                <w:rFonts w:eastAsia="Times New Roman"/>
                <w:lang w:eastAsia="ru-RU"/>
              </w:rPr>
              <w:t xml:space="preserve">Розгляд </w:t>
            </w:r>
            <w:r w:rsidR="00B81BC8" w:rsidRPr="002D2D54">
              <w:rPr>
                <w:rFonts w:eastAsia="Times New Roman"/>
                <w:lang w:eastAsia="ru-RU"/>
              </w:rPr>
              <w:t xml:space="preserve">додаткових документів до </w:t>
            </w:r>
            <w:r w:rsidR="0075208D" w:rsidRPr="002D2D54">
              <w:rPr>
                <w:rFonts w:eastAsia="Times New Roman"/>
                <w:lang w:eastAsia="ru-RU"/>
              </w:rPr>
              <w:t xml:space="preserve">заяви експортера шляхом </w:t>
            </w:r>
            <w:r w:rsidR="0075208D" w:rsidRPr="002D2D54">
              <w:rPr>
                <w:rStyle w:val="font141"/>
                <w:sz w:val="24"/>
                <w:szCs w:val="24"/>
              </w:rPr>
              <w:t xml:space="preserve">перевірки перед </w:t>
            </w:r>
            <w:r w:rsidR="0075208D" w:rsidRPr="002D2D54">
              <w:rPr>
                <w:rStyle w:val="font141"/>
                <w:sz w:val="24"/>
                <w:szCs w:val="24"/>
              </w:rPr>
              <w:lastRenderedPageBreak/>
              <w:t xml:space="preserve">видачею сертифіката EUR.1 правильності </w:t>
            </w:r>
            <w:r w:rsidR="00B81BC8" w:rsidRPr="002D2D54">
              <w:rPr>
                <w:rStyle w:val="font141"/>
                <w:sz w:val="24"/>
                <w:szCs w:val="24"/>
              </w:rPr>
              <w:t xml:space="preserve">їх складання </w:t>
            </w:r>
            <w:r w:rsidR="0075208D" w:rsidRPr="002D2D54">
              <w:rPr>
                <w:rStyle w:val="font141"/>
                <w:sz w:val="24"/>
                <w:szCs w:val="24"/>
              </w:rPr>
              <w:t>та усунення суб’єктом господарювання причин, що призвели до прийняття рішення про відмову у видачі сертифіката EUR.1</w:t>
            </w:r>
            <w:r w:rsidR="00217013" w:rsidRPr="002D2D54">
              <w:rPr>
                <w:rStyle w:val="font141"/>
                <w:sz w:val="24"/>
                <w:szCs w:val="24"/>
              </w:rPr>
              <w:t>;</w:t>
            </w:r>
            <w:r w:rsidR="0075208D" w:rsidRPr="002D2D54">
              <w:rPr>
                <w:rStyle w:val="font141"/>
                <w:sz w:val="24"/>
                <w:szCs w:val="24"/>
              </w:rPr>
              <w:t xml:space="preserve"> </w:t>
            </w:r>
          </w:p>
          <w:p w14:paraId="4031F559" w14:textId="794B0486" w:rsidR="008A46F0" w:rsidRPr="002D2D54" w:rsidRDefault="0075208D" w:rsidP="00BE45DE">
            <w:pPr>
              <w:ind w:left="130" w:right="156"/>
              <w:jc w:val="both"/>
              <w:rPr>
                <w:rFonts w:eastAsia="Times New Roman"/>
                <w:lang w:eastAsia="ru-RU"/>
              </w:rPr>
            </w:pPr>
            <w:r w:rsidRPr="002D2D54">
              <w:rPr>
                <w:rStyle w:val="font141"/>
                <w:sz w:val="24"/>
                <w:szCs w:val="24"/>
              </w:rPr>
              <w:t xml:space="preserve">надіслання на адресу експортера електронних повідомлень про розгляд заяви </w:t>
            </w:r>
          </w:p>
        </w:tc>
        <w:tc>
          <w:tcPr>
            <w:tcW w:w="642" w:type="pct"/>
            <w:vAlign w:val="center"/>
            <w:hideMark/>
          </w:tcPr>
          <w:p w14:paraId="579E2063" w14:textId="3DAC271E" w:rsidR="008A46F0" w:rsidRPr="00684320" w:rsidRDefault="0044235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785" w:type="pct"/>
            <w:vAlign w:val="center"/>
            <w:hideMark/>
          </w:tcPr>
          <w:p w14:paraId="684D53A0" w14:textId="4A6FA587" w:rsidR="008A46F0" w:rsidRPr="001179A5" w:rsidRDefault="001179A5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43" w:type="pct"/>
            <w:vAlign w:val="center"/>
            <w:hideMark/>
          </w:tcPr>
          <w:p w14:paraId="798DFCE9" w14:textId="6A15BA33" w:rsidR="008A46F0" w:rsidRPr="008A46F0" w:rsidRDefault="00AF77B7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87" w:type="pct"/>
            <w:vAlign w:val="center"/>
            <w:hideMark/>
          </w:tcPr>
          <w:p w14:paraId="572C640A" w14:textId="08F04320" w:rsidR="008A46F0" w:rsidRPr="008A46F0" w:rsidRDefault="0021701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852A3">
              <w:rPr>
                <w:rFonts w:eastAsiaTheme="minorHAnsi"/>
                <w:lang w:eastAsia="en-US"/>
              </w:rPr>
              <w:t>4147</w:t>
            </w:r>
          </w:p>
        </w:tc>
        <w:tc>
          <w:tcPr>
            <w:tcW w:w="774" w:type="pct"/>
            <w:vAlign w:val="center"/>
            <w:hideMark/>
          </w:tcPr>
          <w:p w14:paraId="5D06B4F7" w14:textId="2B4ABFC9" w:rsidR="008A46F0" w:rsidRPr="008A46F0" w:rsidRDefault="00EB500C" w:rsidP="00601A7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8A2D7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137</w:t>
            </w:r>
            <w:r w:rsidR="008A2D7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696</w:t>
            </w:r>
          </w:p>
        </w:tc>
      </w:tr>
      <w:tr w:rsidR="008A46F0" w:rsidRPr="008A46F0" w14:paraId="0BF6B94F" w14:textId="77777777" w:rsidTr="009D3A0A">
        <w:tc>
          <w:tcPr>
            <w:tcW w:w="1070" w:type="pct"/>
            <w:hideMark/>
          </w:tcPr>
          <w:p w14:paraId="2BED72F2" w14:textId="45CF0892" w:rsidR="008A46F0" w:rsidRPr="002D2D54" w:rsidRDefault="003B53E5" w:rsidP="00BE45DE">
            <w:pPr>
              <w:tabs>
                <w:tab w:val="left" w:pos="347"/>
              </w:tabs>
              <w:spacing w:before="150" w:after="150"/>
              <w:ind w:left="130" w:right="156"/>
              <w:jc w:val="both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val="ru-RU" w:eastAsia="ru-RU"/>
              </w:rPr>
              <w:t>7.</w:t>
            </w:r>
            <w:r w:rsidR="00217013" w:rsidRPr="002D2D54">
              <w:rPr>
                <w:rFonts w:eastAsia="Times New Roman"/>
                <w:lang w:val="ru-RU" w:eastAsia="ru-RU"/>
              </w:rPr>
              <w:t>2.</w:t>
            </w:r>
            <w:r w:rsidR="00BE45DE" w:rsidRPr="002D2D54">
              <w:rPr>
                <w:rFonts w:eastAsia="Times New Roman"/>
                <w:lang w:val="ru-RU" w:eastAsia="ru-RU"/>
              </w:rPr>
              <w:t xml:space="preserve"> </w:t>
            </w:r>
            <w:r w:rsidR="00217013" w:rsidRPr="002D2D54">
              <w:rPr>
                <w:rFonts w:eastAsia="Times New Roman"/>
                <w:lang w:eastAsia="ru-RU"/>
              </w:rPr>
              <w:t>Проведення консультацій за зверненнями експортерів з питань застосування преференційних правил походження та надання додаткових документів</w:t>
            </w:r>
          </w:p>
        </w:tc>
        <w:tc>
          <w:tcPr>
            <w:tcW w:w="642" w:type="pct"/>
            <w:vAlign w:val="center"/>
            <w:hideMark/>
          </w:tcPr>
          <w:p w14:paraId="4F5F7B3D" w14:textId="2AF2030D" w:rsidR="008A46F0" w:rsidRPr="008A46F0" w:rsidRDefault="007852A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852A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85" w:type="pct"/>
            <w:vAlign w:val="center"/>
            <w:hideMark/>
          </w:tcPr>
          <w:p w14:paraId="1D07BE63" w14:textId="12D06C4C" w:rsidR="008A46F0" w:rsidRPr="008A46F0" w:rsidRDefault="001179A5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43" w:type="pct"/>
            <w:vAlign w:val="center"/>
            <w:hideMark/>
          </w:tcPr>
          <w:p w14:paraId="4D1F8CAB" w14:textId="108A3BD6" w:rsidR="008A46F0" w:rsidRPr="008A46F0" w:rsidRDefault="00AF77B7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87" w:type="pct"/>
            <w:vAlign w:val="center"/>
            <w:hideMark/>
          </w:tcPr>
          <w:p w14:paraId="4E645882" w14:textId="30621FD8" w:rsidR="008A46F0" w:rsidRPr="008A46F0" w:rsidRDefault="007852A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74" w:type="pct"/>
            <w:vAlign w:val="center"/>
            <w:hideMark/>
          </w:tcPr>
          <w:p w14:paraId="7AA44BA4" w14:textId="6DAC582F" w:rsidR="008A46F0" w:rsidRPr="008A46F0" w:rsidRDefault="006B6EA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8A2D7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200</w:t>
            </w:r>
          </w:p>
        </w:tc>
      </w:tr>
      <w:tr w:rsidR="007852A3" w:rsidRPr="008A46F0" w14:paraId="45EE7CEC" w14:textId="77777777" w:rsidTr="009D3A0A">
        <w:tc>
          <w:tcPr>
            <w:tcW w:w="1070" w:type="pct"/>
            <w:hideMark/>
          </w:tcPr>
          <w:p w14:paraId="2C844328" w14:textId="77777777" w:rsidR="007852A3" w:rsidRPr="002D2D54" w:rsidRDefault="007852A3" w:rsidP="008A46F0">
            <w:pPr>
              <w:spacing w:before="150" w:after="150"/>
              <w:ind w:left="142" w:right="96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eastAsia="ru-RU"/>
              </w:rPr>
              <w:t>Разом за рік</w:t>
            </w:r>
          </w:p>
        </w:tc>
        <w:tc>
          <w:tcPr>
            <w:tcW w:w="642" w:type="pct"/>
            <w:hideMark/>
          </w:tcPr>
          <w:p w14:paraId="691120FB" w14:textId="7D01A628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85" w:type="pct"/>
            <w:hideMark/>
          </w:tcPr>
          <w:p w14:paraId="512B3A03" w14:textId="7732C15B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43" w:type="pct"/>
            <w:hideMark/>
          </w:tcPr>
          <w:p w14:paraId="025D7676" w14:textId="754CC7AB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87" w:type="pct"/>
            <w:hideMark/>
          </w:tcPr>
          <w:p w14:paraId="56963986" w14:textId="74962696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74" w:type="pct"/>
            <w:hideMark/>
          </w:tcPr>
          <w:p w14:paraId="5C29AD69" w14:textId="6BA3D40A" w:rsidR="007852A3" w:rsidRPr="008A46F0" w:rsidRDefault="00EB500C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156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896</w:t>
            </w:r>
          </w:p>
        </w:tc>
      </w:tr>
      <w:tr w:rsidR="007852A3" w:rsidRPr="008A46F0" w14:paraId="0E22AFC7" w14:textId="77777777" w:rsidTr="009D3A0A">
        <w:tc>
          <w:tcPr>
            <w:tcW w:w="1070" w:type="pct"/>
            <w:hideMark/>
          </w:tcPr>
          <w:p w14:paraId="693B3329" w14:textId="77777777" w:rsidR="007852A3" w:rsidRPr="002D2D54" w:rsidRDefault="007852A3" w:rsidP="008A46F0">
            <w:pPr>
              <w:spacing w:before="150" w:after="150"/>
              <w:ind w:left="142" w:right="96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eastAsia="ru-RU"/>
              </w:rPr>
              <w:t>Сумарно за п’ять років</w:t>
            </w:r>
          </w:p>
        </w:tc>
        <w:tc>
          <w:tcPr>
            <w:tcW w:w="642" w:type="pct"/>
            <w:hideMark/>
          </w:tcPr>
          <w:p w14:paraId="1F26AC66" w14:textId="458B89C2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85" w:type="pct"/>
            <w:hideMark/>
          </w:tcPr>
          <w:p w14:paraId="29B08C3D" w14:textId="096DF253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43" w:type="pct"/>
            <w:hideMark/>
          </w:tcPr>
          <w:p w14:paraId="7500C910" w14:textId="4EC932EB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87" w:type="pct"/>
            <w:hideMark/>
          </w:tcPr>
          <w:p w14:paraId="3A2E60E6" w14:textId="54717B94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74" w:type="pct"/>
            <w:hideMark/>
          </w:tcPr>
          <w:p w14:paraId="20483B96" w14:textId="35FE021E" w:rsidR="007852A3" w:rsidRPr="008A46F0" w:rsidRDefault="00EB500C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Theme="minorHAnsi"/>
                <w:lang w:eastAsia="en-US"/>
              </w:rPr>
              <w:t>65</w:t>
            </w:r>
            <w:r w:rsidR="008A2D7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784</w:t>
            </w:r>
            <w:r w:rsidR="008A2D7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480</w:t>
            </w:r>
          </w:p>
        </w:tc>
      </w:tr>
    </w:tbl>
    <w:p w14:paraId="71ECC907" w14:textId="4B9D79A3" w:rsidR="00562930" w:rsidRDefault="00562930" w:rsidP="00562930">
      <w:pPr>
        <w:ind w:firstLine="709"/>
        <w:jc w:val="both"/>
        <w:rPr>
          <w:rFonts w:eastAsia="Times New Roman"/>
        </w:rPr>
      </w:pPr>
      <w:r w:rsidRPr="00562930">
        <w:rPr>
          <w:rFonts w:eastAsia="Times New Roman"/>
        </w:rPr>
        <w:lastRenderedPageBreak/>
        <w:t xml:space="preserve">* Вартість витрат, пов’язаних з адмініструванням процесу регулювання державними органами, визначається шляхом множення фактичних витрат часу </w:t>
      </w:r>
      <w:r>
        <w:rPr>
          <w:rFonts w:eastAsia="Times New Roman"/>
        </w:rPr>
        <w:t>робочого часу</w:t>
      </w:r>
      <w:r w:rsidRPr="00562930">
        <w:rPr>
          <w:rFonts w:eastAsia="Times New Roman"/>
        </w:rPr>
        <w:t xml:space="preserve"> </w:t>
      </w:r>
      <w:r>
        <w:rPr>
          <w:rFonts w:eastAsia="Times New Roman"/>
        </w:rPr>
        <w:t>посадової особи митного органу</w:t>
      </w:r>
      <w:r w:rsidRPr="00562930">
        <w:rPr>
          <w:rFonts w:eastAsia="Times New Roman"/>
        </w:rPr>
        <w:t xml:space="preserve"> та на кількість суб’єктів, що підпадають під дію процедури регулювання, та на кількість процедур за рік. </w:t>
      </w:r>
    </w:p>
    <w:p w14:paraId="0515B699" w14:textId="77777777" w:rsidR="00562930" w:rsidRDefault="00562930" w:rsidP="00562930">
      <w:pPr>
        <w:ind w:firstLine="709"/>
        <w:jc w:val="both"/>
        <w:rPr>
          <w:rFonts w:eastAsia="Times New Roman"/>
        </w:rPr>
      </w:pPr>
      <w:r w:rsidRPr="00562930">
        <w:rPr>
          <w:rFonts w:eastAsia="Times New Roman"/>
        </w:rPr>
        <w:t xml:space="preserve">В основу для розрахунків взято показник середньої погодинної заробітної плати на 2025 рік. </w:t>
      </w:r>
    </w:p>
    <w:p w14:paraId="2566C052" w14:textId="2D0AAC07" w:rsidR="00562930" w:rsidRPr="00562930" w:rsidRDefault="00562930" w:rsidP="00562930">
      <w:pPr>
        <w:ind w:firstLine="709"/>
        <w:jc w:val="both"/>
        <w:rPr>
          <w:rFonts w:eastAsia="Times New Roman"/>
        </w:rPr>
      </w:pPr>
      <w:r w:rsidRPr="00562930">
        <w:rPr>
          <w:rFonts w:eastAsia="Times New Roman"/>
        </w:rPr>
        <w:t>Державне регулювання не передбачає утворення нового державного органу (або нового структурного підрозділу діючого органу).   </w:t>
      </w:r>
    </w:p>
    <w:p w14:paraId="3D1A6C81" w14:textId="77777777" w:rsidR="008A46F0" w:rsidRPr="00C81928" w:rsidRDefault="008A46F0" w:rsidP="00C81928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A263240" w14:textId="77777777" w:rsidR="00C81928" w:rsidRPr="00C81928" w:rsidRDefault="00C81928" w:rsidP="00C81928">
      <w:pPr>
        <w:shd w:val="clear" w:color="auto" w:fill="FFFFFF"/>
        <w:spacing w:after="150"/>
        <w:ind w:firstLine="450"/>
        <w:jc w:val="both"/>
        <w:rPr>
          <w:rFonts w:eastAsia="Times New Roman"/>
          <w:b/>
          <w:sz w:val="28"/>
          <w:szCs w:val="28"/>
          <w:lang w:eastAsia="ru-RU"/>
        </w:rPr>
      </w:pPr>
      <w:r w:rsidRPr="00C81928">
        <w:rPr>
          <w:rFonts w:eastAsia="Times New Roman"/>
          <w:b/>
          <w:sz w:val="28"/>
          <w:szCs w:val="28"/>
          <w:lang w:eastAsia="ru-RU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81"/>
        <w:gridCol w:w="3818"/>
        <w:gridCol w:w="2119"/>
        <w:gridCol w:w="2132"/>
      </w:tblGrid>
      <w:tr w:rsidR="00C81928" w:rsidRPr="00C81928" w14:paraId="0BA1EC72" w14:textId="77777777" w:rsidTr="00487105">
        <w:trPr>
          <w:tblHeader/>
        </w:trPr>
        <w:tc>
          <w:tcPr>
            <w:tcW w:w="1581" w:type="dxa"/>
            <w:hideMark/>
          </w:tcPr>
          <w:p w14:paraId="5662BB62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bookmarkStart w:id="22" w:name="n217"/>
            <w:bookmarkEnd w:id="22"/>
            <w:r w:rsidRPr="00C81928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3818" w:type="dxa"/>
            <w:hideMark/>
          </w:tcPr>
          <w:p w14:paraId="24BB89AD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Показник</w:t>
            </w:r>
          </w:p>
        </w:tc>
        <w:tc>
          <w:tcPr>
            <w:tcW w:w="2119" w:type="dxa"/>
            <w:hideMark/>
          </w:tcPr>
          <w:p w14:paraId="499D7AFA" w14:textId="77777777" w:rsidR="00C81928" w:rsidRPr="00A14E96" w:rsidRDefault="00C81928" w:rsidP="00C81928">
            <w:pPr>
              <w:spacing w:before="150" w:after="150"/>
              <w:jc w:val="center"/>
              <w:rPr>
                <w:rFonts w:eastAsia="Times New Roman"/>
                <w:highlight w:val="red"/>
                <w:lang w:eastAsia="ru-RU"/>
              </w:rPr>
            </w:pPr>
            <w:r w:rsidRPr="00D94006">
              <w:rPr>
                <w:rFonts w:eastAsia="Times New Roman"/>
                <w:lang w:eastAsia="ru-RU"/>
              </w:rPr>
              <w:t>Перший рік регулювання (стартовий)</w:t>
            </w:r>
          </w:p>
        </w:tc>
        <w:tc>
          <w:tcPr>
            <w:tcW w:w="2132" w:type="dxa"/>
            <w:hideMark/>
          </w:tcPr>
          <w:p w14:paraId="3983AD73" w14:textId="77777777" w:rsidR="00C81928" w:rsidRPr="00075A7A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075A7A">
              <w:rPr>
                <w:rFonts w:eastAsia="Times New Roman"/>
                <w:lang w:eastAsia="ru-RU"/>
              </w:rPr>
              <w:t>За п’ять років</w:t>
            </w:r>
          </w:p>
        </w:tc>
      </w:tr>
      <w:tr w:rsidR="00CA0798" w:rsidRPr="00C81928" w14:paraId="6317CB77" w14:textId="77777777" w:rsidTr="00487105">
        <w:tc>
          <w:tcPr>
            <w:tcW w:w="1581" w:type="dxa"/>
            <w:hideMark/>
          </w:tcPr>
          <w:p w14:paraId="5DF898D2" w14:textId="77777777" w:rsidR="00CA0798" w:rsidRPr="00C81928" w:rsidRDefault="00CA079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818" w:type="dxa"/>
            <w:hideMark/>
          </w:tcPr>
          <w:p w14:paraId="250B8E1A" w14:textId="77777777" w:rsidR="00CA0798" w:rsidRPr="00C81928" w:rsidRDefault="00CA0798" w:rsidP="002E6DD5">
            <w:pPr>
              <w:spacing w:before="150" w:after="15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19" w:type="dxa"/>
            <w:vAlign w:val="center"/>
          </w:tcPr>
          <w:p w14:paraId="791149FC" w14:textId="6CA41176" w:rsidR="00CA0798" w:rsidRPr="00C81928" w:rsidRDefault="00CA0798" w:rsidP="00CA079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B61354">
              <w:t>800</w:t>
            </w:r>
            <w:r w:rsidR="008A2D71">
              <w:t xml:space="preserve"> </w:t>
            </w:r>
            <w:r w:rsidRPr="00B61354">
              <w:t>856,21</w:t>
            </w:r>
          </w:p>
        </w:tc>
        <w:tc>
          <w:tcPr>
            <w:tcW w:w="2132" w:type="dxa"/>
            <w:vAlign w:val="center"/>
          </w:tcPr>
          <w:p w14:paraId="4F3FF145" w14:textId="1DD2C434" w:rsidR="00CA0798" w:rsidRPr="00075A7A" w:rsidRDefault="0070189C" w:rsidP="00CA079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075A7A">
              <w:rPr>
                <w:rFonts w:eastAsia="Times New Roman"/>
                <w:lang w:eastAsia="ru-RU"/>
              </w:rPr>
              <w:t>4</w:t>
            </w:r>
            <w:r w:rsidR="008A2D71" w:rsidRPr="00075A7A">
              <w:rPr>
                <w:rFonts w:eastAsia="Times New Roman"/>
                <w:lang w:eastAsia="ru-RU"/>
              </w:rPr>
              <w:t xml:space="preserve"> </w:t>
            </w:r>
            <w:r w:rsidRPr="00075A7A">
              <w:rPr>
                <w:rFonts w:eastAsia="Times New Roman"/>
                <w:lang w:eastAsia="ru-RU"/>
              </w:rPr>
              <w:t>004</w:t>
            </w:r>
            <w:r w:rsidR="008A2D71" w:rsidRPr="00075A7A">
              <w:rPr>
                <w:rFonts w:eastAsia="Times New Roman"/>
                <w:lang w:eastAsia="ru-RU"/>
              </w:rPr>
              <w:t xml:space="preserve"> </w:t>
            </w:r>
            <w:r w:rsidRPr="00075A7A">
              <w:rPr>
                <w:rFonts w:eastAsia="Times New Roman"/>
                <w:lang w:eastAsia="ru-RU"/>
              </w:rPr>
              <w:t>281,05</w:t>
            </w:r>
          </w:p>
        </w:tc>
      </w:tr>
      <w:tr w:rsidR="00CA0798" w:rsidRPr="00C81928" w14:paraId="35CA72DA" w14:textId="77777777" w:rsidTr="00487105">
        <w:tc>
          <w:tcPr>
            <w:tcW w:w="1581" w:type="dxa"/>
            <w:hideMark/>
          </w:tcPr>
          <w:p w14:paraId="22E5878C" w14:textId="77777777" w:rsidR="00CA0798" w:rsidRPr="00C81928" w:rsidRDefault="00CA079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818" w:type="dxa"/>
            <w:hideMark/>
          </w:tcPr>
          <w:p w14:paraId="5A8DCE3D" w14:textId="77777777" w:rsidR="00CA0798" w:rsidRPr="00C81928" w:rsidRDefault="00CA0798" w:rsidP="002E6DD5">
            <w:pPr>
              <w:spacing w:before="150" w:after="15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19" w:type="dxa"/>
            <w:vAlign w:val="center"/>
          </w:tcPr>
          <w:p w14:paraId="0D2DE5D6" w14:textId="60E5D9F8" w:rsidR="00CA0798" w:rsidRPr="00C81928" w:rsidRDefault="00487105" w:rsidP="0070189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487105">
              <w:rPr>
                <w:rFonts w:eastAsia="Times New Roman"/>
                <w:lang w:eastAsia="ru-RU"/>
              </w:rPr>
              <w:t>2 205 456</w:t>
            </w:r>
          </w:p>
        </w:tc>
        <w:tc>
          <w:tcPr>
            <w:tcW w:w="2132" w:type="dxa"/>
            <w:vAlign w:val="center"/>
          </w:tcPr>
          <w:p w14:paraId="34D6F6E5" w14:textId="2A9664F8" w:rsidR="00CA0798" w:rsidRPr="00075A7A" w:rsidRDefault="00112A55" w:rsidP="0070189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075A7A">
              <w:rPr>
                <w:rFonts w:eastAsia="Times New Roman"/>
                <w:lang w:eastAsia="ru-RU"/>
              </w:rPr>
              <w:t>10 225 296</w:t>
            </w:r>
          </w:p>
        </w:tc>
      </w:tr>
      <w:tr w:rsidR="002E6DD5" w:rsidRPr="00C81928" w14:paraId="5BB1551A" w14:textId="77777777" w:rsidTr="00487105">
        <w:tc>
          <w:tcPr>
            <w:tcW w:w="1581" w:type="dxa"/>
            <w:hideMark/>
          </w:tcPr>
          <w:p w14:paraId="32A4EFDC" w14:textId="77777777" w:rsidR="002E6DD5" w:rsidRPr="00C81928" w:rsidRDefault="002E6DD5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18" w:type="dxa"/>
            <w:hideMark/>
          </w:tcPr>
          <w:p w14:paraId="7C929C84" w14:textId="77777777" w:rsidR="002E6DD5" w:rsidRPr="00C81928" w:rsidRDefault="002E6DD5" w:rsidP="002E6DD5">
            <w:pPr>
              <w:spacing w:before="150" w:after="15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119" w:type="dxa"/>
            <w:vAlign w:val="center"/>
          </w:tcPr>
          <w:p w14:paraId="1F8B6CBD" w14:textId="7F7D257E" w:rsidR="002E6DD5" w:rsidRPr="007E2B4E" w:rsidRDefault="00487105" w:rsidP="004E33B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7E2B4E">
              <w:rPr>
                <w:rFonts w:eastAsia="Times New Roman"/>
                <w:lang w:eastAsia="ru-RU"/>
              </w:rPr>
              <w:t>3</w:t>
            </w:r>
            <w:r w:rsidR="007E2B4E" w:rsidRPr="007E2B4E">
              <w:rPr>
                <w:rFonts w:eastAsia="Times New Roman"/>
                <w:lang w:eastAsia="ru-RU"/>
              </w:rPr>
              <w:t> </w:t>
            </w:r>
            <w:r w:rsidRPr="007E2B4E">
              <w:rPr>
                <w:rFonts w:eastAsia="Times New Roman"/>
                <w:lang w:eastAsia="ru-RU"/>
              </w:rPr>
              <w:t>006</w:t>
            </w:r>
            <w:r w:rsidR="007E2B4E" w:rsidRPr="007E2B4E">
              <w:rPr>
                <w:rFonts w:eastAsia="Times New Roman"/>
                <w:lang w:eastAsia="ru-RU"/>
              </w:rPr>
              <w:t xml:space="preserve"> </w:t>
            </w:r>
            <w:r w:rsidRPr="007E2B4E">
              <w:rPr>
                <w:rFonts w:eastAsia="Times New Roman"/>
                <w:lang w:eastAsia="ru-RU"/>
              </w:rPr>
              <w:t>312,21</w:t>
            </w:r>
          </w:p>
        </w:tc>
        <w:tc>
          <w:tcPr>
            <w:tcW w:w="2132" w:type="dxa"/>
            <w:vAlign w:val="center"/>
          </w:tcPr>
          <w:p w14:paraId="42D76102" w14:textId="76022057" w:rsidR="002E6DD5" w:rsidRPr="007E2B4E" w:rsidRDefault="0070189C" w:rsidP="004E33B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7E2B4E">
              <w:rPr>
                <w:rFonts w:eastAsia="Times New Roman"/>
                <w:lang w:eastAsia="ru-RU"/>
              </w:rPr>
              <w:t>14</w:t>
            </w:r>
            <w:r w:rsidR="00075A7A" w:rsidRPr="007E2B4E">
              <w:rPr>
                <w:rFonts w:eastAsia="Times New Roman"/>
                <w:lang w:eastAsia="ru-RU"/>
              </w:rPr>
              <w:t> 229 577,05</w:t>
            </w:r>
          </w:p>
        </w:tc>
      </w:tr>
      <w:tr w:rsidR="00C81928" w:rsidRPr="00C81928" w14:paraId="6E292D4C" w14:textId="77777777" w:rsidTr="00487105">
        <w:tc>
          <w:tcPr>
            <w:tcW w:w="1581" w:type="dxa"/>
            <w:hideMark/>
          </w:tcPr>
          <w:p w14:paraId="3D1ABC4F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18" w:type="dxa"/>
            <w:hideMark/>
          </w:tcPr>
          <w:p w14:paraId="45B6F1D3" w14:textId="77777777" w:rsidR="00C81928" w:rsidRPr="00C81928" w:rsidRDefault="00C81928" w:rsidP="002E6DD5">
            <w:pPr>
              <w:spacing w:before="150" w:after="15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119" w:type="dxa"/>
            <w:vAlign w:val="center"/>
          </w:tcPr>
          <w:p w14:paraId="1667FE4D" w14:textId="55B71776" w:rsidR="00D562F2" w:rsidRPr="005F6C6A" w:rsidRDefault="0070189C" w:rsidP="004E33BC">
            <w:pPr>
              <w:spacing w:before="150" w:after="150"/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156</w:t>
            </w:r>
            <w:r w:rsidR="008A2D7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896</w:t>
            </w:r>
          </w:p>
        </w:tc>
        <w:tc>
          <w:tcPr>
            <w:tcW w:w="2132" w:type="dxa"/>
            <w:vAlign w:val="center"/>
          </w:tcPr>
          <w:p w14:paraId="2E9390DD" w14:textId="24745251" w:rsidR="00C81928" w:rsidRPr="00075A7A" w:rsidRDefault="0070189C" w:rsidP="00C15A56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075A7A">
              <w:rPr>
                <w:rFonts w:eastAsiaTheme="minorHAnsi"/>
                <w:lang w:eastAsia="en-US"/>
              </w:rPr>
              <w:t>65</w:t>
            </w:r>
            <w:r w:rsidR="008A2D71" w:rsidRPr="00075A7A">
              <w:rPr>
                <w:rFonts w:eastAsiaTheme="minorHAnsi"/>
                <w:lang w:eastAsia="en-US"/>
              </w:rPr>
              <w:t xml:space="preserve"> </w:t>
            </w:r>
            <w:r w:rsidRPr="00075A7A">
              <w:rPr>
                <w:rFonts w:eastAsiaTheme="minorHAnsi"/>
                <w:lang w:eastAsia="en-US"/>
              </w:rPr>
              <w:t>784</w:t>
            </w:r>
            <w:r w:rsidR="008A2D71" w:rsidRPr="00075A7A">
              <w:rPr>
                <w:rFonts w:eastAsiaTheme="minorHAnsi"/>
                <w:lang w:eastAsia="en-US"/>
              </w:rPr>
              <w:t xml:space="preserve"> </w:t>
            </w:r>
            <w:r w:rsidRPr="00075A7A">
              <w:rPr>
                <w:rFonts w:eastAsiaTheme="minorHAnsi"/>
                <w:lang w:eastAsia="en-US"/>
              </w:rPr>
              <w:t>480</w:t>
            </w:r>
          </w:p>
        </w:tc>
      </w:tr>
      <w:tr w:rsidR="00C81928" w:rsidRPr="00C81928" w14:paraId="1149AA21" w14:textId="77777777" w:rsidTr="00487105">
        <w:tc>
          <w:tcPr>
            <w:tcW w:w="1581" w:type="dxa"/>
            <w:hideMark/>
          </w:tcPr>
          <w:p w14:paraId="3CBBB399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818" w:type="dxa"/>
            <w:hideMark/>
          </w:tcPr>
          <w:p w14:paraId="07E5B925" w14:textId="77777777" w:rsidR="00C81928" w:rsidRPr="00C81928" w:rsidRDefault="00C81928" w:rsidP="002E6DD5">
            <w:pPr>
              <w:spacing w:before="150" w:after="15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119" w:type="dxa"/>
            <w:vAlign w:val="center"/>
          </w:tcPr>
          <w:p w14:paraId="12FC7BA3" w14:textId="507480AF" w:rsidR="00D562F2" w:rsidRPr="00C81928" w:rsidRDefault="00075A7A" w:rsidP="007E2B4E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7E2B4E">
              <w:rPr>
                <w:rFonts w:eastAsia="Times New Roman"/>
                <w:lang w:eastAsia="ru-RU"/>
              </w:rPr>
              <w:t>6 163 208</w:t>
            </w:r>
            <w:r w:rsidR="00B17150">
              <w:rPr>
                <w:rFonts w:eastAsia="Times New Roman"/>
                <w:lang w:eastAsia="ru-RU"/>
              </w:rPr>
              <w:t>,21</w:t>
            </w:r>
          </w:p>
        </w:tc>
        <w:tc>
          <w:tcPr>
            <w:tcW w:w="2132" w:type="dxa"/>
            <w:vAlign w:val="center"/>
          </w:tcPr>
          <w:p w14:paraId="7B1FE2B8" w14:textId="7399504E" w:rsidR="00C81928" w:rsidRPr="00075A7A" w:rsidRDefault="00687A2D" w:rsidP="004E33BC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075A7A">
              <w:rPr>
                <w:rFonts w:eastAsia="Times New Roman"/>
                <w:lang w:eastAsia="ru-RU"/>
              </w:rPr>
              <w:t>80</w:t>
            </w:r>
            <w:r w:rsidR="00075A7A">
              <w:rPr>
                <w:rFonts w:eastAsia="Times New Roman"/>
                <w:lang w:eastAsia="ru-RU"/>
              </w:rPr>
              <w:t> 014 057,05</w:t>
            </w:r>
          </w:p>
        </w:tc>
      </w:tr>
    </w:tbl>
    <w:p w14:paraId="3856749B" w14:textId="77777777" w:rsidR="00487105" w:rsidRDefault="00487105" w:rsidP="00487105">
      <w:pPr>
        <w:shd w:val="clear" w:color="auto" w:fill="FFFFFF"/>
        <w:spacing w:before="100" w:after="150"/>
        <w:ind w:firstLine="448"/>
        <w:jc w:val="both"/>
        <w:rPr>
          <w:rFonts w:eastAsia="Times New Roman"/>
          <w:b/>
          <w:sz w:val="28"/>
          <w:szCs w:val="28"/>
          <w:lang w:eastAsia="ru-RU"/>
        </w:rPr>
      </w:pPr>
      <w:bookmarkStart w:id="23" w:name="n218"/>
      <w:bookmarkEnd w:id="23"/>
    </w:p>
    <w:p w14:paraId="52105C13" w14:textId="77777777" w:rsidR="00C81928" w:rsidRPr="00C81928" w:rsidRDefault="00C81928" w:rsidP="00487105">
      <w:pPr>
        <w:shd w:val="clear" w:color="auto" w:fill="FFFFFF"/>
        <w:spacing w:before="100" w:after="150"/>
        <w:ind w:firstLine="448"/>
        <w:jc w:val="both"/>
        <w:rPr>
          <w:rFonts w:eastAsia="Times New Roman"/>
          <w:b/>
          <w:sz w:val="28"/>
          <w:szCs w:val="28"/>
          <w:lang w:eastAsia="ru-RU"/>
        </w:rPr>
      </w:pPr>
      <w:r w:rsidRPr="00C81928">
        <w:rPr>
          <w:rFonts w:eastAsia="Times New Roman"/>
          <w:b/>
          <w:sz w:val="28"/>
          <w:szCs w:val="28"/>
          <w:lang w:eastAsia="ru-RU"/>
        </w:rPr>
        <w:t>5. Розроблення коригуючих (пом’якшувальних) заходів для малого підприємництва щодо запропонованого регулювання</w:t>
      </w:r>
    </w:p>
    <w:p w14:paraId="6FB16864" w14:textId="3EAA4E1C" w:rsidR="00C81928" w:rsidRPr="00506DA3" w:rsidRDefault="00C81928" w:rsidP="00487105">
      <w:pPr>
        <w:shd w:val="clear" w:color="auto" w:fill="FFFFFF"/>
        <w:spacing w:after="150"/>
        <w:ind w:firstLine="450"/>
        <w:jc w:val="both"/>
        <w:rPr>
          <w:rStyle w:val="font171"/>
        </w:rPr>
      </w:pPr>
      <w:r w:rsidRPr="00C81928">
        <w:rPr>
          <w:rFonts w:eastAsia="Times New Roman"/>
          <w:sz w:val="28"/>
          <w:szCs w:val="28"/>
          <w:lang w:eastAsia="ru-RU"/>
        </w:rPr>
        <w:t>Не передбачається розроблення коригуючих заходів, оскільки нове регулювання спрямоване виключно на скасування недосконалих інструментів державного регулювання у сфері господарськ</w:t>
      </w:r>
      <w:r w:rsidR="00487105">
        <w:rPr>
          <w:rFonts w:eastAsia="Times New Roman"/>
          <w:sz w:val="28"/>
          <w:szCs w:val="28"/>
          <w:lang w:eastAsia="ru-RU"/>
        </w:rPr>
        <w:t>ої діяльності або їх оптимізацію</w:t>
      </w:r>
      <w:r w:rsidRPr="00C81928">
        <w:rPr>
          <w:rFonts w:eastAsia="Times New Roman"/>
          <w:sz w:val="28"/>
          <w:szCs w:val="28"/>
          <w:lang w:eastAsia="ru-RU"/>
        </w:rPr>
        <w:t xml:space="preserve"> та відповідно зменшення фінансового навантаження на суб’єктів господарювання.</w:t>
      </w:r>
    </w:p>
    <w:sectPr w:rsidR="00C81928" w:rsidRPr="00506DA3" w:rsidSect="009700C0">
      <w:headerReference w:type="default" r:id="rId10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60CA69" w16cex:dateUtc="2025-11-28T13:00:00Z"/>
  <w16cex:commentExtensible w16cex:durableId="323C68FB" w16cex:dateUtc="2025-11-28T14:28:00Z"/>
  <w16cex:commentExtensible w16cex:durableId="19D8BBE3" w16cex:dateUtc="2025-11-28T13:18:00Z"/>
  <w16cex:commentExtensible w16cex:durableId="51061246" w16cex:dateUtc="2025-11-28T13:31:00Z"/>
  <w16cex:commentExtensible w16cex:durableId="1DC2673F" w16cex:dateUtc="2025-11-28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F5A29D" w16cid:durableId="7460CA69"/>
  <w16cid:commentId w16cid:paraId="72F9C535" w16cid:durableId="323C68FB"/>
  <w16cid:commentId w16cid:paraId="23DF847C" w16cid:durableId="19D8BBE3"/>
  <w16cid:commentId w16cid:paraId="7BF8980F" w16cid:durableId="51061246"/>
  <w16cid:commentId w16cid:paraId="173ADC27" w16cid:durableId="1DC267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1293" w14:textId="77777777" w:rsidR="005340BB" w:rsidRDefault="005340BB" w:rsidP="00C12599">
      <w:r>
        <w:separator/>
      </w:r>
    </w:p>
  </w:endnote>
  <w:endnote w:type="continuationSeparator" w:id="0">
    <w:p w14:paraId="689265D0" w14:textId="77777777" w:rsidR="005340BB" w:rsidRDefault="005340BB" w:rsidP="00C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D3B7" w14:textId="77777777" w:rsidR="005340BB" w:rsidRDefault="005340BB" w:rsidP="00C12599">
      <w:r>
        <w:separator/>
      </w:r>
    </w:p>
  </w:footnote>
  <w:footnote w:type="continuationSeparator" w:id="0">
    <w:p w14:paraId="69E304B2" w14:textId="77777777" w:rsidR="005340BB" w:rsidRDefault="005340BB" w:rsidP="00C1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387813"/>
      <w:docPartObj>
        <w:docPartGallery w:val="Page Numbers (Top of Page)"/>
        <w:docPartUnique/>
      </w:docPartObj>
    </w:sdtPr>
    <w:sdtEndPr/>
    <w:sdtContent>
      <w:p w14:paraId="07AA7EE2" w14:textId="416AE779" w:rsidR="005D5FF2" w:rsidRDefault="005D5F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33" w:rsidRPr="00743A33">
          <w:rPr>
            <w:noProof/>
            <w:lang w:val="ru-RU"/>
          </w:rPr>
          <w:t>17</w:t>
        </w:r>
        <w:r>
          <w:fldChar w:fldCharType="end"/>
        </w:r>
      </w:p>
    </w:sdtContent>
  </w:sdt>
  <w:p w14:paraId="32D26058" w14:textId="77777777" w:rsidR="005D5FF2" w:rsidRDefault="005D5F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77185"/>
      <w:docPartObj>
        <w:docPartGallery w:val="Page Numbers (Top of Page)"/>
        <w:docPartUnique/>
      </w:docPartObj>
    </w:sdtPr>
    <w:sdtEndPr/>
    <w:sdtContent>
      <w:p w14:paraId="1BAC5E44" w14:textId="4CE99230" w:rsidR="005D5FF2" w:rsidRDefault="005D5F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33" w:rsidRPr="00743A33">
          <w:rPr>
            <w:noProof/>
            <w:lang w:val="ru-RU"/>
          </w:rPr>
          <w:t>9</w:t>
        </w:r>
        <w:r>
          <w:fldChar w:fldCharType="end"/>
        </w:r>
      </w:p>
    </w:sdtContent>
  </w:sdt>
  <w:p w14:paraId="3EA91F62" w14:textId="77777777" w:rsidR="005D5FF2" w:rsidRDefault="005D5F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CE41F3"/>
    <w:multiLevelType w:val="hybridMultilevel"/>
    <w:tmpl w:val="223EEE7C"/>
    <w:lvl w:ilvl="0" w:tplc="95E87350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019"/>
    <w:multiLevelType w:val="hybridMultilevel"/>
    <w:tmpl w:val="E698EFFE"/>
    <w:lvl w:ilvl="0" w:tplc="B3984DB8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AA0570"/>
    <w:multiLevelType w:val="hybridMultilevel"/>
    <w:tmpl w:val="79341ACA"/>
    <w:lvl w:ilvl="0" w:tplc="8944832A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ED83052"/>
    <w:multiLevelType w:val="hybridMultilevel"/>
    <w:tmpl w:val="CE5E9B7E"/>
    <w:lvl w:ilvl="0" w:tplc="0422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D440E"/>
    <w:multiLevelType w:val="hybridMultilevel"/>
    <w:tmpl w:val="30268FC8"/>
    <w:lvl w:ilvl="0" w:tplc="5FEC4F50">
      <w:start w:val="2"/>
      <w:numFmt w:val="bullet"/>
      <w:lvlText w:val=""/>
      <w:lvlJc w:val="left"/>
      <w:pPr>
        <w:ind w:left="1647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9AC7D0A"/>
    <w:multiLevelType w:val="hybridMultilevel"/>
    <w:tmpl w:val="0FC8C2EE"/>
    <w:lvl w:ilvl="0" w:tplc="3A1A74F4">
      <w:start w:val="10"/>
      <w:numFmt w:val="bullet"/>
      <w:lvlText w:val=""/>
      <w:lvlJc w:val="left"/>
      <w:pPr>
        <w:ind w:left="80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584051E5"/>
    <w:multiLevelType w:val="hybridMultilevel"/>
    <w:tmpl w:val="B53E78BC"/>
    <w:lvl w:ilvl="0" w:tplc="7A8A786E">
      <w:start w:val="10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1D90A00"/>
    <w:multiLevelType w:val="hybridMultilevel"/>
    <w:tmpl w:val="570CEC00"/>
    <w:lvl w:ilvl="0" w:tplc="30D014DA">
      <w:start w:val="10"/>
      <w:numFmt w:val="bullet"/>
      <w:lvlText w:val=""/>
      <w:lvlJc w:val="left"/>
      <w:pPr>
        <w:ind w:left="808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67A5621B"/>
    <w:multiLevelType w:val="hybridMultilevel"/>
    <w:tmpl w:val="F8545C8A"/>
    <w:lvl w:ilvl="0" w:tplc="3CA880B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83E3569"/>
    <w:multiLevelType w:val="hybridMultilevel"/>
    <w:tmpl w:val="65862D46"/>
    <w:lvl w:ilvl="0" w:tplc="D4008784">
      <w:start w:val="2"/>
      <w:numFmt w:val="bullet"/>
      <w:lvlText w:val=""/>
      <w:lvlJc w:val="left"/>
      <w:pPr>
        <w:ind w:left="1287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A"/>
    <w:rsid w:val="00000227"/>
    <w:rsid w:val="00002E5C"/>
    <w:rsid w:val="00003064"/>
    <w:rsid w:val="00003D3F"/>
    <w:rsid w:val="00004404"/>
    <w:rsid w:val="00010332"/>
    <w:rsid w:val="00012551"/>
    <w:rsid w:val="000129EF"/>
    <w:rsid w:val="00020C58"/>
    <w:rsid w:val="000220A7"/>
    <w:rsid w:val="000235A5"/>
    <w:rsid w:val="000237A0"/>
    <w:rsid w:val="00027DF6"/>
    <w:rsid w:val="00030808"/>
    <w:rsid w:val="000412AC"/>
    <w:rsid w:val="0004137F"/>
    <w:rsid w:val="00043263"/>
    <w:rsid w:val="00054ABD"/>
    <w:rsid w:val="0005521A"/>
    <w:rsid w:val="000571D9"/>
    <w:rsid w:val="000623EB"/>
    <w:rsid w:val="0006455B"/>
    <w:rsid w:val="0007041B"/>
    <w:rsid w:val="00071126"/>
    <w:rsid w:val="000742A6"/>
    <w:rsid w:val="000756D5"/>
    <w:rsid w:val="00075A7A"/>
    <w:rsid w:val="0008350C"/>
    <w:rsid w:val="00084B76"/>
    <w:rsid w:val="000856CE"/>
    <w:rsid w:val="000A2D15"/>
    <w:rsid w:val="000B5306"/>
    <w:rsid w:val="000C0C9D"/>
    <w:rsid w:val="000C67AC"/>
    <w:rsid w:val="000D0A92"/>
    <w:rsid w:val="000E2DB1"/>
    <w:rsid w:val="000E72E6"/>
    <w:rsid w:val="000F0AA3"/>
    <w:rsid w:val="000F1CF9"/>
    <w:rsid w:val="000F6A47"/>
    <w:rsid w:val="00100E7B"/>
    <w:rsid w:val="00101E58"/>
    <w:rsid w:val="0010624F"/>
    <w:rsid w:val="00112A55"/>
    <w:rsid w:val="00113C01"/>
    <w:rsid w:val="001170F1"/>
    <w:rsid w:val="001179A5"/>
    <w:rsid w:val="00125538"/>
    <w:rsid w:val="00125796"/>
    <w:rsid w:val="00126711"/>
    <w:rsid w:val="001301FE"/>
    <w:rsid w:val="00131580"/>
    <w:rsid w:val="00134EA6"/>
    <w:rsid w:val="001367D8"/>
    <w:rsid w:val="00141405"/>
    <w:rsid w:val="00145120"/>
    <w:rsid w:val="0014646C"/>
    <w:rsid w:val="0015426C"/>
    <w:rsid w:val="00154783"/>
    <w:rsid w:val="001559B9"/>
    <w:rsid w:val="00155FF3"/>
    <w:rsid w:val="00165016"/>
    <w:rsid w:val="00181FB2"/>
    <w:rsid w:val="00183CF6"/>
    <w:rsid w:val="00187405"/>
    <w:rsid w:val="001909CF"/>
    <w:rsid w:val="00195A8B"/>
    <w:rsid w:val="001A000F"/>
    <w:rsid w:val="001A1D84"/>
    <w:rsid w:val="001A353D"/>
    <w:rsid w:val="001A3668"/>
    <w:rsid w:val="001B3C1E"/>
    <w:rsid w:val="001B4761"/>
    <w:rsid w:val="001C0D1D"/>
    <w:rsid w:val="001C4BCE"/>
    <w:rsid w:val="001E0565"/>
    <w:rsid w:val="001E0CBC"/>
    <w:rsid w:val="001E5A11"/>
    <w:rsid w:val="001F2DDA"/>
    <w:rsid w:val="001F5669"/>
    <w:rsid w:val="001F57B5"/>
    <w:rsid w:val="001F5D2D"/>
    <w:rsid w:val="001F699F"/>
    <w:rsid w:val="001F6EC9"/>
    <w:rsid w:val="00207B2C"/>
    <w:rsid w:val="002123EB"/>
    <w:rsid w:val="0021293F"/>
    <w:rsid w:val="00217013"/>
    <w:rsid w:val="00220ECD"/>
    <w:rsid w:val="002341CE"/>
    <w:rsid w:val="002375DC"/>
    <w:rsid w:val="00240535"/>
    <w:rsid w:val="00242366"/>
    <w:rsid w:val="00245539"/>
    <w:rsid w:val="00255707"/>
    <w:rsid w:val="00267174"/>
    <w:rsid w:val="0028248A"/>
    <w:rsid w:val="00287251"/>
    <w:rsid w:val="002A6F4D"/>
    <w:rsid w:val="002A786C"/>
    <w:rsid w:val="002B1D9E"/>
    <w:rsid w:val="002B74EA"/>
    <w:rsid w:val="002D16AD"/>
    <w:rsid w:val="002D2D54"/>
    <w:rsid w:val="002D46FA"/>
    <w:rsid w:val="002D60FA"/>
    <w:rsid w:val="002E0184"/>
    <w:rsid w:val="002E17F8"/>
    <w:rsid w:val="002E5B9C"/>
    <w:rsid w:val="002E6DD5"/>
    <w:rsid w:val="002F3E15"/>
    <w:rsid w:val="002F4BC0"/>
    <w:rsid w:val="003065B6"/>
    <w:rsid w:val="003164B2"/>
    <w:rsid w:val="00320779"/>
    <w:rsid w:val="003251C2"/>
    <w:rsid w:val="00327480"/>
    <w:rsid w:val="00327DCD"/>
    <w:rsid w:val="003367ED"/>
    <w:rsid w:val="00341072"/>
    <w:rsid w:val="003420A6"/>
    <w:rsid w:val="00344E65"/>
    <w:rsid w:val="00345AAB"/>
    <w:rsid w:val="00351942"/>
    <w:rsid w:val="003679A9"/>
    <w:rsid w:val="00371309"/>
    <w:rsid w:val="00372135"/>
    <w:rsid w:val="00377EE4"/>
    <w:rsid w:val="00387C6E"/>
    <w:rsid w:val="00391657"/>
    <w:rsid w:val="003916D1"/>
    <w:rsid w:val="00392588"/>
    <w:rsid w:val="00395CB3"/>
    <w:rsid w:val="003A46B2"/>
    <w:rsid w:val="003B53E5"/>
    <w:rsid w:val="003B765C"/>
    <w:rsid w:val="003C634E"/>
    <w:rsid w:val="003E4106"/>
    <w:rsid w:val="003E54FF"/>
    <w:rsid w:val="003F03EC"/>
    <w:rsid w:val="003F457D"/>
    <w:rsid w:val="003F5971"/>
    <w:rsid w:val="00400684"/>
    <w:rsid w:val="00400AD4"/>
    <w:rsid w:val="00401E80"/>
    <w:rsid w:val="00406977"/>
    <w:rsid w:val="00406F3B"/>
    <w:rsid w:val="00407A22"/>
    <w:rsid w:val="00411838"/>
    <w:rsid w:val="00412175"/>
    <w:rsid w:val="004148FD"/>
    <w:rsid w:val="00430304"/>
    <w:rsid w:val="004347A3"/>
    <w:rsid w:val="00435F7D"/>
    <w:rsid w:val="0043737D"/>
    <w:rsid w:val="004416B8"/>
    <w:rsid w:val="00441950"/>
    <w:rsid w:val="004419DE"/>
    <w:rsid w:val="00442353"/>
    <w:rsid w:val="00443EEF"/>
    <w:rsid w:val="0044543A"/>
    <w:rsid w:val="0044683F"/>
    <w:rsid w:val="00447DD5"/>
    <w:rsid w:val="00450A5C"/>
    <w:rsid w:val="00456E69"/>
    <w:rsid w:val="00466B02"/>
    <w:rsid w:val="00471CEC"/>
    <w:rsid w:val="00477F0C"/>
    <w:rsid w:val="00487105"/>
    <w:rsid w:val="00494E87"/>
    <w:rsid w:val="00495741"/>
    <w:rsid w:val="004A1D7F"/>
    <w:rsid w:val="004A49E8"/>
    <w:rsid w:val="004B5857"/>
    <w:rsid w:val="004B60B0"/>
    <w:rsid w:val="004C031A"/>
    <w:rsid w:val="004C7C50"/>
    <w:rsid w:val="004D4A87"/>
    <w:rsid w:val="004D6C12"/>
    <w:rsid w:val="004E33BC"/>
    <w:rsid w:val="004E4D59"/>
    <w:rsid w:val="004E6C15"/>
    <w:rsid w:val="004F6314"/>
    <w:rsid w:val="00503C9F"/>
    <w:rsid w:val="005045F0"/>
    <w:rsid w:val="00505C94"/>
    <w:rsid w:val="005068A5"/>
    <w:rsid w:val="00506DA3"/>
    <w:rsid w:val="005271EA"/>
    <w:rsid w:val="005307BB"/>
    <w:rsid w:val="00531A04"/>
    <w:rsid w:val="005328C6"/>
    <w:rsid w:val="005340BB"/>
    <w:rsid w:val="005345E1"/>
    <w:rsid w:val="005352D4"/>
    <w:rsid w:val="005367B0"/>
    <w:rsid w:val="00557B85"/>
    <w:rsid w:val="00562930"/>
    <w:rsid w:val="00564758"/>
    <w:rsid w:val="00564B14"/>
    <w:rsid w:val="00566CC7"/>
    <w:rsid w:val="005711A0"/>
    <w:rsid w:val="005762FD"/>
    <w:rsid w:val="005801E9"/>
    <w:rsid w:val="005829CF"/>
    <w:rsid w:val="00584496"/>
    <w:rsid w:val="00591357"/>
    <w:rsid w:val="005946A1"/>
    <w:rsid w:val="00596121"/>
    <w:rsid w:val="005A0374"/>
    <w:rsid w:val="005A13ED"/>
    <w:rsid w:val="005A65AA"/>
    <w:rsid w:val="005A6F2C"/>
    <w:rsid w:val="005B2E53"/>
    <w:rsid w:val="005D0BF0"/>
    <w:rsid w:val="005D1899"/>
    <w:rsid w:val="005D1B25"/>
    <w:rsid w:val="005D2E47"/>
    <w:rsid w:val="005D3E9D"/>
    <w:rsid w:val="005D4B71"/>
    <w:rsid w:val="005D5FF2"/>
    <w:rsid w:val="005D6FC8"/>
    <w:rsid w:val="005D7B95"/>
    <w:rsid w:val="005E1C39"/>
    <w:rsid w:val="005E1C78"/>
    <w:rsid w:val="005E3275"/>
    <w:rsid w:val="005E5665"/>
    <w:rsid w:val="005E5C6B"/>
    <w:rsid w:val="005E6FE5"/>
    <w:rsid w:val="005F3DB5"/>
    <w:rsid w:val="005F6C6A"/>
    <w:rsid w:val="00600257"/>
    <w:rsid w:val="00601A7A"/>
    <w:rsid w:val="00607924"/>
    <w:rsid w:val="0061026E"/>
    <w:rsid w:val="006103B9"/>
    <w:rsid w:val="006124E2"/>
    <w:rsid w:val="00612D04"/>
    <w:rsid w:val="00626D1E"/>
    <w:rsid w:val="00627DEE"/>
    <w:rsid w:val="00630840"/>
    <w:rsid w:val="006317BC"/>
    <w:rsid w:val="0064234F"/>
    <w:rsid w:val="00644F00"/>
    <w:rsid w:val="006451DC"/>
    <w:rsid w:val="006459FC"/>
    <w:rsid w:val="00647B99"/>
    <w:rsid w:val="00651B55"/>
    <w:rsid w:val="00657A69"/>
    <w:rsid w:val="00657B59"/>
    <w:rsid w:val="00657D76"/>
    <w:rsid w:val="006621FC"/>
    <w:rsid w:val="00670710"/>
    <w:rsid w:val="0067265D"/>
    <w:rsid w:val="00675645"/>
    <w:rsid w:val="00682D71"/>
    <w:rsid w:val="00684320"/>
    <w:rsid w:val="00687A2D"/>
    <w:rsid w:val="006A2014"/>
    <w:rsid w:val="006A3BA3"/>
    <w:rsid w:val="006B0623"/>
    <w:rsid w:val="006B1D4A"/>
    <w:rsid w:val="006B3BE6"/>
    <w:rsid w:val="006B6EA3"/>
    <w:rsid w:val="006C4F5E"/>
    <w:rsid w:val="006D0ED7"/>
    <w:rsid w:val="006D4076"/>
    <w:rsid w:val="006D51EA"/>
    <w:rsid w:val="006D6000"/>
    <w:rsid w:val="006D77B4"/>
    <w:rsid w:val="006E4829"/>
    <w:rsid w:val="006E5749"/>
    <w:rsid w:val="006E76A6"/>
    <w:rsid w:val="006F2125"/>
    <w:rsid w:val="006F763F"/>
    <w:rsid w:val="00701430"/>
    <w:rsid w:val="0070189C"/>
    <w:rsid w:val="0070189F"/>
    <w:rsid w:val="007022A6"/>
    <w:rsid w:val="00704228"/>
    <w:rsid w:val="00710A92"/>
    <w:rsid w:val="007121AB"/>
    <w:rsid w:val="00723DED"/>
    <w:rsid w:val="007315EE"/>
    <w:rsid w:val="007346B3"/>
    <w:rsid w:val="00736833"/>
    <w:rsid w:val="00737394"/>
    <w:rsid w:val="00741039"/>
    <w:rsid w:val="00741ECD"/>
    <w:rsid w:val="007434D8"/>
    <w:rsid w:val="00743A33"/>
    <w:rsid w:val="00746E9D"/>
    <w:rsid w:val="0075208D"/>
    <w:rsid w:val="007520A0"/>
    <w:rsid w:val="00757A2C"/>
    <w:rsid w:val="00773E23"/>
    <w:rsid w:val="007761E7"/>
    <w:rsid w:val="0077713C"/>
    <w:rsid w:val="00777361"/>
    <w:rsid w:val="00782339"/>
    <w:rsid w:val="00784C65"/>
    <w:rsid w:val="007852A3"/>
    <w:rsid w:val="00791E57"/>
    <w:rsid w:val="00796B00"/>
    <w:rsid w:val="007A0A75"/>
    <w:rsid w:val="007A352A"/>
    <w:rsid w:val="007A5280"/>
    <w:rsid w:val="007B18E8"/>
    <w:rsid w:val="007C2D85"/>
    <w:rsid w:val="007C34EF"/>
    <w:rsid w:val="007D49FB"/>
    <w:rsid w:val="007D67CC"/>
    <w:rsid w:val="007E15D0"/>
    <w:rsid w:val="007E2B4E"/>
    <w:rsid w:val="007E3A4C"/>
    <w:rsid w:val="007E6BB8"/>
    <w:rsid w:val="007F58C1"/>
    <w:rsid w:val="007F5A05"/>
    <w:rsid w:val="00800551"/>
    <w:rsid w:val="00812031"/>
    <w:rsid w:val="0081327D"/>
    <w:rsid w:val="00823235"/>
    <w:rsid w:val="00823415"/>
    <w:rsid w:val="008264C0"/>
    <w:rsid w:val="00830243"/>
    <w:rsid w:val="00830C28"/>
    <w:rsid w:val="00832E4E"/>
    <w:rsid w:val="00836B92"/>
    <w:rsid w:val="008372FE"/>
    <w:rsid w:val="008402FD"/>
    <w:rsid w:val="008417B8"/>
    <w:rsid w:val="00843EDA"/>
    <w:rsid w:val="008463E5"/>
    <w:rsid w:val="00852724"/>
    <w:rsid w:val="00856A14"/>
    <w:rsid w:val="008637BC"/>
    <w:rsid w:val="00866B00"/>
    <w:rsid w:val="00871221"/>
    <w:rsid w:val="00872F4F"/>
    <w:rsid w:val="00875A50"/>
    <w:rsid w:val="00876138"/>
    <w:rsid w:val="008854F0"/>
    <w:rsid w:val="008878C3"/>
    <w:rsid w:val="0089232F"/>
    <w:rsid w:val="00894961"/>
    <w:rsid w:val="00894D57"/>
    <w:rsid w:val="008971A3"/>
    <w:rsid w:val="008A2D71"/>
    <w:rsid w:val="008A3105"/>
    <w:rsid w:val="008A46F0"/>
    <w:rsid w:val="008A4CB0"/>
    <w:rsid w:val="008B2B30"/>
    <w:rsid w:val="008C1EE9"/>
    <w:rsid w:val="008D4101"/>
    <w:rsid w:val="008D4F2B"/>
    <w:rsid w:val="008D506E"/>
    <w:rsid w:val="008E0D59"/>
    <w:rsid w:val="008E295A"/>
    <w:rsid w:val="008E3386"/>
    <w:rsid w:val="008E4B01"/>
    <w:rsid w:val="008F62EB"/>
    <w:rsid w:val="008F6624"/>
    <w:rsid w:val="00905B28"/>
    <w:rsid w:val="00907E5E"/>
    <w:rsid w:val="00910ADF"/>
    <w:rsid w:val="00910C0C"/>
    <w:rsid w:val="00915164"/>
    <w:rsid w:val="00922684"/>
    <w:rsid w:val="00923CE9"/>
    <w:rsid w:val="009329FA"/>
    <w:rsid w:val="00932E5D"/>
    <w:rsid w:val="009345FA"/>
    <w:rsid w:val="009361D1"/>
    <w:rsid w:val="009404F7"/>
    <w:rsid w:val="0094484C"/>
    <w:rsid w:val="00944BB1"/>
    <w:rsid w:val="00946F93"/>
    <w:rsid w:val="00952CDF"/>
    <w:rsid w:val="0095454C"/>
    <w:rsid w:val="00962378"/>
    <w:rsid w:val="00962D04"/>
    <w:rsid w:val="0096499D"/>
    <w:rsid w:val="00966200"/>
    <w:rsid w:val="009700C0"/>
    <w:rsid w:val="00973B80"/>
    <w:rsid w:val="0097613B"/>
    <w:rsid w:val="00982943"/>
    <w:rsid w:val="00984297"/>
    <w:rsid w:val="00985801"/>
    <w:rsid w:val="00990683"/>
    <w:rsid w:val="009A0155"/>
    <w:rsid w:val="009A02C1"/>
    <w:rsid w:val="009A5E97"/>
    <w:rsid w:val="009A602A"/>
    <w:rsid w:val="009A66A3"/>
    <w:rsid w:val="009A7CC3"/>
    <w:rsid w:val="009B3241"/>
    <w:rsid w:val="009B5C98"/>
    <w:rsid w:val="009C0185"/>
    <w:rsid w:val="009C0F02"/>
    <w:rsid w:val="009C147F"/>
    <w:rsid w:val="009C1FBB"/>
    <w:rsid w:val="009D0793"/>
    <w:rsid w:val="009D22B1"/>
    <w:rsid w:val="009D2A45"/>
    <w:rsid w:val="009D3A0A"/>
    <w:rsid w:val="009D5D5F"/>
    <w:rsid w:val="009D7177"/>
    <w:rsid w:val="009D71F0"/>
    <w:rsid w:val="009D73BE"/>
    <w:rsid w:val="009E150A"/>
    <w:rsid w:val="009E277B"/>
    <w:rsid w:val="009F05AB"/>
    <w:rsid w:val="00A02146"/>
    <w:rsid w:val="00A06E31"/>
    <w:rsid w:val="00A13298"/>
    <w:rsid w:val="00A14E96"/>
    <w:rsid w:val="00A2256E"/>
    <w:rsid w:val="00A275EA"/>
    <w:rsid w:val="00A418D5"/>
    <w:rsid w:val="00A423B9"/>
    <w:rsid w:val="00A45649"/>
    <w:rsid w:val="00A50C88"/>
    <w:rsid w:val="00A52430"/>
    <w:rsid w:val="00A553BA"/>
    <w:rsid w:val="00A56027"/>
    <w:rsid w:val="00A562AC"/>
    <w:rsid w:val="00A5778C"/>
    <w:rsid w:val="00A62E4F"/>
    <w:rsid w:val="00A64BE5"/>
    <w:rsid w:val="00A71231"/>
    <w:rsid w:val="00A7441D"/>
    <w:rsid w:val="00A80982"/>
    <w:rsid w:val="00A815CB"/>
    <w:rsid w:val="00A85C74"/>
    <w:rsid w:val="00A91617"/>
    <w:rsid w:val="00A92969"/>
    <w:rsid w:val="00A93C8B"/>
    <w:rsid w:val="00A95395"/>
    <w:rsid w:val="00AC50A0"/>
    <w:rsid w:val="00AC60F9"/>
    <w:rsid w:val="00AF04CA"/>
    <w:rsid w:val="00AF1A57"/>
    <w:rsid w:val="00AF2C57"/>
    <w:rsid w:val="00AF5777"/>
    <w:rsid w:val="00AF77B7"/>
    <w:rsid w:val="00B00002"/>
    <w:rsid w:val="00B0452E"/>
    <w:rsid w:val="00B06F8B"/>
    <w:rsid w:val="00B10F5B"/>
    <w:rsid w:val="00B11C5A"/>
    <w:rsid w:val="00B11CA2"/>
    <w:rsid w:val="00B15C99"/>
    <w:rsid w:val="00B16D2B"/>
    <w:rsid w:val="00B16FC7"/>
    <w:rsid w:val="00B17150"/>
    <w:rsid w:val="00B201F1"/>
    <w:rsid w:val="00B22DD2"/>
    <w:rsid w:val="00B243E4"/>
    <w:rsid w:val="00B3359C"/>
    <w:rsid w:val="00B3788E"/>
    <w:rsid w:val="00B52AA1"/>
    <w:rsid w:val="00B55986"/>
    <w:rsid w:val="00B64A88"/>
    <w:rsid w:val="00B66BA5"/>
    <w:rsid w:val="00B66D03"/>
    <w:rsid w:val="00B67160"/>
    <w:rsid w:val="00B676F1"/>
    <w:rsid w:val="00B81BC8"/>
    <w:rsid w:val="00B87ED2"/>
    <w:rsid w:val="00B9066B"/>
    <w:rsid w:val="00B91E6A"/>
    <w:rsid w:val="00B94E3D"/>
    <w:rsid w:val="00B9620B"/>
    <w:rsid w:val="00BA11A0"/>
    <w:rsid w:val="00BB4039"/>
    <w:rsid w:val="00BB4093"/>
    <w:rsid w:val="00BC416E"/>
    <w:rsid w:val="00BC5838"/>
    <w:rsid w:val="00BD140C"/>
    <w:rsid w:val="00BD373F"/>
    <w:rsid w:val="00BE34BF"/>
    <w:rsid w:val="00BE45DE"/>
    <w:rsid w:val="00BE63DB"/>
    <w:rsid w:val="00BE6CB1"/>
    <w:rsid w:val="00BF07C3"/>
    <w:rsid w:val="00BF09A2"/>
    <w:rsid w:val="00BF51C7"/>
    <w:rsid w:val="00C00E10"/>
    <w:rsid w:val="00C0122A"/>
    <w:rsid w:val="00C12599"/>
    <w:rsid w:val="00C15A56"/>
    <w:rsid w:val="00C217F9"/>
    <w:rsid w:val="00C3031F"/>
    <w:rsid w:val="00C5027F"/>
    <w:rsid w:val="00C50907"/>
    <w:rsid w:val="00C53FFF"/>
    <w:rsid w:val="00C55DB8"/>
    <w:rsid w:val="00C66B54"/>
    <w:rsid w:val="00C73E49"/>
    <w:rsid w:val="00C75B51"/>
    <w:rsid w:val="00C81928"/>
    <w:rsid w:val="00C90863"/>
    <w:rsid w:val="00C91F89"/>
    <w:rsid w:val="00C970E1"/>
    <w:rsid w:val="00CA0798"/>
    <w:rsid w:val="00CA0B4C"/>
    <w:rsid w:val="00CB0021"/>
    <w:rsid w:val="00CD101B"/>
    <w:rsid w:val="00CE3524"/>
    <w:rsid w:val="00CE3A55"/>
    <w:rsid w:val="00CF1605"/>
    <w:rsid w:val="00CF2376"/>
    <w:rsid w:val="00CF4D7C"/>
    <w:rsid w:val="00D01AA1"/>
    <w:rsid w:val="00D053EC"/>
    <w:rsid w:val="00D070AA"/>
    <w:rsid w:val="00D078F4"/>
    <w:rsid w:val="00D176A4"/>
    <w:rsid w:val="00D24CFB"/>
    <w:rsid w:val="00D267BC"/>
    <w:rsid w:val="00D35234"/>
    <w:rsid w:val="00D358DB"/>
    <w:rsid w:val="00D35CF1"/>
    <w:rsid w:val="00D35E0D"/>
    <w:rsid w:val="00D37839"/>
    <w:rsid w:val="00D432CB"/>
    <w:rsid w:val="00D45994"/>
    <w:rsid w:val="00D45ABA"/>
    <w:rsid w:val="00D528A5"/>
    <w:rsid w:val="00D562F2"/>
    <w:rsid w:val="00D576C6"/>
    <w:rsid w:val="00D605D0"/>
    <w:rsid w:val="00D61639"/>
    <w:rsid w:val="00D75EF8"/>
    <w:rsid w:val="00D77340"/>
    <w:rsid w:val="00D80D9F"/>
    <w:rsid w:val="00D92319"/>
    <w:rsid w:val="00D92683"/>
    <w:rsid w:val="00D94006"/>
    <w:rsid w:val="00DA1AA1"/>
    <w:rsid w:val="00DA2978"/>
    <w:rsid w:val="00DB2F93"/>
    <w:rsid w:val="00DC58FB"/>
    <w:rsid w:val="00DC687E"/>
    <w:rsid w:val="00DD2883"/>
    <w:rsid w:val="00DD2FAA"/>
    <w:rsid w:val="00DD3CAB"/>
    <w:rsid w:val="00DD44C0"/>
    <w:rsid w:val="00DD5931"/>
    <w:rsid w:val="00DD5A44"/>
    <w:rsid w:val="00DE0EE7"/>
    <w:rsid w:val="00DE607C"/>
    <w:rsid w:val="00DF09C6"/>
    <w:rsid w:val="00E00BCF"/>
    <w:rsid w:val="00E021E1"/>
    <w:rsid w:val="00E111A7"/>
    <w:rsid w:val="00E174F6"/>
    <w:rsid w:val="00E201FC"/>
    <w:rsid w:val="00E20501"/>
    <w:rsid w:val="00E20DDE"/>
    <w:rsid w:val="00E22F1D"/>
    <w:rsid w:val="00E23F06"/>
    <w:rsid w:val="00E262E6"/>
    <w:rsid w:val="00E337C3"/>
    <w:rsid w:val="00E35042"/>
    <w:rsid w:val="00E40D88"/>
    <w:rsid w:val="00E50237"/>
    <w:rsid w:val="00E543CE"/>
    <w:rsid w:val="00E70524"/>
    <w:rsid w:val="00E77BFF"/>
    <w:rsid w:val="00E81AB2"/>
    <w:rsid w:val="00E83604"/>
    <w:rsid w:val="00E84F7F"/>
    <w:rsid w:val="00E85D0B"/>
    <w:rsid w:val="00E878EB"/>
    <w:rsid w:val="00E90F0B"/>
    <w:rsid w:val="00E939A3"/>
    <w:rsid w:val="00EA0B32"/>
    <w:rsid w:val="00EA4B0F"/>
    <w:rsid w:val="00EA4F0B"/>
    <w:rsid w:val="00EA631B"/>
    <w:rsid w:val="00EA6430"/>
    <w:rsid w:val="00EB48B3"/>
    <w:rsid w:val="00EB500C"/>
    <w:rsid w:val="00EB5657"/>
    <w:rsid w:val="00EB75E9"/>
    <w:rsid w:val="00EC27AA"/>
    <w:rsid w:val="00EC5444"/>
    <w:rsid w:val="00ED5DA1"/>
    <w:rsid w:val="00EE1BE7"/>
    <w:rsid w:val="00EE2428"/>
    <w:rsid w:val="00EE34A6"/>
    <w:rsid w:val="00EE4EA8"/>
    <w:rsid w:val="00EF3062"/>
    <w:rsid w:val="00EF61B6"/>
    <w:rsid w:val="00EF713A"/>
    <w:rsid w:val="00F0162A"/>
    <w:rsid w:val="00F017AB"/>
    <w:rsid w:val="00F06B92"/>
    <w:rsid w:val="00F07DFB"/>
    <w:rsid w:val="00F11C27"/>
    <w:rsid w:val="00F1219E"/>
    <w:rsid w:val="00F12409"/>
    <w:rsid w:val="00F1615B"/>
    <w:rsid w:val="00F268B4"/>
    <w:rsid w:val="00F3222A"/>
    <w:rsid w:val="00F35BBD"/>
    <w:rsid w:val="00F36C1F"/>
    <w:rsid w:val="00F44C52"/>
    <w:rsid w:val="00F525EC"/>
    <w:rsid w:val="00F72D7E"/>
    <w:rsid w:val="00F7765B"/>
    <w:rsid w:val="00F81330"/>
    <w:rsid w:val="00F8754C"/>
    <w:rsid w:val="00F906CB"/>
    <w:rsid w:val="00F91528"/>
    <w:rsid w:val="00F9439A"/>
    <w:rsid w:val="00FA09E4"/>
    <w:rsid w:val="00FA211B"/>
    <w:rsid w:val="00FA3917"/>
    <w:rsid w:val="00FA59BC"/>
    <w:rsid w:val="00FB2A96"/>
    <w:rsid w:val="00FB6020"/>
    <w:rsid w:val="00FC0678"/>
    <w:rsid w:val="00FC4BB1"/>
    <w:rsid w:val="00FD3EA2"/>
    <w:rsid w:val="00FD56D5"/>
    <w:rsid w:val="00FD5E87"/>
    <w:rsid w:val="00FE4047"/>
    <w:rsid w:val="00FE6C0C"/>
    <w:rsid w:val="00FE78F0"/>
    <w:rsid w:val="00FF1790"/>
    <w:rsid w:val="00FF29BC"/>
    <w:rsid w:val="00FF426E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C8B2"/>
  <w15:docId w15:val="{3AC02EB0-6474-488F-A62A-1F0BA55D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0"/>
    <w:link w:val="20"/>
    <w:qFormat/>
    <w:rsid w:val="00A06E31"/>
    <w:pPr>
      <w:numPr>
        <w:ilvl w:val="1"/>
        <w:numId w:val="1"/>
      </w:numPr>
      <w:suppressAutoHyphens/>
      <w:spacing w:before="280" w:after="280"/>
      <w:outlineLvl w:val="1"/>
    </w:pPr>
    <w:rPr>
      <w:rFonts w:eastAsia="Times New Roman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91E6A"/>
    <w:pPr>
      <w:spacing w:before="100" w:beforeAutospacing="1" w:after="100" w:afterAutospacing="1"/>
    </w:pPr>
  </w:style>
  <w:style w:type="character" w:customStyle="1" w:styleId="font141">
    <w:name w:val="font141"/>
    <w:basedOn w:val="a1"/>
    <w:rsid w:val="00B91E6A"/>
    <w:rPr>
      <w:rFonts w:ascii="Times New Roman" w:hAnsi="Times New Roman" w:cs="Times New Roman" w:hint="default"/>
      <w:sz w:val="22"/>
      <w:szCs w:val="22"/>
    </w:rPr>
  </w:style>
  <w:style w:type="character" w:customStyle="1" w:styleId="font171">
    <w:name w:val="font171"/>
    <w:basedOn w:val="a1"/>
    <w:rsid w:val="00B91E6A"/>
    <w:rPr>
      <w:rFonts w:ascii="Times New Roman" w:hAnsi="Times New Roman" w:cs="Times New Roman" w:hint="default"/>
      <w:sz w:val="28"/>
      <w:szCs w:val="28"/>
    </w:rPr>
  </w:style>
  <w:style w:type="character" w:customStyle="1" w:styleId="font151">
    <w:name w:val="font151"/>
    <w:basedOn w:val="a1"/>
    <w:rsid w:val="00B91E6A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1E6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91E6A"/>
    <w:rPr>
      <w:rFonts w:ascii="Tahoma" w:eastAsiaTheme="minorEastAsia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1"/>
    <w:link w:val="a7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1"/>
    <w:link w:val="a9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6317BC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1"/>
    <w:link w:val="2"/>
    <w:rsid w:val="00A06E31"/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paragraph" w:styleId="a0">
    <w:name w:val="Body Text"/>
    <w:basedOn w:val="a"/>
    <w:link w:val="ab"/>
    <w:uiPriority w:val="99"/>
    <w:semiHidden/>
    <w:unhideWhenUsed/>
    <w:rsid w:val="00A06E3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A06E31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c">
    <w:name w:val="Table Grid"/>
    <w:basedOn w:val="a2"/>
    <w:uiPriority w:val="59"/>
    <w:rsid w:val="002B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826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customStyle="1" w:styleId="rvps2">
    <w:name w:val="rvps2"/>
    <w:basedOn w:val="a"/>
    <w:rsid w:val="00027DF6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d">
    <w:name w:val="List Paragraph"/>
    <w:basedOn w:val="a"/>
    <w:uiPriority w:val="34"/>
    <w:qFormat/>
    <w:rsid w:val="005946A1"/>
    <w:pPr>
      <w:ind w:left="720"/>
      <w:contextualSpacing/>
    </w:pPr>
  </w:style>
  <w:style w:type="table" w:customStyle="1" w:styleId="1">
    <w:name w:val="Сетка таблицы1"/>
    <w:basedOn w:val="a2"/>
    <w:next w:val="ac"/>
    <w:uiPriority w:val="59"/>
    <w:rsid w:val="00F11C27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627DEE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9A602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A602A"/>
    <w:rPr>
      <w:sz w:val="20"/>
      <w:szCs w:val="20"/>
    </w:rPr>
  </w:style>
  <w:style w:type="character" w:customStyle="1" w:styleId="af1">
    <w:name w:val="Текст примітки Знак"/>
    <w:basedOn w:val="a1"/>
    <w:link w:val="af0"/>
    <w:uiPriority w:val="99"/>
    <w:semiHidden/>
    <w:rsid w:val="009A602A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602A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9A602A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84_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376E-7135-4661-9FC3-C83E58DB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31508</Words>
  <Characters>17961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СТОРОЖЧУК ВОЛОДИМИР МИКОЛАЙОВИЧ</dc:creator>
  <cp:lastModifiedBy>Микитюк Ілона Віталіївна</cp:lastModifiedBy>
  <cp:revision>2</cp:revision>
  <cp:lastPrinted>2025-12-01T14:57:00Z</cp:lastPrinted>
  <dcterms:created xsi:type="dcterms:W3CDTF">2025-12-01T15:23:00Z</dcterms:created>
  <dcterms:modified xsi:type="dcterms:W3CDTF">2025-12-01T15:23:00Z</dcterms:modified>
</cp:coreProperties>
</file>