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FC" w:rsidRPr="00826735" w:rsidRDefault="005D0FFC" w:rsidP="00124555">
      <w:pPr>
        <w:widowControl w:val="0"/>
        <w:spacing w:after="0" w:line="240" w:lineRule="auto"/>
        <w:ind w:right="424" w:firstLine="282"/>
        <w:jc w:val="center"/>
        <w:outlineLvl w:val="2"/>
        <w:rPr>
          <w:rFonts w:ascii="Times New Roman" w:eastAsia="Times New Roman" w:hAnsi="Times New Roman" w:cs="Times New Roman"/>
          <w:b/>
          <w:bCs/>
          <w:sz w:val="28"/>
          <w:szCs w:val="28"/>
          <w:lang w:eastAsia="ru-RU"/>
        </w:rPr>
      </w:pPr>
      <w:bookmarkStart w:id="0" w:name="_GoBack"/>
      <w:bookmarkEnd w:id="0"/>
      <w:r w:rsidRPr="00826735">
        <w:rPr>
          <w:rFonts w:ascii="Times New Roman" w:eastAsia="Times New Roman" w:hAnsi="Times New Roman" w:cs="Times New Roman"/>
          <w:b/>
          <w:bCs/>
          <w:sz w:val="28"/>
          <w:szCs w:val="28"/>
          <w:lang w:eastAsia="ru-RU"/>
        </w:rPr>
        <w:t>АНАЛІЗ РЕГУЛЯТОРНОГО ВПЛИВУ</w:t>
      </w:r>
    </w:p>
    <w:p w:rsidR="0061006A" w:rsidRPr="00826735" w:rsidRDefault="0061006A">
      <w:pPr>
        <w:widowControl w:val="0"/>
        <w:spacing w:after="0" w:line="240" w:lineRule="auto"/>
        <w:ind w:right="-2"/>
        <w:jc w:val="center"/>
        <w:rPr>
          <w:rFonts w:ascii="Times New Roman" w:eastAsia="Times New Roman" w:hAnsi="Times New Roman" w:cs="Times New Roman"/>
          <w:b/>
          <w:sz w:val="28"/>
          <w:szCs w:val="28"/>
          <w:lang w:eastAsia="ru-RU"/>
        </w:rPr>
      </w:pPr>
      <w:proofErr w:type="spellStart"/>
      <w:r w:rsidRPr="00826735">
        <w:rPr>
          <w:rFonts w:ascii="Times New Roman" w:eastAsia="Times New Roman" w:hAnsi="Times New Roman" w:cs="Times New Roman"/>
          <w:b/>
          <w:sz w:val="28"/>
          <w:szCs w:val="28"/>
          <w:lang w:eastAsia="ru-RU"/>
        </w:rPr>
        <w:t>проєкту</w:t>
      </w:r>
      <w:proofErr w:type="spellEnd"/>
      <w:r w:rsidRPr="00826735">
        <w:rPr>
          <w:rFonts w:ascii="Times New Roman" w:eastAsia="Times New Roman" w:hAnsi="Times New Roman" w:cs="Times New Roman"/>
          <w:b/>
          <w:sz w:val="28"/>
          <w:szCs w:val="28"/>
          <w:lang w:eastAsia="ru-RU"/>
        </w:rPr>
        <w:t xml:space="preserve"> наказу Міністерства фінансів України</w:t>
      </w:r>
    </w:p>
    <w:p w:rsidR="0061006A" w:rsidRPr="00826735" w:rsidRDefault="0061006A">
      <w:pPr>
        <w:pStyle w:val="af5"/>
        <w:widowControl w:val="0"/>
        <w:tabs>
          <w:tab w:val="left" w:pos="3686"/>
        </w:tabs>
        <w:jc w:val="center"/>
        <w:rPr>
          <w:rFonts w:ascii="Times New Roman" w:eastAsia="Times New Roman" w:hAnsi="Times New Roman" w:cs="Times New Roman"/>
          <w:b/>
          <w:sz w:val="28"/>
          <w:szCs w:val="28"/>
          <w:lang w:eastAsia="ru-RU"/>
        </w:rPr>
      </w:pPr>
      <w:r w:rsidRPr="00826735">
        <w:rPr>
          <w:rFonts w:ascii="Times New Roman" w:eastAsia="Times New Roman" w:hAnsi="Times New Roman" w:cs="Times New Roman"/>
          <w:b/>
          <w:sz w:val="28"/>
          <w:szCs w:val="28"/>
          <w:lang w:eastAsia="ru-RU"/>
        </w:rPr>
        <w:t>«</w:t>
      </w:r>
      <w:r w:rsidRPr="00826735">
        <w:rPr>
          <w:rFonts w:ascii="Times New Roman" w:hAnsi="Times New Roman" w:cs="Times New Roman"/>
          <w:b/>
          <w:bCs/>
          <w:sz w:val="28"/>
          <w:szCs w:val="28"/>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826735">
        <w:rPr>
          <w:rFonts w:ascii="Times New Roman" w:eastAsia="Times New Roman" w:hAnsi="Times New Roman" w:cs="Times New Roman"/>
          <w:b/>
          <w:sz w:val="28"/>
          <w:szCs w:val="28"/>
          <w:lang w:eastAsia="ru-RU"/>
        </w:rPr>
        <w:t>»</w:t>
      </w:r>
    </w:p>
    <w:p w:rsidR="005D0FFC" w:rsidRPr="00826735" w:rsidRDefault="005D0FFC" w:rsidP="0061006A">
      <w:pPr>
        <w:spacing w:after="0" w:line="240" w:lineRule="auto"/>
        <w:ind w:left="426" w:right="424"/>
        <w:jc w:val="center"/>
        <w:rPr>
          <w:rFonts w:ascii="Times New Roman" w:eastAsia="Calibri" w:hAnsi="Times New Roman" w:cs="Times New Roman"/>
          <w:b/>
          <w:sz w:val="28"/>
          <w:szCs w:val="28"/>
        </w:rPr>
      </w:pPr>
    </w:p>
    <w:p w:rsidR="005D0FFC" w:rsidRPr="0082673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rPr>
      </w:pPr>
      <w:r w:rsidRPr="00826735">
        <w:rPr>
          <w:rFonts w:ascii="Times New Roman" w:eastAsia="Calibri" w:hAnsi="Times New Roman" w:cs="Times New Roman"/>
          <w:b/>
          <w:sz w:val="28"/>
          <w:szCs w:val="28"/>
        </w:rPr>
        <w:t>І. Визначення проблеми</w:t>
      </w:r>
    </w:p>
    <w:p w:rsidR="008D311D" w:rsidRPr="00826735" w:rsidRDefault="008D311D" w:rsidP="00904AAE">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 xml:space="preserve">Наказ Міністерства фінансів України </w:t>
      </w:r>
      <w:r w:rsidRPr="00826735">
        <w:rPr>
          <w:rFonts w:ascii="Times New Roman" w:eastAsia="Times New Roman" w:hAnsi="Times New Roman" w:cs="Times New Roman"/>
          <w:bCs/>
          <w:sz w:val="28"/>
          <w:szCs w:val="28"/>
          <w:lang w:eastAsia="ru-RU"/>
        </w:rPr>
        <w:t>від 30 травня 2012 року № 646 «Про місця доставки товарів транспортними засобами»</w:t>
      </w:r>
      <w:r w:rsidRPr="00826735">
        <w:rPr>
          <w:rFonts w:ascii="Times New Roman" w:hAnsi="Times New Roman" w:cs="Times New Roman"/>
          <w:sz w:val="28"/>
          <w:szCs w:val="28"/>
        </w:rPr>
        <w:t xml:space="preserve"> (далі – наказ № 646) прийнято відповідно до статті 200 Митного кодексу України від 13 березня</w:t>
      </w:r>
      <w:r w:rsidR="00904AAE" w:rsidRPr="00826735">
        <w:rPr>
          <w:rFonts w:ascii="Times New Roman" w:hAnsi="Times New Roman" w:cs="Times New Roman"/>
          <w:sz w:val="28"/>
          <w:szCs w:val="28"/>
        </w:rPr>
        <w:br/>
      </w:r>
      <w:r w:rsidRPr="00826735">
        <w:rPr>
          <w:rFonts w:ascii="Times New Roman" w:hAnsi="Times New Roman" w:cs="Times New Roman"/>
          <w:sz w:val="28"/>
          <w:szCs w:val="28"/>
        </w:rPr>
        <w:t>2012 року № 4495-VI (далі – Кодекс).</w:t>
      </w:r>
    </w:p>
    <w:p w:rsidR="008D311D" w:rsidRPr="00826735" w:rsidRDefault="005D282F" w:rsidP="00904AAE">
      <w:pPr>
        <w:spacing w:after="0" w:line="240" w:lineRule="auto"/>
        <w:ind w:firstLine="567"/>
        <w:jc w:val="both"/>
        <w:rPr>
          <w:rFonts w:ascii="Times New Roman" w:eastAsia="Times New Roman" w:hAnsi="Times New Roman" w:cs="Times New Roman"/>
          <w:color w:val="000000"/>
          <w:sz w:val="28"/>
          <w:szCs w:val="28"/>
          <w:lang w:eastAsia="uk-UA"/>
        </w:rPr>
      </w:pPr>
      <w:r w:rsidRPr="00826735">
        <w:rPr>
          <w:rFonts w:ascii="Times New Roman" w:hAnsi="Times New Roman" w:cs="Times New Roman"/>
          <w:sz w:val="28"/>
          <w:szCs w:val="28"/>
        </w:rPr>
        <w:t xml:space="preserve">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w:t>
      </w:r>
      <w:proofErr w:type="spellStart"/>
      <w:r w:rsidR="00904AAE" w:rsidRPr="00826735">
        <w:rPr>
          <w:rFonts w:ascii="Times New Roman" w:hAnsi="Times New Roman" w:cs="Times New Roman"/>
          <w:sz w:val="28"/>
          <w:szCs w:val="28"/>
        </w:rPr>
        <w:t>внесено</w:t>
      </w:r>
      <w:proofErr w:type="spellEnd"/>
      <w:r w:rsidR="00904AAE" w:rsidRPr="00826735">
        <w:rPr>
          <w:rFonts w:ascii="Times New Roman" w:hAnsi="Times New Roman" w:cs="Times New Roman"/>
          <w:sz w:val="28"/>
          <w:szCs w:val="28"/>
        </w:rPr>
        <w:t xml:space="preserve"> зміни </w:t>
      </w:r>
      <w:r w:rsidRPr="00826735">
        <w:rPr>
          <w:rFonts w:ascii="Times New Roman" w:hAnsi="Times New Roman" w:cs="Times New Roman"/>
          <w:sz w:val="28"/>
          <w:szCs w:val="28"/>
        </w:rPr>
        <w:t>до</w:t>
      </w:r>
      <w:r w:rsidR="00904AAE" w:rsidRPr="00826735">
        <w:rPr>
          <w:rFonts w:ascii="Times New Roman" w:hAnsi="Times New Roman" w:cs="Times New Roman"/>
          <w:sz w:val="28"/>
          <w:szCs w:val="28"/>
        </w:rPr>
        <w:br/>
      </w:r>
      <w:r w:rsidR="00BC5949" w:rsidRPr="00826735">
        <w:rPr>
          <w:rFonts w:ascii="Times New Roman" w:hAnsi="Times New Roman" w:cs="Times New Roman"/>
          <w:sz w:val="28"/>
          <w:szCs w:val="28"/>
        </w:rPr>
        <w:t>статті 200</w:t>
      </w:r>
      <w:r w:rsidRPr="00826735">
        <w:rPr>
          <w:rFonts w:ascii="Times New Roman" w:hAnsi="Times New Roman" w:cs="Times New Roman"/>
          <w:sz w:val="28"/>
          <w:szCs w:val="28"/>
        </w:rPr>
        <w:t xml:space="preserve"> Кодексу</w:t>
      </w:r>
      <w:r w:rsidR="00033E00" w:rsidRPr="00826735">
        <w:rPr>
          <w:rFonts w:ascii="Times New Roman" w:hAnsi="Times New Roman" w:cs="Times New Roman"/>
          <w:sz w:val="28"/>
          <w:szCs w:val="28"/>
        </w:rPr>
        <w:t>,</w:t>
      </w:r>
      <w:r w:rsidR="00904AAE" w:rsidRPr="00826735">
        <w:rPr>
          <w:rFonts w:ascii="Times New Roman" w:hAnsi="Times New Roman" w:cs="Times New Roman"/>
          <w:sz w:val="28"/>
          <w:szCs w:val="28"/>
        </w:rPr>
        <w:t xml:space="preserve"> а саме</w:t>
      </w:r>
      <w:r w:rsidR="00033E00" w:rsidRPr="00826735">
        <w:rPr>
          <w:rFonts w:ascii="Times New Roman" w:hAnsi="Times New Roman" w:cs="Times New Roman"/>
          <w:sz w:val="28"/>
          <w:szCs w:val="28"/>
        </w:rPr>
        <w:t>:</w:t>
      </w:r>
    </w:p>
    <w:p w:rsidR="00033E00" w:rsidRPr="00826735" w:rsidRDefault="00033E00" w:rsidP="00904AAE">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детально визначено перелік місць, куди після надання митним органом дозволу на пропуск товарів через митний кордон України особа, яка ввозить товари (перевізник або інша особа, на яку покладається дотримання вимог митного режиму транзиту), зобов’язана забезпечити доставку товарів, транспортних засобів комерційного призначення та документів на них без будь-якої зміни їх стану;</w:t>
      </w:r>
    </w:p>
    <w:p w:rsidR="00033E00" w:rsidRPr="00826735" w:rsidRDefault="00033E00" w:rsidP="00904AAE">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визначено місця, де можуть створюватися місця доставки;</w:t>
      </w:r>
    </w:p>
    <w:p w:rsidR="00033E00" w:rsidRPr="00826735" w:rsidRDefault="00033E00" w:rsidP="00904AAE">
      <w:pPr>
        <w:pStyle w:val="rvps2"/>
        <w:shd w:val="clear" w:color="auto" w:fill="FFFFFF"/>
        <w:spacing w:before="0" w:beforeAutospacing="0" w:after="0" w:afterAutospacing="0"/>
        <w:ind w:firstLine="567"/>
        <w:jc w:val="both"/>
        <w:textAlignment w:val="baseline"/>
        <w:rPr>
          <w:bCs/>
          <w:sz w:val="28"/>
          <w:szCs w:val="28"/>
          <w:lang w:val="uk-UA"/>
        </w:rPr>
      </w:pPr>
      <w:r w:rsidRPr="00826735">
        <w:rPr>
          <w:bCs/>
          <w:sz w:val="28"/>
          <w:szCs w:val="28"/>
          <w:lang w:val="uk-UA"/>
        </w:rPr>
        <w:t>надано повноваження центральному органу виконавчої влади, що забезпечує формування та реалізує державну фінансову політику встановлювати порядок відкриття та закриття місць доставки, вимоги до облаштування місць доставки та визначати товари, які можуть бути доставлені в інше місце, узгоджене з митним органом призначення.</w:t>
      </w:r>
    </w:p>
    <w:p w:rsidR="002E196B" w:rsidRPr="00826735" w:rsidRDefault="00904AAE" w:rsidP="00904AAE">
      <w:pPr>
        <w:spacing w:after="0" w:line="240" w:lineRule="auto"/>
        <w:ind w:firstLine="567"/>
        <w:jc w:val="both"/>
        <w:rPr>
          <w:rFonts w:ascii="Times New Roman" w:hAnsi="Times New Roman" w:cs="Times New Roman"/>
          <w:sz w:val="28"/>
          <w:szCs w:val="28"/>
        </w:rPr>
      </w:pPr>
      <w:r w:rsidRPr="00826735">
        <w:rPr>
          <w:rFonts w:ascii="Times New Roman" w:eastAsia="Times New Roman" w:hAnsi="Times New Roman" w:cs="Times New Roman"/>
          <w:bCs/>
          <w:sz w:val="28"/>
          <w:szCs w:val="28"/>
          <w:lang w:eastAsia="ru-RU"/>
        </w:rPr>
        <w:t xml:space="preserve">З огляду на зазначене, </w:t>
      </w:r>
      <w:r w:rsidRPr="00826735">
        <w:rPr>
          <w:rFonts w:ascii="Times New Roman" w:hAnsi="Times New Roman" w:cs="Times New Roman"/>
          <w:sz w:val="28"/>
          <w:szCs w:val="28"/>
        </w:rPr>
        <w:t>п</w:t>
      </w:r>
      <w:r w:rsidR="002E196B" w:rsidRPr="00826735">
        <w:rPr>
          <w:rFonts w:ascii="Times New Roman" w:hAnsi="Times New Roman" w:cs="Times New Roman"/>
          <w:sz w:val="28"/>
          <w:szCs w:val="28"/>
        </w:rPr>
        <w:t xml:space="preserve">оложення наказу </w:t>
      </w:r>
      <w:r w:rsidR="002E196B" w:rsidRPr="00826735">
        <w:rPr>
          <w:rFonts w:ascii="Times New Roman" w:eastAsia="Times New Roman" w:hAnsi="Times New Roman" w:cs="Times New Roman"/>
          <w:bCs/>
          <w:sz w:val="28"/>
          <w:szCs w:val="28"/>
          <w:lang w:eastAsia="ru-RU"/>
        </w:rPr>
        <w:t xml:space="preserve">№ 646 </w:t>
      </w:r>
      <w:r w:rsidR="002E196B" w:rsidRPr="00826735">
        <w:rPr>
          <w:rFonts w:ascii="Times New Roman" w:hAnsi="Times New Roman" w:cs="Times New Roman"/>
          <w:sz w:val="28"/>
          <w:szCs w:val="28"/>
        </w:rPr>
        <w:t xml:space="preserve">не відповідають </w:t>
      </w:r>
      <w:r w:rsidRPr="00826735">
        <w:rPr>
          <w:rFonts w:ascii="Times New Roman" w:hAnsi="Times New Roman" w:cs="Times New Roman"/>
          <w:sz w:val="28"/>
          <w:szCs w:val="28"/>
        </w:rPr>
        <w:t xml:space="preserve">чинним </w:t>
      </w:r>
      <w:r w:rsidR="002E196B" w:rsidRPr="00826735">
        <w:rPr>
          <w:rFonts w:ascii="Times New Roman" w:hAnsi="Times New Roman" w:cs="Times New Roman"/>
          <w:sz w:val="28"/>
          <w:szCs w:val="28"/>
        </w:rPr>
        <w:t xml:space="preserve">положенням законодавчого </w:t>
      </w:r>
      <w:proofErr w:type="spellStart"/>
      <w:r w:rsidR="002E196B" w:rsidRPr="00826735">
        <w:rPr>
          <w:rFonts w:ascii="Times New Roman" w:hAnsi="Times New Roman" w:cs="Times New Roman"/>
          <w:sz w:val="28"/>
          <w:szCs w:val="28"/>
        </w:rPr>
        <w:t>акта</w:t>
      </w:r>
      <w:proofErr w:type="spellEnd"/>
      <w:r w:rsidR="002E196B" w:rsidRPr="00826735">
        <w:rPr>
          <w:rFonts w:ascii="Times New Roman" w:hAnsi="Times New Roman" w:cs="Times New Roman"/>
          <w:sz w:val="28"/>
          <w:szCs w:val="28"/>
        </w:rPr>
        <w:t>, відповідно до якого його було прийнято, і потребують актуалізації з ураху</w:t>
      </w:r>
      <w:r w:rsidR="00572B26" w:rsidRPr="00826735">
        <w:rPr>
          <w:rFonts w:ascii="Times New Roman" w:hAnsi="Times New Roman" w:cs="Times New Roman"/>
          <w:sz w:val="28"/>
          <w:szCs w:val="28"/>
        </w:rPr>
        <w:t>ванням змін, внесених Законом № </w:t>
      </w:r>
      <w:r w:rsidR="002E196B" w:rsidRPr="00826735">
        <w:rPr>
          <w:rFonts w:ascii="Times New Roman" w:hAnsi="Times New Roman" w:cs="Times New Roman"/>
          <w:sz w:val="28"/>
          <w:szCs w:val="28"/>
        </w:rPr>
        <w:t xml:space="preserve">3926, зокрема в частині </w:t>
      </w:r>
      <w:r w:rsidR="002E196B" w:rsidRPr="00826735">
        <w:rPr>
          <w:rFonts w:ascii="Times New Roman" w:eastAsia="Times New Roman" w:hAnsi="Times New Roman" w:cs="Times New Roman"/>
          <w:bCs/>
          <w:sz w:val="28"/>
          <w:szCs w:val="28"/>
          <w:lang w:eastAsia="ru-RU"/>
        </w:rPr>
        <w:t>нормативного врегулювання питання відкриття, закриття місць доставки, встановлення вимог до облаштування місць доставки та визначення товарів, які можуть бути доставлені в інше місце, узгоджене з митним органом призначення, та приведення їх у відповідність до нової термінології</w:t>
      </w:r>
      <w:r w:rsidR="00FF5B5F" w:rsidRPr="00826735">
        <w:rPr>
          <w:rFonts w:ascii="Times New Roman" w:eastAsia="Times New Roman" w:hAnsi="Times New Roman" w:cs="Times New Roman"/>
          <w:bCs/>
          <w:sz w:val="28"/>
          <w:szCs w:val="28"/>
          <w:lang w:eastAsia="ru-RU"/>
        </w:rPr>
        <w:t>,</w:t>
      </w:r>
      <w:r w:rsidR="002E196B" w:rsidRPr="00826735">
        <w:rPr>
          <w:rFonts w:ascii="Times New Roman" w:eastAsia="Times New Roman" w:hAnsi="Times New Roman" w:cs="Times New Roman"/>
          <w:bCs/>
          <w:sz w:val="28"/>
          <w:szCs w:val="28"/>
          <w:lang w:eastAsia="ru-RU"/>
        </w:rPr>
        <w:t xml:space="preserve"> визначеної Кодексом. </w:t>
      </w:r>
    </w:p>
    <w:p w:rsidR="00D2183C" w:rsidRPr="00826735" w:rsidRDefault="000737CD" w:rsidP="00904AAE">
      <w:pPr>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color w:val="000000"/>
          <w:sz w:val="28"/>
          <w:szCs w:val="28"/>
          <w:lang w:eastAsia="uk-UA"/>
        </w:rPr>
        <w:t>З</w:t>
      </w:r>
      <w:r w:rsidR="00D2183C" w:rsidRPr="00826735">
        <w:rPr>
          <w:rFonts w:ascii="Times New Roman" w:eastAsia="Times New Roman" w:hAnsi="Times New Roman" w:cs="Times New Roman"/>
          <w:color w:val="000000"/>
          <w:sz w:val="28"/>
          <w:szCs w:val="28"/>
          <w:lang w:eastAsia="uk-UA"/>
        </w:rPr>
        <w:t xml:space="preserve"> метою </w:t>
      </w:r>
      <w:r w:rsidR="00D2183C" w:rsidRPr="00826735">
        <w:rPr>
          <w:rFonts w:ascii="Times New Roman" w:eastAsia="Times New Roman" w:hAnsi="Times New Roman" w:cs="Times New Roman"/>
          <w:bCs/>
          <w:sz w:val="28"/>
          <w:szCs w:val="28"/>
          <w:lang w:eastAsia="ru-RU"/>
        </w:rPr>
        <w:t xml:space="preserve">реалізації Закону № 3926, зокрема, для впорядкування процедури відкриття та закриття місць доставки, облаштування місць доставки та визначення товарів, які можуть бути доставлені в інше місце, узгоджене з митним органом призначення, розроблено </w:t>
      </w:r>
      <w:proofErr w:type="spellStart"/>
      <w:r w:rsidR="00D2183C" w:rsidRPr="00826735">
        <w:rPr>
          <w:rFonts w:ascii="Times New Roman" w:eastAsia="Times New Roman" w:hAnsi="Times New Roman" w:cs="Times New Roman"/>
          <w:bCs/>
          <w:sz w:val="28"/>
          <w:szCs w:val="28"/>
          <w:lang w:eastAsia="ru-RU"/>
        </w:rPr>
        <w:t>проєкт</w:t>
      </w:r>
      <w:proofErr w:type="spellEnd"/>
      <w:r w:rsidR="00D2183C" w:rsidRPr="00826735">
        <w:rPr>
          <w:rFonts w:ascii="Times New Roman" w:eastAsia="Times New Roman" w:hAnsi="Times New Roman" w:cs="Times New Roman"/>
          <w:bCs/>
          <w:sz w:val="28"/>
          <w:szCs w:val="28"/>
          <w:lang w:eastAsia="ru-RU"/>
        </w:rPr>
        <w:t xml:space="preserve"> наказу</w:t>
      </w:r>
      <w:r w:rsidR="00FF5B5F" w:rsidRPr="00826735">
        <w:rPr>
          <w:rFonts w:ascii="Times New Roman" w:eastAsia="Times New Roman" w:hAnsi="Times New Roman" w:cs="Times New Roman"/>
          <w:bCs/>
          <w:sz w:val="28"/>
          <w:szCs w:val="28"/>
          <w:lang w:eastAsia="ru-RU"/>
        </w:rPr>
        <w:t xml:space="preserve"> Міністерства фінансів України</w:t>
      </w:r>
      <w:r w:rsidR="00D2183C" w:rsidRPr="00826735">
        <w:rPr>
          <w:rFonts w:ascii="Times New Roman" w:eastAsia="Times New Roman" w:hAnsi="Times New Roman" w:cs="Times New Roman"/>
          <w:bCs/>
          <w:sz w:val="28"/>
          <w:szCs w:val="28"/>
          <w:lang w:eastAsia="ru-RU"/>
        </w:rPr>
        <w:t xml:space="preserve"> «Про затвердження Порядку відкриття та закриття місць доставки, Вимог до облаштування місць доставки та Порядку визначення товарів, які </w:t>
      </w:r>
      <w:r w:rsidR="00D2183C" w:rsidRPr="00826735">
        <w:rPr>
          <w:rFonts w:ascii="Times New Roman" w:eastAsia="Times New Roman" w:hAnsi="Times New Roman" w:cs="Times New Roman"/>
          <w:bCs/>
          <w:sz w:val="28"/>
          <w:szCs w:val="28"/>
          <w:lang w:eastAsia="ru-RU"/>
        </w:rPr>
        <w:lastRenderedPageBreak/>
        <w:t>можуть бути доставлені в інше місце, узгоджене з митним органом призначення».</w:t>
      </w:r>
    </w:p>
    <w:p w:rsidR="00A840F2" w:rsidRPr="00826735" w:rsidRDefault="009A609C"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hAnsi="Times New Roman" w:cs="Times New Roman"/>
          <w:sz w:val="28"/>
          <w:szCs w:val="28"/>
        </w:rPr>
        <w:t xml:space="preserve">Отже, проблемою, яку необхідно врегулювати </w:t>
      </w:r>
      <w:proofErr w:type="spellStart"/>
      <w:r w:rsidRPr="00826735">
        <w:rPr>
          <w:rFonts w:ascii="Times New Roman" w:hAnsi="Times New Roman" w:cs="Times New Roman"/>
          <w:sz w:val="28"/>
          <w:szCs w:val="28"/>
        </w:rPr>
        <w:t>проєктом</w:t>
      </w:r>
      <w:proofErr w:type="spellEnd"/>
      <w:r w:rsidRPr="00826735">
        <w:rPr>
          <w:rFonts w:ascii="Times New Roman" w:hAnsi="Times New Roman" w:cs="Times New Roman"/>
          <w:sz w:val="28"/>
          <w:szCs w:val="28"/>
        </w:rPr>
        <w:t xml:space="preserve"> регуляторного </w:t>
      </w:r>
      <w:proofErr w:type="spellStart"/>
      <w:r w:rsidRPr="00826735">
        <w:rPr>
          <w:rFonts w:ascii="Times New Roman" w:hAnsi="Times New Roman" w:cs="Times New Roman"/>
          <w:sz w:val="28"/>
          <w:szCs w:val="28"/>
        </w:rPr>
        <w:t>акта</w:t>
      </w:r>
      <w:proofErr w:type="spellEnd"/>
      <w:r w:rsidRPr="00826735">
        <w:rPr>
          <w:rFonts w:ascii="Times New Roman" w:hAnsi="Times New Roman" w:cs="Times New Roman"/>
          <w:sz w:val="28"/>
          <w:szCs w:val="28"/>
        </w:rPr>
        <w:t xml:space="preserve">, є необхідність </w:t>
      </w:r>
      <w:r w:rsidR="00A840F2" w:rsidRPr="00826735">
        <w:rPr>
          <w:rFonts w:ascii="Times New Roman" w:eastAsia="Times New Roman" w:hAnsi="Times New Roman" w:cs="Times New Roman"/>
          <w:bCs/>
          <w:sz w:val="28"/>
          <w:szCs w:val="28"/>
          <w:lang w:eastAsia="ru-RU"/>
        </w:rPr>
        <w:t>затвердження відповідно до статті 200 Кодексу:</w:t>
      </w:r>
    </w:p>
    <w:p w:rsidR="00A840F2" w:rsidRPr="0082673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Порядку відкриття та закриття місць доставки;</w:t>
      </w:r>
    </w:p>
    <w:p w:rsidR="00A840F2" w:rsidRPr="0082673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Вимог до облаштування місць доставки;</w:t>
      </w:r>
    </w:p>
    <w:p w:rsidR="00A840F2" w:rsidRPr="0082673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Порядку визначення товарів, які можуть бути доставлені в інше місце, узгоджене з митним органом призначення.</w:t>
      </w:r>
    </w:p>
    <w:p w:rsidR="00A840F2" w:rsidRPr="00826735" w:rsidRDefault="00A840F2" w:rsidP="00A840F2">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Також запропоновано визнати таким, що втратив чинність</w:t>
      </w:r>
      <w:r w:rsidR="00475CB5">
        <w:rPr>
          <w:rFonts w:ascii="Times New Roman" w:hAnsi="Times New Roman" w:cs="Times New Roman"/>
          <w:sz w:val="28"/>
          <w:szCs w:val="28"/>
        </w:rPr>
        <w:t>,</w:t>
      </w:r>
      <w:r w:rsidRPr="00826735">
        <w:rPr>
          <w:rFonts w:ascii="Times New Roman" w:hAnsi="Times New Roman" w:cs="Times New Roman"/>
          <w:sz w:val="28"/>
          <w:szCs w:val="28"/>
        </w:rPr>
        <w:t xml:space="preserve"> наказ № 646.</w:t>
      </w:r>
    </w:p>
    <w:p w:rsidR="008C470F" w:rsidRPr="00826735" w:rsidRDefault="00A840F2" w:rsidP="008C470F">
      <w:pPr>
        <w:widowControl w:val="0"/>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hAnsi="Times New Roman" w:cs="Times New Roman"/>
          <w:sz w:val="28"/>
          <w:szCs w:val="28"/>
        </w:rPr>
        <w:t xml:space="preserve">Варто зазначити, що </w:t>
      </w:r>
      <w:r w:rsidRPr="00826735">
        <w:rPr>
          <w:rFonts w:ascii="Times New Roman" w:eastAsia="Times New Roman" w:hAnsi="Times New Roman" w:cs="Times New Roman"/>
          <w:sz w:val="28"/>
          <w:szCs w:val="28"/>
          <w:lang w:eastAsia="ru-RU"/>
        </w:rPr>
        <w:t xml:space="preserve">місця доставки, визначені митними органами та облаштовані відповідно до вимог наказу № 646, </w:t>
      </w:r>
      <w:r w:rsidRPr="00826735">
        <w:rPr>
          <w:rFonts w:ascii="Times New Roman" w:eastAsia="Times New Roman" w:hAnsi="Times New Roman" w:cs="Times New Roman"/>
          <w:bCs/>
          <w:sz w:val="28"/>
          <w:szCs w:val="28"/>
          <w:lang w:eastAsia="ru-RU"/>
        </w:rPr>
        <w:t>функціонуватимуть до</w:t>
      </w:r>
      <w:r w:rsidR="000737CD" w:rsidRPr="00826735">
        <w:rPr>
          <w:rFonts w:ascii="Times New Roman" w:eastAsia="Times New Roman" w:hAnsi="Times New Roman" w:cs="Times New Roman"/>
          <w:bCs/>
          <w:sz w:val="28"/>
          <w:szCs w:val="28"/>
          <w:lang w:eastAsia="ru-RU"/>
        </w:rPr>
        <w:br/>
      </w:r>
      <w:r w:rsidRPr="00826735">
        <w:rPr>
          <w:rFonts w:ascii="Times New Roman" w:eastAsia="Times New Roman" w:hAnsi="Times New Roman" w:cs="Times New Roman"/>
          <w:bCs/>
          <w:sz w:val="28"/>
          <w:szCs w:val="28"/>
          <w:lang w:eastAsia="ru-RU"/>
        </w:rPr>
        <w:t>19 квітня 2026 року</w:t>
      </w:r>
      <w:r w:rsidR="008C470F" w:rsidRPr="00826735">
        <w:rPr>
          <w:rFonts w:ascii="Times New Roman" w:eastAsia="Times New Roman" w:hAnsi="Times New Roman" w:cs="Times New Roman"/>
          <w:bCs/>
          <w:sz w:val="28"/>
          <w:szCs w:val="28"/>
          <w:lang w:eastAsia="ru-RU"/>
        </w:rPr>
        <w:t>.</w:t>
      </w:r>
    </w:p>
    <w:p w:rsidR="009A609C" w:rsidRPr="00826735" w:rsidRDefault="009A609C" w:rsidP="009A609C">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 xml:space="preserve">Вирішення зазначеної проблеми можливе шляхом </w:t>
      </w:r>
      <w:r w:rsidR="008C470F" w:rsidRPr="00826735">
        <w:rPr>
          <w:rFonts w:ascii="Times New Roman" w:eastAsia="Times New Roman" w:hAnsi="Times New Roman" w:cs="Times New Roman"/>
          <w:sz w:val="28"/>
          <w:szCs w:val="28"/>
          <w:lang w:eastAsia="uk-UA"/>
        </w:rPr>
        <w:t xml:space="preserve">прийняття </w:t>
      </w:r>
      <w:proofErr w:type="spellStart"/>
      <w:r w:rsidR="008C470F" w:rsidRPr="00826735">
        <w:rPr>
          <w:rFonts w:ascii="Times New Roman" w:eastAsia="Times New Roman" w:hAnsi="Times New Roman" w:cs="Times New Roman"/>
          <w:sz w:val="28"/>
          <w:szCs w:val="28"/>
          <w:lang w:eastAsia="uk-UA"/>
        </w:rPr>
        <w:t>проєкту</w:t>
      </w:r>
      <w:proofErr w:type="spellEnd"/>
      <w:r w:rsidR="008C470F" w:rsidRPr="00826735">
        <w:rPr>
          <w:rFonts w:ascii="Times New Roman" w:eastAsia="Times New Roman" w:hAnsi="Times New Roman" w:cs="Times New Roman"/>
          <w:sz w:val="28"/>
          <w:szCs w:val="28"/>
          <w:lang w:eastAsia="uk-UA"/>
        </w:rPr>
        <w:t xml:space="preserve"> </w:t>
      </w:r>
      <w:proofErr w:type="spellStart"/>
      <w:r w:rsidR="008C470F" w:rsidRPr="00826735">
        <w:rPr>
          <w:rFonts w:ascii="Times New Roman" w:eastAsia="Times New Roman" w:hAnsi="Times New Roman" w:cs="Times New Roman"/>
          <w:sz w:val="28"/>
          <w:szCs w:val="28"/>
          <w:lang w:eastAsia="uk-UA"/>
        </w:rPr>
        <w:t>акта</w:t>
      </w:r>
      <w:proofErr w:type="spellEnd"/>
      <w:r w:rsidR="00AB4074" w:rsidRPr="00826735">
        <w:rPr>
          <w:rFonts w:ascii="Times New Roman" w:eastAsia="Times New Roman" w:hAnsi="Times New Roman" w:cs="Times New Roman"/>
          <w:sz w:val="28"/>
          <w:szCs w:val="28"/>
          <w:lang w:eastAsia="uk-UA"/>
        </w:rPr>
        <w:t>, що</w:t>
      </w:r>
      <w:r w:rsidR="008C470F" w:rsidRPr="00826735">
        <w:rPr>
          <w:rFonts w:ascii="Times New Roman" w:eastAsia="Times New Roman" w:hAnsi="Times New Roman" w:cs="Times New Roman"/>
          <w:sz w:val="28"/>
          <w:szCs w:val="28"/>
          <w:lang w:eastAsia="uk-UA"/>
        </w:rPr>
        <w:t xml:space="preserve"> забезпечить встановлення чіткого п</w:t>
      </w:r>
      <w:r w:rsidR="008C470F" w:rsidRPr="00826735">
        <w:rPr>
          <w:rFonts w:ascii="Times New Roman" w:eastAsia="Times New Roman" w:hAnsi="Times New Roman" w:cs="Times New Roman"/>
          <w:bCs/>
          <w:sz w:val="28"/>
          <w:szCs w:val="28"/>
          <w:lang w:eastAsia="ru-RU"/>
        </w:rPr>
        <w:t>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w:t>
      </w:r>
      <w:r w:rsidRPr="00826735">
        <w:rPr>
          <w:rFonts w:ascii="Times New Roman" w:hAnsi="Times New Roman" w:cs="Times New Roman"/>
          <w:sz w:val="28"/>
          <w:szCs w:val="28"/>
        </w:rPr>
        <w:t>.</w:t>
      </w:r>
    </w:p>
    <w:p w:rsidR="009A609C" w:rsidRPr="00826735" w:rsidRDefault="009A609C" w:rsidP="009A609C">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 xml:space="preserve">Реалізація положень </w:t>
      </w:r>
      <w:proofErr w:type="spellStart"/>
      <w:r w:rsidRPr="00826735">
        <w:rPr>
          <w:rFonts w:ascii="Times New Roman" w:hAnsi="Times New Roman" w:cs="Times New Roman"/>
          <w:sz w:val="28"/>
          <w:szCs w:val="28"/>
        </w:rPr>
        <w:t>проєкту</w:t>
      </w:r>
      <w:proofErr w:type="spellEnd"/>
      <w:r w:rsidRPr="00826735">
        <w:rPr>
          <w:rFonts w:ascii="Times New Roman" w:hAnsi="Times New Roman" w:cs="Times New Roman"/>
          <w:sz w:val="28"/>
          <w:szCs w:val="28"/>
        </w:rPr>
        <w:t xml:space="preserve"> регуляторного </w:t>
      </w:r>
      <w:proofErr w:type="spellStart"/>
      <w:r w:rsidRPr="00826735">
        <w:rPr>
          <w:rFonts w:ascii="Times New Roman" w:hAnsi="Times New Roman" w:cs="Times New Roman"/>
          <w:sz w:val="28"/>
          <w:szCs w:val="28"/>
        </w:rPr>
        <w:t>акта</w:t>
      </w:r>
      <w:proofErr w:type="spellEnd"/>
      <w:r w:rsidRPr="00826735">
        <w:rPr>
          <w:rFonts w:ascii="Times New Roman" w:hAnsi="Times New Roman" w:cs="Times New Roman"/>
          <w:sz w:val="28"/>
          <w:szCs w:val="28"/>
        </w:rPr>
        <w:t xml:space="preserve"> дасть змогу привести нормативно-правовий акт у відповідність до вимог чинного законодавства.</w:t>
      </w:r>
    </w:p>
    <w:p w:rsidR="009A609C" w:rsidRPr="00826735" w:rsidRDefault="009A609C" w:rsidP="009A609C">
      <w:pPr>
        <w:spacing w:after="0" w:line="240" w:lineRule="auto"/>
        <w:ind w:firstLine="567"/>
        <w:jc w:val="both"/>
        <w:rPr>
          <w:rFonts w:ascii="Times New Roman" w:hAnsi="Times New Roman" w:cs="Times New Roman"/>
          <w:sz w:val="16"/>
          <w:szCs w:val="16"/>
        </w:rPr>
      </w:pPr>
    </w:p>
    <w:p w:rsidR="005D0FFC" w:rsidRPr="00826735" w:rsidRDefault="005D0FFC" w:rsidP="005D0FFC">
      <w:pPr>
        <w:widowControl w:val="0"/>
        <w:tabs>
          <w:tab w:val="num" w:pos="0"/>
        </w:tabs>
        <w:spacing w:before="80" w:after="4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Основні групи (підгрупи), на які проблема справляє вплив:</w:t>
      </w:r>
    </w:p>
    <w:tbl>
      <w:tblPr>
        <w:tblW w:w="4918"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140"/>
        <w:gridCol w:w="2721"/>
        <w:gridCol w:w="2468"/>
      </w:tblGrid>
      <w:tr w:rsidR="005D0FFC" w:rsidRPr="00826735" w:rsidTr="00DF5CF0">
        <w:trPr>
          <w:trHeight w:val="210"/>
          <w:tblCellSpacing w:w="22" w:type="dxa"/>
          <w:jc w:val="center"/>
        </w:trPr>
        <w:tc>
          <w:tcPr>
            <w:tcW w:w="2184" w:type="pct"/>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Групи (підгрупи)</w:t>
            </w:r>
          </w:p>
        </w:tc>
        <w:tc>
          <w:tcPr>
            <w:tcW w:w="1435" w:type="pct"/>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Так</w:t>
            </w:r>
          </w:p>
        </w:tc>
        <w:tc>
          <w:tcPr>
            <w:tcW w:w="1288" w:type="pct"/>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Ні</w:t>
            </w:r>
          </w:p>
        </w:tc>
      </w:tr>
      <w:tr w:rsidR="005D0FFC" w:rsidRPr="00826735" w:rsidTr="00DF5CF0">
        <w:trPr>
          <w:trHeight w:val="356"/>
          <w:tblCellSpacing w:w="22" w:type="dxa"/>
          <w:jc w:val="center"/>
        </w:trPr>
        <w:tc>
          <w:tcPr>
            <w:tcW w:w="2184" w:type="pct"/>
          </w:tcPr>
          <w:p w:rsidR="005D0FFC" w:rsidRPr="00826735" w:rsidRDefault="005D0FFC" w:rsidP="005D0FFC">
            <w:pPr>
              <w:widowControl w:val="0"/>
              <w:spacing w:before="21" w:after="21" w:line="240" w:lineRule="auto"/>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Громадяни</w:t>
            </w:r>
          </w:p>
        </w:tc>
        <w:tc>
          <w:tcPr>
            <w:tcW w:w="1435" w:type="pct"/>
            <w:vAlign w:val="center"/>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c>
          <w:tcPr>
            <w:tcW w:w="1288" w:type="pct"/>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w:t>
            </w:r>
          </w:p>
        </w:tc>
      </w:tr>
      <w:tr w:rsidR="005D0FFC" w:rsidRPr="00826735" w:rsidTr="00DF5CF0">
        <w:trPr>
          <w:trHeight w:val="356"/>
          <w:tblCellSpacing w:w="22" w:type="dxa"/>
          <w:jc w:val="center"/>
        </w:trPr>
        <w:tc>
          <w:tcPr>
            <w:tcW w:w="2184" w:type="pct"/>
          </w:tcPr>
          <w:p w:rsidR="005D0FFC" w:rsidRPr="00826735" w:rsidRDefault="005D0FFC" w:rsidP="005D0FFC">
            <w:pPr>
              <w:widowControl w:val="0"/>
              <w:spacing w:before="21" w:after="21" w:line="240" w:lineRule="auto"/>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Держава</w:t>
            </w:r>
          </w:p>
        </w:tc>
        <w:tc>
          <w:tcPr>
            <w:tcW w:w="1435" w:type="pct"/>
            <w:vAlign w:val="center"/>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w:t>
            </w:r>
          </w:p>
        </w:tc>
        <w:tc>
          <w:tcPr>
            <w:tcW w:w="1288" w:type="pct"/>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r>
      <w:tr w:rsidR="005D0FFC" w:rsidRPr="00826735" w:rsidTr="00DF5CF0">
        <w:trPr>
          <w:trHeight w:val="356"/>
          <w:tblCellSpacing w:w="22" w:type="dxa"/>
          <w:jc w:val="center"/>
        </w:trPr>
        <w:tc>
          <w:tcPr>
            <w:tcW w:w="2184" w:type="pct"/>
          </w:tcPr>
          <w:p w:rsidR="005D0FFC" w:rsidRPr="00826735" w:rsidRDefault="005D0FFC" w:rsidP="005D0FFC">
            <w:pPr>
              <w:widowControl w:val="0"/>
              <w:spacing w:before="21" w:after="21" w:line="240" w:lineRule="auto"/>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Суб’єкти господарювання*</w:t>
            </w:r>
          </w:p>
        </w:tc>
        <w:tc>
          <w:tcPr>
            <w:tcW w:w="1435" w:type="pct"/>
            <w:vAlign w:val="center"/>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w:t>
            </w:r>
          </w:p>
        </w:tc>
        <w:tc>
          <w:tcPr>
            <w:tcW w:w="1288" w:type="pct"/>
          </w:tcPr>
          <w:p w:rsidR="005D0FFC" w:rsidRPr="0082673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r>
    </w:tbl>
    <w:p w:rsidR="005D0FFC" w:rsidRPr="00826735" w:rsidRDefault="005D0FFC" w:rsidP="005D0FFC">
      <w:pPr>
        <w:widowControl w:val="0"/>
        <w:spacing w:after="0" w:line="240" w:lineRule="auto"/>
        <w:ind w:firstLine="567"/>
        <w:jc w:val="both"/>
        <w:rPr>
          <w:rFonts w:ascii="Times New Roman" w:eastAsia="Times New Roman" w:hAnsi="Times New Roman" w:cs="Times New Roman"/>
          <w:sz w:val="20"/>
          <w:szCs w:val="20"/>
          <w:lang w:eastAsia="ru-RU"/>
        </w:rPr>
      </w:pPr>
    </w:p>
    <w:p w:rsidR="005D0FFC" w:rsidRPr="00826735" w:rsidRDefault="005D0FFC" w:rsidP="005D0FFC">
      <w:pPr>
        <w:widowControl w:val="0"/>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Врегулювання зазначеного питання не може бути здійснено за допомогою:</w:t>
      </w:r>
    </w:p>
    <w:p w:rsidR="005D0FFC" w:rsidRPr="00826735" w:rsidRDefault="005D0FFC" w:rsidP="005D0FFC">
      <w:pPr>
        <w:widowControl w:val="0"/>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ринкових механізмів, оскільки такі питання регулюються винятково нормативно-правовими актами;</w:t>
      </w:r>
    </w:p>
    <w:p w:rsidR="00B72378" w:rsidRPr="00826735" w:rsidRDefault="00B72378" w:rsidP="00B72378">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чинних регуляторних актів, оскільки наказ № 646 не відповідає акту вищої юридичної сили, а саме Кодексу.</w:t>
      </w:r>
    </w:p>
    <w:p w:rsidR="00DF5CF0" w:rsidRPr="00826735" w:rsidRDefault="00DF5CF0" w:rsidP="005D0FFC">
      <w:pPr>
        <w:widowControl w:val="0"/>
        <w:spacing w:after="0" w:line="240" w:lineRule="auto"/>
        <w:ind w:firstLine="567"/>
        <w:jc w:val="both"/>
        <w:rPr>
          <w:rFonts w:ascii="Times New Roman" w:eastAsia="Times New Roman" w:hAnsi="Times New Roman" w:cs="Times New Roman"/>
          <w:sz w:val="28"/>
          <w:szCs w:val="28"/>
          <w:lang w:eastAsia="ru-RU"/>
        </w:rPr>
      </w:pPr>
    </w:p>
    <w:p w:rsidR="005D0FFC" w:rsidRPr="0082673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lang w:eastAsia="ru-RU"/>
        </w:rPr>
      </w:pPr>
      <w:r w:rsidRPr="00826735">
        <w:rPr>
          <w:rFonts w:ascii="Times New Roman" w:eastAsia="Calibri" w:hAnsi="Times New Roman" w:cs="Times New Roman"/>
          <w:b/>
          <w:sz w:val="28"/>
          <w:szCs w:val="28"/>
          <w:lang w:eastAsia="ru-RU"/>
        </w:rPr>
        <w:t>ІІ. Цілі державного регулювання</w:t>
      </w:r>
    </w:p>
    <w:p w:rsidR="00572B26" w:rsidRPr="00826735" w:rsidRDefault="00572B26" w:rsidP="000737CD">
      <w:pPr>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 xml:space="preserve">Ціллю державного регулювання, яка безпосередньо пов’язана з розв’язанням проблеми, є </w:t>
      </w:r>
      <w:r w:rsidR="009C7276" w:rsidRPr="00826735">
        <w:rPr>
          <w:rFonts w:ascii="Times New Roman" w:eastAsia="Times New Roman" w:hAnsi="Times New Roman" w:cs="Times New Roman"/>
          <w:color w:val="000000"/>
          <w:sz w:val="28"/>
          <w:szCs w:val="28"/>
          <w:lang w:eastAsia="uk-UA"/>
        </w:rPr>
        <w:t xml:space="preserve">забезпечення реалізації </w:t>
      </w:r>
      <w:r w:rsidR="00FA0942" w:rsidRPr="00826735">
        <w:rPr>
          <w:rFonts w:ascii="Times New Roman" w:eastAsia="Times New Roman" w:hAnsi="Times New Roman" w:cs="Times New Roman"/>
          <w:sz w:val="28"/>
          <w:szCs w:val="28"/>
          <w:lang w:eastAsia="uk-UA"/>
        </w:rPr>
        <w:t>чіткого п</w:t>
      </w:r>
      <w:r w:rsidR="00FA0942" w:rsidRPr="00826735">
        <w:rPr>
          <w:rFonts w:ascii="Times New Roman" w:eastAsia="Times New Roman" w:hAnsi="Times New Roman" w:cs="Times New Roman"/>
          <w:bCs/>
          <w:sz w:val="28"/>
          <w:szCs w:val="28"/>
          <w:lang w:eastAsia="ru-RU"/>
        </w:rPr>
        <w:t xml:space="preserve">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w:t>
      </w:r>
      <w:r w:rsidRPr="00826735">
        <w:rPr>
          <w:rFonts w:ascii="Times New Roman" w:hAnsi="Times New Roman" w:cs="Times New Roman"/>
          <w:sz w:val="28"/>
          <w:szCs w:val="28"/>
        </w:rPr>
        <w:t xml:space="preserve">у відповідність до положень </w:t>
      </w:r>
      <w:proofErr w:type="spellStart"/>
      <w:r w:rsidRPr="00826735">
        <w:rPr>
          <w:rFonts w:ascii="Times New Roman" w:hAnsi="Times New Roman" w:cs="Times New Roman"/>
          <w:sz w:val="28"/>
          <w:szCs w:val="28"/>
        </w:rPr>
        <w:t>акта</w:t>
      </w:r>
      <w:proofErr w:type="spellEnd"/>
      <w:r w:rsidRPr="00826735">
        <w:rPr>
          <w:rFonts w:ascii="Times New Roman" w:hAnsi="Times New Roman" w:cs="Times New Roman"/>
          <w:sz w:val="28"/>
          <w:szCs w:val="28"/>
        </w:rPr>
        <w:t xml:space="preserve"> вищої юридичної сили (Кодексу).</w:t>
      </w:r>
    </w:p>
    <w:p w:rsidR="005D0FFC" w:rsidRPr="0082673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rPr>
      </w:pPr>
      <w:r w:rsidRPr="00826735">
        <w:rPr>
          <w:rFonts w:ascii="Times New Roman" w:eastAsia="Calibri" w:hAnsi="Times New Roman" w:cs="Times New Roman"/>
          <w:b/>
          <w:sz w:val="28"/>
          <w:szCs w:val="28"/>
        </w:rPr>
        <w:lastRenderedPageBreak/>
        <w:t>ІІІ. Визначення та оцінка альтернативних способів досягнення цілей</w:t>
      </w:r>
    </w:p>
    <w:p w:rsidR="005D0FFC" w:rsidRPr="00826735" w:rsidRDefault="005D0FFC" w:rsidP="00DF5CF0">
      <w:pPr>
        <w:widowControl w:val="0"/>
        <w:spacing w:after="6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1. Альтернативні способи досягнення цілей державного регулювання:</w:t>
      </w:r>
    </w:p>
    <w:tbl>
      <w:tblPr>
        <w:tblW w:w="493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59"/>
        <w:gridCol w:w="7293"/>
      </w:tblGrid>
      <w:tr w:rsidR="005D0FFC" w:rsidRPr="00826735" w:rsidTr="00DF5CF0">
        <w:trPr>
          <w:trHeight w:val="265"/>
          <w:tblCellSpacing w:w="22" w:type="dxa"/>
        </w:trPr>
        <w:tc>
          <w:tcPr>
            <w:tcW w:w="1066" w:type="pct"/>
            <w:vAlign w:val="center"/>
          </w:tcPr>
          <w:p w:rsidR="005D0FFC" w:rsidRPr="00826735" w:rsidRDefault="005D0FFC" w:rsidP="0081480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Вид альтернативи</w:t>
            </w:r>
          </w:p>
        </w:tc>
        <w:tc>
          <w:tcPr>
            <w:tcW w:w="3864" w:type="pct"/>
            <w:vAlign w:val="center"/>
          </w:tcPr>
          <w:p w:rsidR="005D0FFC" w:rsidRPr="00826735" w:rsidRDefault="005D0FFC" w:rsidP="0081480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Опис альтернативи</w:t>
            </w:r>
          </w:p>
        </w:tc>
      </w:tr>
      <w:tr w:rsidR="005D0FFC" w:rsidRPr="00826735" w:rsidTr="00DF5CF0">
        <w:trPr>
          <w:tblCellSpacing w:w="22" w:type="dxa"/>
        </w:trPr>
        <w:tc>
          <w:tcPr>
            <w:tcW w:w="1066" w:type="pct"/>
          </w:tcPr>
          <w:p w:rsidR="005D0FFC" w:rsidRPr="00826735" w:rsidRDefault="005D0FFC" w:rsidP="00DF5CF0">
            <w:pPr>
              <w:widowControl w:val="0"/>
              <w:spacing w:before="63" w:after="63"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Альтернатива 1</w:t>
            </w:r>
          </w:p>
        </w:tc>
        <w:tc>
          <w:tcPr>
            <w:tcW w:w="3864" w:type="pct"/>
          </w:tcPr>
          <w:p w:rsidR="005D0FFC" w:rsidRPr="00826735" w:rsidRDefault="005C4035" w:rsidP="007767F7">
            <w:pPr>
              <w:spacing w:before="63" w:after="63" w:line="240" w:lineRule="auto"/>
              <w:jc w:val="both"/>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 xml:space="preserve">Залишення існуючої ситуації без змін, а саме незабезпечення реалізації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w:t>
            </w:r>
            <w:r w:rsidR="007767F7">
              <w:rPr>
                <w:rFonts w:ascii="Times New Roman" w:eastAsia="Times New Roman" w:hAnsi="Times New Roman" w:cs="Times New Roman"/>
                <w:sz w:val="24"/>
                <w:szCs w:val="24"/>
                <w:lang w:eastAsia="ru-RU"/>
              </w:rPr>
              <w:t>відповідно</w:t>
            </w:r>
            <w:r w:rsidRPr="00826735">
              <w:rPr>
                <w:rFonts w:ascii="Times New Roman" w:eastAsia="Times New Roman" w:hAnsi="Times New Roman" w:cs="Times New Roman"/>
                <w:sz w:val="24"/>
                <w:szCs w:val="24"/>
                <w:lang w:eastAsia="ru-RU"/>
              </w:rPr>
              <w:t xml:space="preserve"> до положень </w:t>
            </w:r>
            <w:proofErr w:type="spellStart"/>
            <w:r w:rsidRPr="00826735">
              <w:rPr>
                <w:rFonts w:ascii="Times New Roman" w:eastAsia="Times New Roman" w:hAnsi="Times New Roman" w:cs="Times New Roman"/>
                <w:sz w:val="24"/>
                <w:szCs w:val="24"/>
                <w:lang w:eastAsia="ru-RU"/>
              </w:rPr>
              <w:t>акта</w:t>
            </w:r>
            <w:proofErr w:type="spellEnd"/>
            <w:r w:rsidRPr="00826735">
              <w:rPr>
                <w:rFonts w:ascii="Times New Roman" w:eastAsia="Times New Roman" w:hAnsi="Times New Roman" w:cs="Times New Roman"/>
                <w:sz w:val="24"/>
                <w:szCs w:val="24"/>
                <w:lang w:eastAsia="ru-RU"/>
              </w:rPr>
              <w:t xml:space="preserve"> вищої юридичної сили (Кодексу). Не забезпечується досягнення цілей державного регулювання</w:t>
            </w:r>
          </w:p>
        </w:tc>
      </w:tr>
      <w:tr w:rsidR="005D0FFC" w:rsidRPr="00826735" w:rsidTr="00DF5CF0">
        <w:trPr>
          <w:tblCellSpacing w:w="22" w:type="dxa"/>
        </w:trPr>
        <w:tc>
          <w:tcPr>
            <w:tcW w:w="1066" w:type="pct"/>
          </w:tcPr>
          <w:p w:rsidR="005D0FFC" w:rsidRPr="00826735" w:rsidRDefault="005D0FFC" w:rsidP="005D0FFC">
            <w:pPr>
              <w:widowControl w:val="0"/>
              <w:spacing w:before="63" w:after="63"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Альтернатива 2</w:t>
            </w:r>
          </w:p>
        </w:tc>
        <w:tc>
          <w:tcPr>
            <w:tcW w:w="3864" w:type="pct"/>
          </w:tcPr>
          <w:p w:rsidR="005D0FFC" w:rsidRPr="00826735" w:rsidRDefault="005C4035" w:rsidP="00640E90">
            <w:pPr>
              <w:spacing w:after="0" w:line="240" w:lineRule="auto"/>
              <w:jc w:val="both"/>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 xml:space="preserve">Прийняття </w:t>
            </w:r>
            <w:proofErr w:type="spellStart"/>
            <w:r w:rsidRPr="00826735">
              <w:rPr>
                <w:rFonts w:ascii="Times New Roman" w:eastAsia="Times New Roman" w:hAnsi="Times New Roman" w:cs="Times New Roman"/>
                <w:sz w:val="24"/>
                <w:szCs w:val="24"/>
                <w:lang w:eastAsia="ru-RU"/>
              </w:rPr>
              <w:t>проєкту</w:t>
            </w:r>
            <w:proofErr w:type="spellEnd"/>
            <w:r w:rsidRPr="00826735">
              <w:rPr>
                <w:rFonts w:ascii="Times New Roman" w:eastAsia="Times New Roman" w:hAnsi="Times New Roman" w:cs="Times New Roman"/>
                <w:sz w:val="24"/>
                <w:szCs w:val="24"/>
                <w:lang w:eastAsia="ru-RU"/>
              </w:rPr>
              <w:t xml:space="preserve"> </w:t>
            </w:r>
            <w:proofErr w:type="spellStart"/>
            <w:r w:rsidRPr="00826735">
              <w:rPr>
                <w:rFonts w:ascii="Times New Roman" w:eastAsia="Times New Roman" w:hAnsi="Times New Roman" w:cs="Times New Roman"/>
                <w:sz w:val="24"/>
                <w:szCs w:val="24"/>
                <w:lang w:eastAsia="ru-RU"/>
              </w:rPr>
              <w:t>акта</w:t>
            </w:r>
            <w:proofErr w:type="spellEnd"/>
            <w:r w:rsidR="007767F7">
              <w:rPr>
                <w:rFonts w:ascii="Times New Roman" w:eastAsia="Times New Roman" w:hAnsi="Times New Roman" w:cs="Times New Roman"/>
                <w:sz w:val="24"/>
                <w:szCs w:val="24"/>
                <w:lang w:eastAsia="ru-RU"/>
              </w:rPr>
              <w:t xml:space="preserve"> Мінфіну</w:t>
            </w:r>
            <w:r w:rsidRPr="00826735">
              <w:rPr>
                <w:rFonts w:ascii="Times New Roman" w:eastAsia="Times New Roman" w:hAnsi="Times New Roman" w:cs="Times New Roman"/>
                <w:bCs/>
                <w:sz w:val="28"/>
                <w:szCs w:val="28"/>
                <w:lang w:eastAsia="ru-RU"/>
              </w:rPr>
              <w:t xml:space="preserve"> </w:t>
            </w:r>
            <w:r w:rsidRPr="00826735">
              <w:rPr>
                <w:rFonts w:ascii="Times New Roman" w:eastAsia="Times New Roman" w:hAnsi="Times New Roman" w:cs="Times New Roman"/>
                <w:sz w:val="24"/>
                <w:szCs w:val="24"/>
                <w:lang w:eastAsia="ru-RU"/>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0010270D" w:rsidRPr="00826735">
              <w:rPr>
                <w:rFonts w:ascii="Times New Roman" w:eastAsia="Times New Roman" w:hAnsi="Times New Roman" w:cs="Times New Roman"/>
                <w:sz w:val="24"/>
                <w:szCs w:val="24"/>
                <w:lang w:eastAsia="ru-RU"/>
              </w:rPr>
              <w:t xml:space="preserve"> забезпечить встановлення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 </w:t>
            </w:r>
            <w:r w:rsidRPr="00826735">
              <w:rPr>
                <w:rFonts w:ascii="Times New Roman" w:eastAsia="Times New Roman" w:hAnsi="Times New Roman" w:cs="Times New Roman"/>
                <w:sz w:val="24"/>
                <w:szCs w:val="24"/>
                <w:lang w:eastAsia="ru-RU"/>
              </w:rPr>
              <w:t>Забезпечується досягнення цілей державного регулювання</w:t>
            </w:r>
          </w:p>
        </w:tc>
      </w:tr>
    </w:tbl>
    <w:p w:rsidR="005D0FFC" w:rsidRPr="00826735" w:rsidRDefault="005D0FFC" w:rsidP="005D0FFC">
      <w:pPr>
        <w:widowControl w:val="0"/>
        <w:spacing w:after="0" w:line="240" w:lineRule="auto"/>
        <w:ind w:firstLine="709"/>
        <w:jc w:val="both"/>
        <w:rPr>
          <w:rFonts w:ascii="Times New Roman" w:eastAsia="Times New Roman" w:hAnsi="Times New Roman" w:cs="Times New Roman"/>
          <w:sz w:val="16"/>
          <w:szCs w:val="16"/>
          <w:lang w:eastAsia="ru-RU"/>
        </w:rPr>
      </w:pPr>
    </w:p>
    <w:p w:rsidR="005D0FFC" w:rsidRPr="00826735" w:rsidRDefault="005D0FFC" w:rsidP="003C4291">
      <w:pPr>
        <w:widowControl w:val="0"/>
        <w:spacing w:after="12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2. Оцінка впливу на сферу інтересів держави</w:t>
      </w:r>
    </w:p>
    <w:tbl>
      <w:tblPr>
        <w:tblW w:w="493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948"/>
        <w:gridCol w:w="3493"/>
        <w:gridCol w:w="3911"/>
      </w:tblGrid>
      <w:tr w:rsidR="005D0FFC" w:rsidRPr="00826735" w:rsidTr="00DF5CF0">
        <w:trPr>
          <w:trHeight w:val="205"/>
          <w:tblHeader/>
          <w:tblCellSpacing w:w="22" w:type="dxa"/>
        </w:trPr>
        <w:tc>
          <w:tcPr>
            <w:tcW w:w="1007" w:type="pct"/>
            <w:vAlign w:val="center"/>
          </w:tcPr>
          <w:p w:rsidR="005D0FFC" w:rsidRPr="00826735" w:rsidRDefault="005D0FFC" w:rsidP="005D0FFC">
            <w:pPr>
              <w:widowControl w:val="0"/>
              <w:spacing w:before="31" w:after="31" w:line="240" w:lineRule="auto"/>
              <w:ind w:left="-30"/>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Вид альтернативи</w:t>
            </w:r>
          </w:p>
        </w:tc>
        <w:tc>
          <w:tcPr>
            <w:tcW w:w="1845" w:type="pct"/>
            <w:vAlign w:val="center"/>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Вигоди</w:t>
            </w:r>
          </w:p>
        </w:tc>
        <w:tc>
          <w:tcPr>
            <w:tcW w:w="2056" w:type="pct"/>
            <w:vAlign w:val="center"/>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Витрати</w:t>
            </w:r>
          </w:p>
        </w:tc>
      </w:tr>
      <w:tr w:rsidR="005D0FFC" w:rsidRPr="00826735" w:rsidTr="00DF5CF0">
        <w:trPr>
          <w:tblCellSpacing w:w="22" w:type="dxa"/>
        </w:trPr>
        <w:tc>
          <w:tcPr>
            <w:tcW w:w="1007" w:type="pct"/>
          </w:tcPr>
          <w:p w:rsidR="005D0FFC" w:rsidRPr="00826735" w:rsidRDefault="005D0FFC" w:rsidP="005D0FFC">
            <w:pPr>
              <w:widowControl w:val="0"/>
              <w:spacing w:before="21" w:after="0"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Альтернатива 1</w:t>
            </w:r>
          </w:p>
        </w:tc>
        <w:tc>
          <w:tcPr>
            <w:tcW w:w="1845" w:type="pct"/>
          </w:tcPr>
          <w:p w:rsidR="005D0FFC" w:rsidRPr="00826735" w:rsidRDefault="005715E2" w:rsidP="00D06BDD">
            <w:pPr>
              <w:tabs>
                <w:tab w:val="left" w:pos="191"/>
              </w:tabs>
              <w:spacing w:after="10" w:line="240" w:lineRule="auto"/>
              <w:contextualSpacing/>
              <w:jc w:val="both"/>
              <w:rPr>
                <w:rFonts w:ascii="Times New Roman" w:eastAsia="Calibri" w:hAnsi="Times New Roman" w:cs="Times New Roman"/>
                <w:bCs/>
                <w:sz w:val="24"/>
                <w:szCs w:val="24"/>
              </w:rPr>
            </w:pPr>
            <w:r w:rsidRPr="00826735">
              <w:rPr>
                <w:rFonts w:ascii="Times New Roman" w:hAnsi="Times New Roman" w:cs="Times New Roman"/>
                <w:sz w:val="24"/>
                <w:szCs w:val="24"/>
              </w:rPr>
              <w:t xml:space="preserve">Вигода полягає у відсутності необхідності витрат (часових та фінансових) на підготовку та прийняття регуляторного </w:t>
            </w:r>
            <w:proofErr w:type="spellStart"/>
            <w:r w:rsidRPr="00826735">
              <w:rPr>
                <w:rFonts w:ascii="Times New Roman" w:hAnsi="Times New Roman" w:cs="Times New Roman"/>
                <w:sz w:val="24"/>
                <w:szCs w:val="24"/>
              </w:rPr>
              <w:t>акт</w:t>
            </w:r>
            <w:r w:rsidR="003C66BB">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Водночас, оскільки заходи з підготовки та прийняття регуляторного </w:t>
            </w:r>
            <w:proofErr w:type="spellStart"/>
            <w:r w:rsidRPr="00826735">
              <w:rPr>
                <w:rFonts w:ascii="Times New Roman" w:hAnsi="Times New Roman" w:cs="Times New Roman"/>
                <w:sz w:val="24"/>
                <w:szCs w:val="24"/>
              </w:rPr>
              <w:t>акт</w:t>
            </w:r>
            <w:r w:rsidR="003C66BB">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здійснюються в межах звичайної операційної діяльності органів державної влади, обсяг заощаджених коштів у </w:t>
            </w:r>
            <w:r w:rsidR="003C66BB">
              <w:rPr>
                <w:rFonts w:ascii="Times New Roman" w:hAnsi="Times New Roman" w:cs="Times New Roman"/>
                <w:sz w:val="24"/>
                <w:szCs w:val="24"/>
              </w:rPr>
              <w:t>разі</w:t>
            </w:r>
            <w:r w:rsidRPr="00826735">
              <w:rPr>
                <w:rFonts w:ascii="Times New Roman" w:hAnsi="Times New Roman" w:cs="Times New Roman"/>
                <w:sz w:val="24"/>
                <w:szCs w:val="24"/>
              </w:rPr>
              <w:t xml:space="preserve"> </w:t>
            </w:r>
            <w:proofErr w:type="spellStart"/>
            <w:r w:rsidRPr="00826735">
              <w:rPr>
                <w:rFonts w:ascii="Times New Roman" w:hAnsi="Times New Roman" w:cs="Times New Roman"/>
                <w:sz w:val="24"/>
                <w:szCs w:val="24"/>
              </w:rPr>
              <w:t>неініціювання</w:t>
            </w:r>
            <w:proofErr w:type="spellEnd"/>
            <w:r w:rsidRPr="00826735">
              <w:rPr>
                <w:rFonts w:ascii="Times New Roman" w:hAnsi="Times New Roman" w:cs="Times New Roman"/>
                <w:sz w:val="24"/>
                <w:szCs w:val="24"/>
              </w:rPr>
              <w:t xml:space="preserve"> розробки регуляторного </w:t>
            </w:r>
            <w:proofErr w:type="spellStart"/>
            <w:r w:rsidRPr="00826735">
              <w:rPr>
                <w:rFonts w:ascii="Times New Roman" w:hAnsi="Times New Roman" w:cs="Times New Roman"/>
                <w:sz w:val="24"/>
                <w:szCs w:val="24"/>
              </w:rPr>
              <w:t>акт</w:t>
            </w:r>
            <w:r w:rsidR="003C66BB">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w:t>
            </w:r>
            <w:r w:rsidR="003C66BB">
              <w:rPr>
                <w:rFonts w:ascii="Times New Roman" w:hAnsi="Times New Roman" w:cs="Times New Roman"/>
                <w:sz w:val="24"/>
                <w:szCs w:val="24"/>
              </w:rPr>
              <w:t xml:space="preserve">не може бути </w:t>
            </w:r>
            <w:r w:rsidRPr="00826735">
              <w:rPr>
                <w:rFonts w:ascii="Times New Roman" w:hAnsi="Times New Roman" w:cs="Times New Roman"/>
                <w:sz w:val="24"/>
                <w:szCs w:val="24"/>
              </w:rPr>
              <w:t>оцінений</w:t>
            </w:r>
          </w:p>
        </w:tc>
        <w:tc>
          <w:tcPr>
            <w:tcW w:w="2056" w:type="pct"/>
          </w:tcPr>
          <w:p w:rsidR="005D0FFC" w:rsidRPr="00826735" w:rsidRDefault="005715E2" w:rsidP="00C27D2C">
            <w:pPr>
              <w:spacing w:after="63" w:line="240" w:lineRule="auto"/>
              <w:jc w:val="both"/>
              <w:rPr>
                <w:rFonts w:ascii="Times New Roman" w:eastAsia="Calibri" w:hAnsi="Times New Roman" w:cs="Times New Roman"/>
                <w:sz w:val="24"/>
                <w:szCs w:val="24"/>
              </w:rPr>
            </w:pPr>
            <w:r w:rsidRPr="00826735">
              <w:rPr>
                <w:rFonts w:ascii="Times New Roman" w:hAnsi="Times New Roman" w:cs="Times New Roman"/>
                <w:sz w:val="24"/>
                <w:szCs w:val="24"/>
              </w:rPr>
              <w:t xml:space="preserve">Діючі положення нормативно-правового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ґрунтуються на положеннях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вищої юридичної сили, які</w:t>
            </w:r>
            <w:r w:rsidR="004F0906" w:rsidRPr="00826735">
              <w:rPr>
                <w:rFonts w:ascii="Times New Roman" w:hAnsi="Times New Roman" w:cs="Times New Roman"/>
                <w:sz w:val="24"/>
                <w:szCs w:val="24"/>
              </w:rPr>
              <w:t xml:space="preserve"> з набранням сили Закону № 3926</w:t>
            </w:r>
            <w:r w:rsidR="003C66BB">
              <w:rPr>
                <w:rFonts w:ascii="Times New Roman" w:hAnsi="Times New Roman" w:cs="Times New Roman"/>
                <w:sz w:val="24"/>
                <w:szCs w:val="24"/>
              </w:rPr>
              <w:t xml:space="preserve"> є</w:t>
            </w:r>
            <w:r w:rsidRPr="00826735">
              <w:rPr>
                <w:rFonts w:ascii="Times New Roman" w:hAnsi="Times New Roman" w:cs="Times New Roman"/>
                <w:sz w:val="24"/>
                <w:szCs w:val="24"/>
              </w:rPr>
              <w:t xml:space="preserve"> неактуальн</w:t>
            </w:r>
            <w:r w:rsidR="003C66BB">
              <w:rPr>
                <w:rFonts w:ascii="Times New Roman" w:hAnsi="Times New Roman" w:cs="Times New Roman"/>
                <w:sz w:val="24"/>
                <w:szCs w:val="24"/>
              </w:rPr>
              <w:t>ими</w:t>
            </w:r>
            <w:r w:rsidRPr="00826735">
              <w:rPr>
                <w:rFonts w:ascii="Times New Roman" w:hAnsi="Times New Roman" w:cs="Times New Roman"/>
                <w:sz w:val="24"/>
                <w:szCs w:val="24"/>
              </w:rPr>
              <w:t xml:space="preserve">. </w:t>
            </w:r>
            <w:r w:rsidR="00C27D2C">
              <w:rPr>
                <w:rFonts w:ascii="Times New Roman" w:hAnsi="Times New Roman" w:cs="Times New Roman"/>
                <w:sz w:val="24"/>
                <w:szCs w:val="24"/>
              </w:rPr>
              <w:t>Отже</w:t>
            </w:r>
            <w:r w:rsidRPr="00826735">
              <w:rPr>
                <w:rFonts w:ascii="Times New Roman" w:hAnsi="Times New Roman" w:cs="Times New Roman"/>
                <w:sz w:val="24"/>
                <w:szCs w:val="24"/>
              </w:rPr>
              <w:t>, залишаючи діюче регулювання без змін, проблема залишається невирішеною. Зазначене матиме наслідком зниження авторитету правової системи</w:t>
            </w:r>
            <w:r w:rsidR="009C3383" w:rsidRPr="00826735">
              <w:rPr>
                <w:rFonts w:ascii="Times New Roman" w:hAnsi="Times New Roman" w:cs="Times New Roman"/>
                <w:sz w:val="24"/>
                <w:szCs w:val="24"/>
              </w:rPr>
              <w:t> </w:t>
            </w:r>
            <w:r w:rsidRPr="00826735">
              <w:rPr>
                <w:rFonts w:ascii="Times New Roman" w:hAnsi="Times New Roman" w:cs="Times New Roman"/>
                <w:sz w:val="24"/>
                <w:szCs w:val="24"/>
              </w:rPr>
              <w:t>–</w:t>
            </w:r>
            <w:r w:rsidR="009C3383" w:rsidRPr="00826735">
              <w:rPr>
                <w:rFonts w:ascii="Times New Roman" w:hAnsi="Times New Roman" w:cs="Times New Roman"/>
                <w:sz w:val="24"/>
                <w:szCs w:val="24"/>
              </w:rPr>
              <w:t> </w:t>
            </w:r>
            <w:r w:rsidRPr="00826735">
              <w:rPr>
                <w:rFonts w:ascii="Times New Roman" w:hAnsi="Times New Roman" w:cs="Times New Roman"/>
                <w:sz w:val="24"/>
                <w:szCs w:val="24"/>
              </w:rPr>
              <w:t>громадяни та бізнес втрачають довіру до законодавства та державних інституцій</w:t>
            </w:r>
          </w:p>
        </w:tc>
      </w:tr>
      <w:tr w:rsidR="005D0FFC" w:rsidRPr="00826735" w:rsidTr="00DF5CF0">
        <w:trPr>
          <w:tblCellSpacing w:w="22" w:type="dxa"/>
        </w:trPr>
        <w:tc>
          <w:tcPr>
            <w:tcW w:w="1007" w:type="pct"/>
          </w:tcPr>
          <w:p w:rsidR="005D0FFC" w:rsidRPr="0082673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826735">
              <w:rPr>
                <w:rFonts w:ascii="Times New Roman" w:eastAsia="Times New Roman" w:hAnsi="Times New Roman" w:cs="Times New Roman"/>
                <w:sz w:val="24"/>
                <w:szCs w:val="24"/>
                <w:lang w:eastAsia="ru-RU"/>
              </w:rPr>
              <w:t>Альтернатива 2</w:t>
            </w:r>
          </w:p>
        </w:tc>
        <w:tc>
          <w:tcPr>
            <w:tcW w:w="1845" w:type="pct"/>
          </w:tcPr>
          <w:p w:rsidR="005D0FFC" w:rsidRPr="00826735" w:rsidRDefault="004F0906" w:rsidP="00C27D2C">
            <w:pPr>
              <w:widowControl w:val="0"/>
              <w:spacing w:before="21" w:after="21" w:line="240" w:lineRule="auto"/>
              <w:jc w:val="both"/>
              <w:rPr>
                <w:rFonts w:ascii="Times New Roman" w:eastAsia="Calibri" w:hAnsi="Times New Roman" w:cs="Times New Roman"/>
                <w:sz w:val="24"/>
                <w:szCs w:val="24"/>
              </w:rPr>
            </w:pPr>
            <w:r w:rsidRPr="00826735">
              <w:rPr>
                <w:rFonts w:ascii="Times New Roman" w:hAnsi="Times New Roman" w:cs="Times New Roman"/>
                <w:sz w:val="24"/>
                <w:szCs w:val="24"/>
              </w:rPr>
              <w:t xml:space="preserve">Прийняття регуляторного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w:t>
            </w:r>
            <w:proofErr w:type="spellStart"/>
            <w:r w:rsidRPr="00826735">
              <w:rPr>
                <w:rFonts w:ascii="Times New Roman" w:hAnsi="Times New Roman" w:cs="Times New Roman"/>
                <w:sz w:val="24"/>
                <w:szCs w:val="24"/>
              </w:rPr>
              <w:t>надасть</w:t>
            </w:r>
            <w:proofErr w:type="spellEnd"/>
            <w:r w:rsidRPr="00826735">
              <w:rPr>
                <w:rFonts w:ascii="Times New Roman" w:hAnsi="Times New Roman" w:cs="Times New Roman"/>
                <w:sz w:val="24"/>
                <w:szCs w:val="24"/>
              </w:rPr>
              <w:t xml:space="preserve"> можливість усунути невідповідності між положеннями чинного нормативно-правового </w:t>
            </w:r>
            <w:proofErr w:type="spellStart"/>
            <w:r w:rsidRPr="00826735">
              <w:rPr>
                <w:rFonts w:ascii="Times New Roman" w:hAnsi="Times New Roman" w:cs="Times New Roman"/>
                <w:sz w:val="24"/>
                <w:szCs w:val="24"/>
              </w:rPr>
              <w:t>акт</w:t>
            </w:r>
            <w:r w:rsidR="00C27D2C">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та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вищої юридичної сили, що </w:t>
            </w:r>
            <w:r w:rsidRPr="00826735">
              <w:rPr>
                <w:rFonts w:ascii="Times New Roman" w:hAnsi="Times New Roman" w:cs="Times New Roman"/>
                <w:sz w:val="24"/>
                <w:szCs w:val="24"/>
              </w:rPr>
              <w:lastRenderedPageBreak/>
              <w:t>сприятиме підвищенню авторитету державних інституцій, відсутності суперечностей</w:t>
            </w:r>
            <w:r w:rsidR="00BC27C6" w:rsidRPr="00826735">
              <w:rPr>
                <w:rFonts w:ascii="Times New Roman" w:hAnsi="Times New Roman" w:cs="Times New Roman"/>
                <w:sz w:val="24"/>
                <w:szCs w:val="24"/>
              </w:rPr>
              <w:t> </w:t>
            </w:r>
            <w:r w:rsidRPr="00826735">
              <w:rPr>
                <w:rFonts w:ascii="Times New Roman" w:hAnsi="Times New Roman" w:cs="Times New Roman"/>
                <w:sz w:val="24"/>
                <w:szCs w:val="24"/>
              </w:rPr>
              <w:t>у</w:t>
            </w:r>
            <w:r w:rsidR="00BC27C6" w:rsidRPr="00826735">
              <w:rPr>
                <w:rFonts w:ascii="Times New Roman" w:hAnsi="Times New Roman" w:cs="Times New Roman"/>
                <w:sz w:val="24"/>
                <w:szCs w:val="24"/>
              </w:rPr>
              <w:t xml:space="preserve"> </w:t>
            </w:r>
            <w:r w:rsidRPr="00826735">
              <w:rPr>
                <w:rFonts w:ascii="Times New Roman" w:hAnsi="Times New Roman" w:cs="Times New Roman"/>
                <w:sz w:val="24"/>
                <w:szCs w:val="24"/>
              </w:rPr>
              <w:t>правозастосуванні</w:t>
            </w:r>
          </w:p>
        </w:tc>
        <w:tc>
          <w:tcPr>
            <w:tcW w:w="2056" w:type="pct"/>
          </w:tcPr>
          <w:p w:rsidR="005D0FFC" w:rsidRPr="00826735" w:rsidRDefault="004F0906" w:rsidP="00C27D2C">
            <w:pPr>
              <w:spacing w:after="0" w:line="240" w:lineRule="auto"/>
              <w:jc w:val="both"/>
              <w:outlineLvl w:val="2"/>
              <w:rPr>
                <w:rFonts w:ascii="Times New Roman" w:eastAsia="Calibri" w:hAnsi="Times New Roman" w:cs="Times New Roman"/>
                <w:bCs/>
                <w:sz w:val="24"/>
                <w:szCs w:val="24"/>
              </w:rPr>
            </w:pPr>
            <w:r w:rsidRPr="00826735">
              <w:rPr>
                <w:rFonts w:ascii="Times New Roman" w:hAnsi="Times New Roman" w:cs="Times New Roman"/>
                <w:sz w:val="24"/>
                <w:szCs w:val="24"/>
              </w:rPr>
              <w:lastRenderedPageBreak/>
              <w:t xml:space="preserve">Витрати на підготовку та прийняття регуляторного </w:t>
            </w:r>
            <w:proofErr w:type="spellStart"/>
            <w:r w:rsidRPr="00826735">
              <w:rPr>
                <w:rFonts w:ascii="Times New Roman" w:hAnsi="Times New Roman" w:cs="Times New Roman"/>
                <w:sz w:val="24"/>
                <w:szCs w:val="24"/>
              </w:rPr>
              <w:t>акт</w:t>
            </w:r>
            <w:r w:rsidR="00C27D2C">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Водночас, оскільки заходи з підготовки та прийняття регуляторного </w:t>
            </w:r>
            <w:proofErr w:type="spellStart"/>
            <w:r w:rsidRPr="00826735">
              <w:rPr>
                <w:rFonts w:ascii="Times New Roman" w:hAnsi="Times New Roman" w:cs="Times New Roman"/>
                <w:sz w:val="24"/>
                <w:szCs w:val="24"/>
              </w:rPr>
              <w:t>акт</w:t>
            </w:r>
            <w:r w:rsidR="00C27D2C">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будуть здійснюватися в межах звичайної операційної діяльності </w:t>
            </w:r>
            <w:r w:rsidRPr="00826735">
              <w:rPr>
                <w:rFonts w:ascii="Times New Roman" w:hAnsi="Times New Roman" w:cs="Times New Roman"/>
                <w:sz w:val="24"/>
                <w:szCs w:val="24"/>
              </w:rPr>
              <w:lastRenderedPageBreak/>
              <w:t>органів державної влади, відсутня потреба окремого фінансування або додаткових витрат</w:t>
            </w:r>
          </w:p>
        </w:tc>
      </w:tr>
    </w:tbl>
    <w:p w:rsidR="00211F33" w:rsidRPr="00826735" w:rsidRDefault="00211F33" w:rsidP="006C79AB">
      <w:pPr>
        <w:widowControl w:val="0"/>
        <w:spacing w:after="0" w:line="240" w:lineRule="auto"/>
        <w:ind w:firstLine="567"/>
        <w:jc w:val="both"/>
        <w:rPr>
          <w:rFonts w:ascii="Times New Roman" w:eastAsia="Times New Roman" w:hAnsi="Times New Roman" w:cs="Times New Roman"/>
          <w:sz w:val="20"/>
          <w:szCs w:val="20"/>
          <w:lang w:eastAsia="ru-RU"/>
        </w:rPr>
      </w:pPr>
    </w:p>
    <w:p w:rsidR="009F07AF" w:rsidRPr="00826735" w:rsidRDefault="005D0FFC" w:rsidP="006C79AB">
      <w:pPr>
        <w:widowControl w:val="0"/>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 xml:space="preserve">3. </w:t>
      </w:r>
      <w:r w:rsidR="009F07AF" w:rsidRPr="00826735">
        <w:rPr>
          <w:rFonts w:ascii="Times New Roman" w:eastAsia="Times New Roman" w:hAnsi="Times New Roman" w:cs="Times New Roman"/>
          <w:sz w:val="28"/>
          <w:szCs w:val="28"/>
          <w:lang w:eastAsia="ru-RU"/>
        </w:rPr>
        <w:t>Оцінка</w:t>
      </w:r>
      <w:r w:rsidRPr="00826735">
        <w:rPr>
          <w:rFonts w:ascii="Times New Roman" w:eastAsia="Times New Roman" w:hAnsi="Times New Roman" w:cs="Times New Roman"/>
          <w:sz w:val="28"/>
          <w:szCs w:val="28"/>
          <w:lang w:eastAsia="ru-RU"/>
        </w:rPr>
        <w:t xml:space="preserve"> впливу на сферу інтересів громадян</w:t>
      </w:r>
    </w:p>
    <w:p w:rsidR="009F07AF" w:rsidRPr="00826735" w:rsidRDefault="009F07AF" w:rsidP="009F07AF">
      <w:pPr>
        <w:tabs>
          <w:tab w:val="left" w:pos="359"/>
          <w:tab w:val="left" w:pos="459"/>
        </w:tabs>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4"/>
        </w:rPr>
        <w:t xml:space="preserve">Слід вважати, що </w:t>
      </w:r>
      <w:proofErr w:type="spellStart"/>
      <w:r w:rsidRPr="00826735">
        <w:rPr>
          <w:rFonts w:ascii="Times New Roman" w:hAnsi="Times New Roman" w:cs="Times New Roman"/>
          <w:sz w:val="28"/>
          <w:szCs w:val="24"/>
        </w:rPr>
        <w:t>проєкт</w:t>
      </w:r>
      <w:proofErr w:type="spellEnd"/>
      <w:r w:rsidRPr="00826735">
        <w:rPr>
          <w:rFonts w:ascii="Times New Roman" w:hAnsi="Times New Roman" w:cs="Times New Roman"/>
          <w:sz w:val="28"/>
          <w:szCs w:val="24"/>
        </w:rPr>
        <w:t xml:space="preserve"> </w:t>
      </w:r>
      <w:proofErr w:type="spellStart"/>
      <w:r w:rsidRPr="00826735">
        <w:rPr>
          <w:rFonts w:ascii="Times New Roman" w:hAnsi="Times New Roman" w:cs="Times New Roman"/>
          <w:sz w:val="28"/>
          <w:szCs w:val="24"/>
        </w:rPr>
        <w:t>акта</w:t>
      </w:r>
      <w:proofErr w:type="spellEnd"/>
      <w:r w:rsidRPr="00826735">
        <w:rPr>
          <w:rFonts w:ascii="Times New Roman" w:hAnsi="Times New Roman" w:cs="Times New Roman"/>
          <w:sz w:val="28"/>
          <w:szCs w:val="24"/>
        </w:rPr>
        <w:t xml:space="preserve"> не поширюється на </w:t>
      </w:r>
      <w:r w:rsidRPr="00826735">
        <w:rPr>
          <w:rFonts w:ascii="Times New Roman" w:hAnsi="Times New Roman" w:cs="Times New Roman"/>
          <w:sz w:val="28"/>
          <w:szCs w:val="28"/>
        </w:rPr>
        <w:t xml:space="preserve">сферу інтересів громадян, </w:t>
      </w:r>
      <w:r w:rsidR="00AB671B">
        <w:rPr>
          <w:rFonts w:ascii="Times New Roman" w:hAnsi="Times New Roman" w:cs="Times New Roman"/>
          <w:sz w:val="28"/>
          <w:szCs w:val="28"/>
        </w:rPr>
        <w:t>оскільки</w:t>
      </w:r>
      <w:r w:rsidRPr="00826735">
        <w:rPr>
          <w:rFonts w:ascii="Times New Roman" w:hAnsi="Times New Roman" w:cs="Times New Roman"/>
          <w:sz w:val="28"/>
          <w:szCs w:val="28"/>
        </w:rPr>
        <w:t xml:space="preserve"> громадяни і можуть бути суб’єктами правовідносин з митним органом, </w:t>
      </w:r>
      <w:r w:rsidR="00AB671B">
        <w:rPr>
          <w:rFonts w:ascii="Times New Roman" w:hAnsi="Times New Roman" w:cs="Times New Roman"/>
          <w:sz w:val="28"/>
          <w:szCs w:val="28"/>
        </w:rPr>
        <w:t>але</w:t>
      </w:r>
      <w:r w:rsidRPr="00826735">
        <w:rPr>
          <w:rFonts w:ascii="Times New Roman" w:hAnsi="Times New Roman" w:cs="Times New Roman"/>
          <w:sz w:val="28"/>
          <w:szCs w:val="28"/>
        </w:rPr>
        <w:t xml:space="preserve"> для митних цілей такі громадяни у подальшому ідентифікуються як суб’єкти господарювання, які здійснюють зовнішньоекономічну діяльність. </w:t>
      </w:r>
      <w:r w:rsidR="00AB671B">
        <w:rPr>
          <w:rFonts w:ascii="Times New Roman" w:hAnsi="Times New Roman" w:cs="Times New Roman"/>
          <w:sz w:val="28"/>
          <w:szCs w:val="28"/>
        </w:rPr>
        <w:t>У</w:t>
      </w:r>
      <w:r w:rsidRPr="00826735">
        <w:rPr>
          <w:rFonts w:ascii="Times New Roman" w:hAnsi="Times New Roman" w:cs="Times New Roman"/>
          <w:sz w:val="28"/>
          <w:szCs w:val="28"/>
        </w:rPr>
        <w:t xml:space="preserve"> свою чергу оцінка впливу на сферу інтересів суб’єктів господарювання наведена нижче.</w:t>
      </w:r>
    </w:p>
    <w:p w:rsidR="005D0FFC" w:rsidRPr="00826735" w:rsidRDefault="005D0FFC" w:rsidP="006C79AB">
      <w:pPr>
        <w:widowControl w:val="0"/>
        <w:spacing w:after="0" w:line="240" w:lineRule="auto"/>
        <w:ind w:firstLine="567"/>
        <w:jc w:val="both"/>
        <w:rPr>
          <w:rFonts w:ascii="Times New Roman" w:eastAsia="Times New Roman" w:hAnsi="Times New Roman" w:cs="Times New Roman"/>
          <w:sz w:val="20"/>
          <w:szCs w:val="20"/>
          <w:lang w:eastAsia="ru-RU"/>
        </w:rPr>
      </w:pPr>
    </w:p>
    <w:p w:rsidR="005D0FFC" w:rsidRPr="00826735" w:rsidRDefault="005D0FFC" w:rsidP="006C79AB">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4. Оцінка впливу на сферу інтересів суб’єктів господарювання</w:t>
      </w:r>
    </w:p>
    <w:p w:rsidR="007C74B0" w:rsidRPr="00826735" w:rsidRDefault="00D236DE" w:rsidP="007C74B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 xml:space="preserve">Відповідно </w:t>
      </w:r>
      <w:r w:rsidR="00667BE0" w:rsidRPr="00826735">
        <w:rPr>
          <w:rFonts w:ascii="Times New Roman" w:eastAsia="Times New Roman" w:hAnsi="Times New Roman" w:cs="Times New Roman"/>
          <w:sz w:val="28"/>
          <w:szCs w:val="28"/>
          <w:lang w:eastAsia="ru-RU"/>
        </w:rPr>
        <w:t xml:space="preserve">до статті 4 Кодексу утримувач місця доставки – підприємство, у власності чи користуванні якого перебуває територія місця доставки. </w:t>
      </w:r>
      <w:r w:rsidR="007C74B0" w:rsidRPr="00826735">
        <w:rPr>
          <w:rFonts w:ascii="Times New Roman" w:eastAsia="Times New Roman" w:hAnsi="Times New Roman" w:cs="Times New Roman"/>
          <w:sz w:val="28"/>
          <w:szCs w:val="28"/>
          <w:lang w:eastAsia="ru-RU"/>
        </w:rPr>
        <w:t>При цьому підприємство – будь-яка юридична особа, а також громадянин-підприємець.</w:t>
      </w:r>
    </w:p>
    <w:p w:rsidR="00B76B03" w:rsidRPr="00826735" w:rsidRDefault="007C74B0" w:rsidP="007C74B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У зв’язку із зазначеним п</w:t>
      </w:r>
      <w:r w:rsidR="00B76B03" w:rsidRPr="00826735">
        <w:rPr>
          <w:rFonts w:ascii="Times New Roman" w:eastAsia="Times New Roman" w:hAnsi="Times New Roman" w:cs="Times New Roman"/>
          <w:sz w:val="28"/>
          <w:szCs w:val="28"/>
          <w:lang w:eastAsia="ru-RU"/>
        </w:rPr>
        <w:t xml:space="preserve">рипускаємо, що </w:t>
      </w:r>
      <w:r w:rsidR="00927D2E" w:rsidRPr="00826735">
        <w:rPr>
          <w:rFonts w:ascii="Times New Roman" w:eastAsia="Times New Roman" w:hAnsi="Times New Roman" w:cs="Times New Roman"/>
          <w:sz w:val="28"/>
          <w:szCs w:val="28"/>
          <w:lang w:eastAsia="ru-RU"/>
        </w:rPr>
        <w:t>відкриття</w:t>
      </w:r>
      <w:r w:rsidR="00B32DD0" w:rsidRPr="00826735">
        <w:rPr>
          <w:rFonts w:ascii="Times New Roman" w:eastAsia="Times New Roman" w:hAnsi="Times New Roman" w:cs="Times New Roman"/>
          <w:sz w:val="28"/>
          <w:szCs w:val="28"/>
          <w:lang w:eastAsia="ru-RU"/>
        </w:rPr>
        <w:t xml:space="preserve"> </w:t>
      </w:r>
      <w:r w:rsidR="000745A3" w:rsidRPr="00826735">
        <w:rPr>
          <w:rFonts w:ascii="Times New Roman" w:eastAsia="Times New Roman" w:hAnsi="Times New Roman" w:cs="Times New Roman"/>
          <w:sz w:val="28"/>
          <w:szCs w:val="28"/>
          <w:lang w:eastAsia="ru-RU"/>
        </w:rPr>
        <w:t xml:space="preserve">місця </w:t>
      </w:r>
      <w:r w:rsidR="002A31CE" w:rsidRPr="00826735">
        <w:rPr>
          <w:rFonts w:ascii="Times New Roman" w:eastAsia="Times New Roman" w:hAnsi="Times New Roman" w:cs="Times New Roman"/>
          <w:sz w:val="28"/>
          <w:szCs w:val="28"/>
          <w:lang w:eastAsia="ru-RU"/>
        </w:rPr>
        <w:t>доставки</w:t>
      </w:r>
      <w:r w:rsidR="00B76B03" w:rsidRPr="00826735">
        <w:rPr>
          <w:rFonts w:ascii="Times New Roman" w:eastAsia="Times New Roman" w:hAnsi="Times New Roman" w:cs="Times New Roman"/>
          <w:sz w:val="28"/>
          <w:szCs w:val="28"/>
          <w:lang w:eastAsia="ru-RU"/>
        </w:rPr>
        <w:t xml:space="preserve"> </w:t>
      </w:r>
      <w:r w:rsidR="000745A3" w:rsidRPr="00826735">
        <w:rPr>
          <w:rFonts w:ascii="Times New Roman" w:eastAsia="Times New Roman" w:hAnsi="Times New Roman" w:cs="Times New Roman"/>
          <w:sz w:val="28"/>
          <w:szCs w:val="28"/>
          <w:lang w:eastAsia="ru-RU"/>
        </w:rPr>
        <w:t>може бути</w:t>
      </w:r>
      <w:r w:rsidR="00927D2E" w:rsidRPr="00826735">
        <w:rPr>
          <w:rFonts w:ascii="Times New Roman" w:eastAsia="Times New Roman" w:hAnsi="Times New Roman" w:cs="Times New Roman"/>
          <w:sz w:val="28"/>
          <w:szCs w:val="28"/>
          <w:lang w:eastAsia="ru-RU"/>
        </w:rPr>
        <w:t xml:space="preserve"> здійснено</w:t>
      </w:r>
      <w:r w:rsidR="00B76B03" w:rsidRPr="00826735">
        <w:rPr>
          <w:rFonts w:ascii="Times New Roman" w:eastAsia="Times New Roman" w:hAnsi="Times New Roman" w:cs="Times New Roman"/>
          <w:sz w:val="28"/>
          <w:szCs w:val="28"/>
          <w:lang w:eastAsia="ru-RU"/>
        </w:rPr>
        <w:t xml:space="preserve"> будь-яки</w:t>
      </w:r>
      <w:r w:rsidR="00927D2E" w:rsidRPr="00826735">
        <w:rPr>
          <w:rFonts w:ascii="Times New Roman" w:eastAsia="Times New Roman" w:hAnsi="Times New Roman" w:cs="Times New Roman"/>
          <w:sz w:val="28"/>
          <w:szCs w:val="28"/>
          <w:lang w:eastAsia="ru-RU"/>
        </w:rPr>
        <w:t>м</w:t>
      </w:r>
      <w:r w:rsidR="00B76B03" w:rsidRPr="00826735">
        <w:rPr>
          <w:rFonts w:ascii="Times New Roman" w:eastAsia="Times New Roman" w:hAnsi="Times New Roman" w:cs="Times New Roman"/>
          <w:sz w:val="28"/>
          <w:szCs w:val="28"/>
          <w:lang w:eastAsia="ru-RU"/>
        </w:rPr>
        <w:t xml:space="preserve"> суб’єкт</w:t>
      </w:r>
      <w:r w:rsidR="00927D2E" w:rsidRPr="00826735">
        <w:rPr>
          <w:rFonts w:ascii="Times New Roman" w:eastAsia="Times New Roman" w:hAnsi="Times New Roman" w:cs="Times New Roman"/>
          <w:sz w:val="28"/>
          <w:szCs w:val="28"/>
          <w:lang w:eastAsia="ru-RU"/>
        </w:rPr>
        <w:t>ом</w:t>
      </w:r>
      <w:r w:rsidR="00B76B03" w:rsidRPr="00826735">
        <w:rPr>
          <w:rFonts w:ascii="Times New Roman" w:eastAsia="Times New Roman" w:hAnsi="Times New Roman" w:cs="Times New Roman"/>
          <w:sz w:val="28"/>
          <w:szCs w:val="28"/>
          <w:lang w:eastAsia="ru-RU"/>
        </w:rPr>
        <w:t xml:space="preserve"> господарювання, як</w:t>
      </w:r>
      <w:r w:rsidR="000745A3" w:rsidRPr="00826735">
        <w:rPr>
          <w:rFonts w:ascii="Times New Roman" w:eastAsia="Times New Roman" w:hAnsi="Times New Roman" w:cs="Times New Roman"/>
          <w:sz w:val="28"/>
          <w:szCs w:val="28"/>
          <w:lang w:eastAsia="ru-RU"/>
        </w:rPr>
        <w:t>ий</w:t>
      </w:r>
      <w:r w:rsidR="00B76B03" w:rsidRPr="00826735">
        <w:rPr>
          <w:rFonts w:ascii="Times New Roman" w:eastAsia="Times New Roman" w:hAnsi="Times New Roman" w:cs="Times New Roman"/>
          <w:sz w:val="28"/>
          <w:szCs w:val="28"/>
          <w:lang w:eastAsia="ru-RU"/>
        </w:rPr>
        <w:t xml:space="preserve"> здійсню</w:t>
      </w:r>
      <w:r w:rsidR="000745A3" w:rsidRPr="00826735">
        <w:rPr>
          <w:rFonts w:ascii="Times New Roman" w:eastAsia="Times New Roman" w:hAnsi="Times New Roman" w:cs="Times New Roman"/>
          <w:sz w:val="28"/>
          <w:szCs w:val="28"/>
          <w:lang w:eastAsia="ru-RU"/>
        </w:rPr>
        <w:t>є</w:t>
      </w:r>
      <w:r w:rsidR="00B76B03" w:rsidRPr="00826735">
        <w:rPr>
          <w:rFonts w:ascii="Times New Roman" w:eastAsia="Times New Roman" w:hAnsi="Times New Roman" w:cs="Times New Roman"/>
          <w:sz w:val="28"/>
          <w:szCs w:val="28"/>
          <w:lang w:eastAsia="ru-RU"/>
        </w:rPr>
        <w:t xml:space="preserve"> зовнішньоекономічну діяльність.</w:t>
      </w:r>
    </w:p>
    <w:p w:rsidR="00B76B03" w:rsidRPr="00826735" w:rsidRDefault="00B76B03" w:rsidP="00B76B03">
      <w:pPr>
        <w:pStyle w:val="ad"/>
        <w:widowControl w:val="0"/>
        <w:spacing w:before="0" w:beforeAutospacing="0" w:after="0" w:afterAutospacing="0"/>
        <w:ind w:firstLine="567"/>
        <w:jc w:val="both"/>
        <w:rPr>
          <w:sz w:val="28"/>
          <w:szCs w:val="28"/>
          <w:lang w:val="uk-UA"/>
        </w:rPr>
      </w:pPr>
      <w:r w:rsidRPr="00826735">
        <w:rPr>
          <w:sz w:val="28"/>
          <w:szCs w:val="28"/>
          <w:lang w:val="uk-UA"/>
        </w:rPr>
        <w:t>Станом на січень 2025 року на обліку у митних органах згідно зі статтею</w:t>
      </w:r>
      <w:r w:rsidR="00B706CA">
        <w:rPr>
          <w:sz w:val="28"/>
          <w:szCs w:val="28"/>
          <w:lang w:val="uk-UA"/>
        </w:rPr>
        <w:t> </w:t>
      </w:r>
      <w:r w:rsidRPr="00826735">
        <w:rPr>
          <w:sz w:val="28"/>
          <w:szCs w:val="28"/>
          <w:lang w:val="uk-UA"/>
        </w:rPr>
        <w:t>455 Кодексу перебуває 209 716 суб’єктів зовнішньоекономічної діяльності, з них 47 648 суб’єктів господарювання здійснювали зовнішньоекономічну діяльність з початку 2024 року.</w:t>
      </w:r>
    </w:p>
    <w:p w:rsidR="00B76B03" w:rsidRPr="00826735" w:rsidRDefault="00037A28" w:rsidP="00B76B03">
      <w:pPr>
        <w:pStyle w:val="ad"/>
        <w:widowControl w:val="0"/>
        <w:spacing w:before="0" w:beforeAutospacing="0" w:after="0" w:afterAutospacing="0"/>
        <w:ind w:firstLine="567"/>
        <w:jc w:val="both"/>
        <w:rPr>
          <w:sz w:val="28"/>
          <w:szCs w:val="28"/>
          <w:lang w:val="uk-UA"/>
        </w:rPr>
      </w:pPr>
      <w:r>
        <w:rPr>
          <w:sz w:val="28"/>
          <w:szCs w:val="28"/>
          <w:lang w:val="uk-UA"/>
        </w:rPr>
        <w:t>Отже</w:t>
      </w:r>
      <w:r w:rsidR="00B76B03" w:rsidRPr="00826735">
        <w:rPr>
          <w:sz w:val="28"/>
          <w:szCs w:val="28"/>
          <w:lang w:val="uk-UA"/>
        </w:rPr>
        <w:t xml:space="preserve">, під сферу регулювання </w:t>
      </w:r>
      <w:r>
        <w:rPr>
          <w:sz w:val="28"/>
          <w:szCs w:val="28"/>
          <w:lang w:val="uk-UA"/>
        </w:rPr>
        <w:t>цього</w:t>
      </w:r>
      <w:r w:rsidR="00B76B03" w:rsidRPr="00826735">
        <w:rPr>
          <w:sz w:val="28"/>
          <w:szCs w:val="28"/>
          <w:lang w:val="uk-UA"/>
        </w:rPr>
        <w:t xml:space="preserve"> </w:t>
      </w:r>
      <w:proofErr w:type="spellStart"/>
      <w:r w:rsidR="00B76B03" w:rsidRPr="00826735">
        <w:rPr>
          <w:sz w:val="28"/>
          <w:szCs w:val="28"/>
          <w:lang w:val="uk-UA"/>
        </w:rPr>
        <w:t>акта</w:t>
      </w:r>
      <w:proofErr w:type="spellEnd"/>
      <w:r w:rsidR="00B76B03" w:rsidRPr="00826735">
        <w:rPr>
          <w:sz w:val="28"/>
          <w:szCs w:val="28"/>
          <w:lang w:val="uk-UA"/>
        </w:rPr>
        <w:t xml:space="preserve"> підпадатимуть 47 648 суб’єктів господарювання. При цьому під дію регулювання також можуть підпадати малі </w:t>
      </w:r>
      <w:r>
        <w:rPr>
          <w:sz w:val="28"/>
          <w:szCs w:val="28"/>
          <w:lang w:val="uk-UA"/>
        </w:rPr>
        <w:t xml:space="preserve">суб’єкти </w:t>
      </w:r>
      <w:r w:rsidR="00B76B03" w:rsidRPr="00826735">
        <w:rPr>
          <w:sz w:val="28"/>
          <w:szCs w:val="28"/>
          <w:lang w:val="uk-UA"/>
        </w:rPr>
        <w:t xml:space="preserve">та </w:t>
      </w:r>
      <w:proofErr w:type="spellStart"/>
      <w:r w:rsidR="00B76B03" w:rsidRPr="00826735">
        <w:rPr>
          <w:sz w:val="28"/>
          <w:szCs w:val="28"/>
          <w:lang w:val="uk-UA"/>
        </w:rPr>
        <w:t>мікросуб’єкти</w:t>
      </w:r>
      <w:proofErr w:type="spellEnd"/>
      <w:r w:rsidR="00B76B03" w:rsidRPr="00826735">
        <w:rPr>
          <w:sz w:val="28"/>
          <w:szCs w:val="28"/>
          <w:lang w:val="uk-UA"/>
        </w:rPr>
        <w:t xml:space="preserve"> господарювання.</w:t>
      </w:r>
    </w:p>
    <w:p w:rsidR="00B76B03" w:rsidRPr="00826735" w:rsidRDefault="00B76B03" w:rsidP="00B76B03">
      <w:pPr>
        <w:pStyle w:val="ad"/>
        <w:widowControl w:val="0"/>
        <w:spacing w:before="0" w:beforeAutospacing="0" w:after="0" w:afterAutospacing="0"/>
        <w:ind w:firstLine="567"/>
        <w:jc w:val="both"/>
        <w:rPr>
          <w:sz w:val="28"/>
          <w:szCs w:val="28"/>
          <w:lang w:val="uk-UA"/>
        </w:rPr>
      </w:pPr>
      <w:r w:rsidRPr="00826735">
        <w:rPr>
          <w:sz w:val="28"/>
          <w:szCs w:val="28"/>
          <w:lang w:val="uk-UA"/>
        </w:rPr>
        <w:t xml:space="preserve">У зв’язку з тим, що облік Держмитслужбою суб’єктів господарювання, які здійснюють зовнішньоекономічну діяльність, не передбачає акумулювання інформації про тип таких суб’єктів, їх </w:t>
      </w:r>
      <w:proofErr w:type="spellStart"/>
      <w:r w:rsidRPr="00826735">
        <w:rPr>
          <w:sz w:val="28"/>
          <w:szCs w:val="28"/>
          <w:lang w:val="uk-UA"/>
        </w:rPr>
        <w:t>категоріювання</w:t>
      </w:r>
      <w:proofErr w:type="spellEnd"/>
      <w:r w:rsidRPr="00826735">
        <w:rPr>
          <w:sz w:val="28"/>
          <w:szCs w:val="28"/>
          <w:lang w:val="uk-UA"/>
        </w:rPr>
        <w:t xml:space="preserve"> на великі, середні, малі, мікро здійснено на підставі інформації, розміщеної на сайті </w:t>
      </w:r>
      <w:proofErr w:type="spellStart"/>
      <w:r w:rsidRPr="00826735">
        <w:rPr>
          <w:sz w:val="28"/>
          <w:szCs w:val="28"/>
          <w:lang w:val="uk-UA"/>
        </w:rPr>
        <w:t>Держстату</w:t>
      </w:r>
      <w:proofErr w:type="spellEnd"/>
      <w:r w:rsidRPr="00826735">
        <w:rPr>
          <w:sz w:val="28"/>
          <w:szCs w:val="28"/>
          <w:lang w:val="uk-UA"/>
        </w:rPr>
        <w:t xml:space="preserve"> https://www.ukrstat.gov.ua/operativ/menu/menu_u/sze_20.htm (файл «Показники діяльності суб’єктів великого, середнього, малого та </w:t>
      </w:r>
      <w:proofErr w:type="spellStart"/>
      <w:r w:rsidRPr="00826735">
        <w:rPr>
          <w:sz w:val="28"/>
          <w:szCs w:val="28"/>
          <w:lang w:val="uk-UA"/>
        </w:rPr>
        <w:t>мікропідприємництва</w:t>
      </w:r>
      <w:proofErr w:type="spellEnd"/>
      <w:r w:rsidRPr="00826735">
        <w:rPr>
          <w:sz w:val="28"/>
          <w:szCs w:val="28"/>
          <w:lang w:val="uk-UA"/>
        </w:rPr>
        <w:t xml:space="preserve"> (2010–2023)). При цьому для розрахунків бралися дані за 2023 рік, оскільки дані за 2024 рік на сайті </w:t>
      </w:r>
      <w:proofErr w:type="spellStart"/>
      <w:r w:rsidRPr="00826735">
        <w:rPr>
          <w:sz w:val="28"/>
          <w:szCs w:val="28"/>
          <w:lang w:val="uk-UA"/>
        </w:rPr>
        <w:t>Держстату</w:t>
      </w:r>
      <w:proofErr w:type="spellEnd"/>
      <w:r w:rsidRPr="00826735">
        <w:rPr>
          <w:sz w:val="28"/>
          <w:szCs w:val="28"/>
          <w:lang w:val="uk-UA"/>
        </w:rPr>
        <w:t xml:space="preserve"> відсутні.</w:t>
      </w:r>
    </w:p>
    <w:p w:rsidR="007C0608" w:rsidRPr="00826735" w:rsidRDefault="007C0608" w:rsidP="00B76B03">
      <w:pPr>
        <w:pStyle w:val="ad"/>
        <w:widowControl w:val="0"/>
        <w:spacing w:before="0" w:beforeAutospacing="0" w:after="0" w:afterAutospacing="0"/>
        <w:ind w:firstLine="567"/>
        <w:jc w:val="both"/>
        <w:rPr>
          <w:sz w:val="28"/>
          <w:szCs w:val="28"/>
          <w:lang w:val="uk-UA"/>
        </w:rPr>
      </w:pPr>
    </w:p>
    <w:tbl>
      <w:tblPr>
        <w:tblStyle w:val="a4"/>
        <w:tblW w:w="5000" w:type="pct"/>
        <w:tblLook w:val="0400" w:firstRow="0" w:lastRow="0" w:firstColumn="0" w:lastColumn="0" w:noHBand="0" w:noVBand="1"/>
      </w:tblPr>
      <w:tblGrid>
        <w:gridCol w:w="2790"/>
        <w:gridCol w:w="1256"/>
        <w:gridCol w:w="1258"/>
        <w:gridCol w:w="1394"/>
        <w:gridCol w:w="1258"/>
        <w:gridCol w:w="1529"/>
      </w:tblGrid>
      <w:tr w:rsidR="00DF1DEA" w:rsidRPr="00826735" w:rsidTr="00DF1DEA">
        <w:trPr>
          <w:trHeight w:val="400"/>
        </w:trPr>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Показник</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Великі</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Середні</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Малі</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ind w:left="-47" w:right="-71"/>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Мікро</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Разом</w:t>
            </w:r>
          </w:p>
        </w:tc>
      </w:tr>
      <w:tr w:rsidR="00DF1DEA" w:rsidRPr="00826735" w:rsidTr="00DF1DEA">
        <w:trPr>
          <w:trHeight w:val="787"/>
        </w:trPr>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 xml:space="preserve">Кількість суб’єктів господарювання, що </w:t>
            </w:r>
            <w:r w:rsidRPr="00826735">
              <w:rPr>
                <w:rFonts w:ascii="Times New Roman" w:eastAsia="Times New Roman" w:hAnsi="Times New Roman" w:cs="Times New Roman"/>
                <w:sz w:val="24"/>
                <w:szCs w:val="28"/>
                <w:lang w:eastAsia="ko-KR"/>
              </w:rPr>
              <w:lastRenderedPageBreak/>
              <w:t>підпадають під дію регулювання, одиниць</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lastRenderedPageBreak/>
              <w:t>81</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2 178</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5 927</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39 462</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47 648</w:t>
            </w:r>
          </w:p>
        </w:tc>
      </w:tr>
      <w:tr w:rsidR="00DF1DEA" w:rsidRPr="00826735" w:rsidTr="00DF1DEA">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lastRenderedPageBreak/>
              <w:t>Питома вага групи у загальній кількості, відсотків</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0,17</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4,57</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12,44</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82,82</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lang w:eastAsia="ko-KR"/>
              </w:rPr>
            </w:pPr>
            <w:r w:rsidRPr="00826735">
              <w:rPr>
                <w:rFonts w:ascii="Times New Roman" w:eastAsia="Times New Roman" w:hAnsi="Times New Roman" w:cs="Times New Roman"/>
                <w:sz w:val="24"/>
                <w:szCs w:val="28"/>
                <w:lang w:eastAsia="ko-KR"/>
              </w:rPr>
              <w:t>100</w:t>
            </w:r>
          </w:p>
        </w:tc>
      </w:tr>
    </w:tbl>
    <w:p w:rsidR="00DF1DEA" w:rsidRPr="00826735" w:rsidRDefault="00DF1DEA" w:rsidP="00DF1DEA">
      <w:pPr>
        <w:pStyle w:val="ad"/>
        <w:widowControl w:val="0"/>
        <w:spacing w:before="0" w:beforeAutospacing="0" w:after="0" w:afterAutospacing="0"/>
        <w:ind w:firstLine="567"/>
        <w:jc w:val="both"/>
        <w:rPr>
          <w:sz w:val="18"/>
          <w:szCs w:val="1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DF1DEA" w:rsidRPr="00826735" w:rsidTr="00DF1DEA">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spacing w:after="0" w:line="240" w:lineRule="auto"/>
              <w:jc w:val="center"/>
              <w:rPr>
                <w:rFonts w:ascii="Times New Roman" w:hAnsi="Times New Roman" w:cs="Times New Roman"/>
                <w:sz w:val="24"/>
                <w:szCs w:val="24"/>
              </w:rPr>
            </w:pPr>
            <w:r w:rsidRPr="00826735">
              <w:rPr>
                <w:rFonts w:ascii="Times New Roman" w:hAnsi="Times New Roman" w:cs="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spacing w:after="0" w:line="240" w:lineRule="auto"/>
              <w:jc w:val="center"/>
              <w:rPr>
                <w:rFonts w:ascii="Times New Roman" w:hAnsi="Times New Roman" w:cs="Times New Roman"/>
                <w:sz w:val="24"/>
                <w:szCs w:val="24"/>
              </w:rPr>
            </w:pPr>
            <w:r w:rsidRPr="00826735">
              <w:rPr>
                <w:rFonts w:ascii="Times New Roman" w:hAnsi="Times New Roman" w:cs="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spacing w:after="0" w:line="240" w:lineRule="auto"/>
              <w:jc w:val="center"/>
              <w:rPr>
                <w:rFonts w:ascii="Times New Roman" w:hAnsi="Times New Roman" w:cs="Times New Roman"/>
                <w:sz w:val="24"/>
                <w:szCs w:val="24"/>
              </w:rPr>
            </w:pPr>
            <w:r w:rsidRPr="00826735">
              <w:rPr>
                <w:rFonts w:ascii="Times New Roman" w:hAnsi="Times New Roman" w:cs="Times New Roman"/>
                <w:sz w:val="24"/>
                <w:szCs w:val="24"/>
              </w:rPr>
              <w:t>Витрати</w:t>
            </w:r>
          </w:p>
        </w:tc>
      </w:tr>
      <w:tr w:rsidR="00DF1DEA" w:rsidRPr="00826735" w:rsidTr="00DF1DEA">
        <w:trPr>
          <w:jc w:val="center"/>
        </w:trPr>
        <w:tc>
          <w:tcPr>
            <w:tcW w:w="2093" w:type="dxa"/>
            <w:tcBorders>
              <w:top w:val="single" w:sz="4" w:space="0" w:color="auto"/>
              <w:left w:val="single" w:sz="4" w:space="0" w:color="auto"/>
              <w:bottom w:val="single" w:sz="4" w:space="0" w:color="auto"/>
              <w:right w:val="single" w:sz="4" w:space="0" w:color="auto"/>
            </w:tcBorders>
            <w:hideMark/>
          </w:tcPr>
          <w:p w:rsidR="00DF1DEA" w:rsidRPr="00826735" w:rsidRDefault="00DF1DEA">
            <w:pPr>
              <w:tabs>
                <w:tab w:val="left" w:pos="190"/>
                <w:tab w:val="left" w:pos="243"/>
              </w:tabs>
              <w:spacing w:after="0" w:line="240" w:lineRule="auto"/>
              <w:jc w:val="both"/>
              <w:rPr>
                <w:rFonts w:ascii="Times New Roman" w:hAnsi="Times New Roman" w:cs="Times New Roman"/>
                <w:sz w:val="24"/>
                <w:szCs w:val="24"/>
              </w:rPr>
            </w:pPr>
            <w:r w:rsidRPr="00826735">
              <w:rPr>
                <w:rFonts w:ascii="Times New Roman" w:eastAsia="Times New Roman" w:hAnsi="Times New Roman" w:cs="Times New Roman"/>
                <w:sz w:val="24"/>
                <w:szCs w:val="28"/>
              </w:rPr>
              <w:t>Альтернатива 1: залишення існуючої ситуації без змін</w:t>
            </w:r>
          </w:p>
        </w:tc>
        <w:tc>
          <w:tcPr>
            <w:tcW w:w="3969" w:type="dxa"/>
            <w:tcBorders>
              <w:top w:val="single" w:sz="4" w:space="0" w:color="auto"/>
              <w:left w:val="single" w:sz="4" w:space="0" w:color="auto"/>
              <w:bottom w:val="single" w:sz="4" w:space="0" w:color="auto"/>
              <w:right w:val="single" w:sz="4" w:space="0" w:color="auto"/>
            </w:tcBorders>
            <w:hideMark/>
          </w:tcPr>
          <w:p w:rsidR="00DF1DEA" w:rsidRPr="00826735" w:rsidRDefault="00DF1DEA" w:rsidP="00F27B02">
            <w:pPr>
              <w:tabs>
                <w:tab w:val="left" w:pos="190"/>
                <w:tab w:val="left" w:pos="243"/>
              </w:tabs>
              <w:spacing w:after="0" w:line="240" w:lineRule="auto"/>
              <w:jc w:val="both"/>
              <w:rPr>
                <w:rFonts w:ascii="Times New Roman" w:hAnsi="Times New Roman" w:cs="Times New Roman"/>
                <w:sz w:val="24"/>
                <w:szCs w:val="24"/>
              </w:rPr>
            </w:pPr>
            <w:r w:rsidRPr="00826735">
              <w:rPr>
                <w:rFonts w:ascii="Times New Roman" w:hAnsi="Times New Roman" w:cs="Times New Roman"/>
                <w:sz w:val="24"/>
                <w:szCs w:val="24"/>
              </w:rPr>
              <w:t>Вигода полягає у відсутності необхідності витрат (часових та фінансових) на ознайомлення з новими вимогами регулювання</w:t>
            </w:r>
          </w:p>
        </w:tc>
        <w:tc>
          <w:tcPr>
            <w:tcW w:w="3572" w:type="dxa"/>
            <w:tcBorders>
              <w:top w:val="single" w:sz="4" w:space="0" w:color="auto"/>
              <w:left w:val="single" w:sz="4" w:space="0" w:color="auto"/>
              <w:bottom w:val="single" w:sz="4" w:space="0" w:color="auto"/>
              <w:right w:val="single" w:sz="4" w:space="0" w:color="auto"/>
            </w:tcBorders>
            <w:hideMark/>
          </w:tcPr>
          <w:p w:rsidR="00DF1DEA" w:rsidRPr="00826735" w:rsidRDefault="00DF1DEA" w:rsidP="00F27B02">
            <w:pPr>
              <w:tabs>
                <w:tab w:val="left" w:pos="190"/>
                <w:tab w:val="left" w:pos="243"/>
              </w:tabs>
              <w:spacing w:after="0" w:line="240" w:lineRule="auto"/>
              <w:jc w:val="both"/>
              <w:rPr>
                <w:rFonts w:ascii="Times New Roman" w:hAnsi="Times New Roman" w:cs="Times New Roman"/>
                <w:sz w:val="24"/>
                <w:szCs w:val="24"/>
              </w:rPr>
            </w:pPr>
            <w:r w:rsidRPr="00826735">
              <w:rPr>
                <w:rFonts w:ascii="Times New Roman" w:hAnsi="Times New Roman" w:cs="Times New Roman"/>
                <w:sz w:val="24"/>
                <w:szCs w:val="24"/>
              </w:rPr>
              <w:t>Через правову невизначеність підприємства змушені нести непередбачувані фінансові витрати, а в окремих випадках втрачають можливість реалізовувати заплановані операції, що призводить до втрати потенційного прибутку. Крім того, суб’єкти витрачають більше часу та ресурсів на узгодження своїх дій із законодавчими вимогами</w:t>
            </w:r>
          </w:p>
        </w:tc>
      </w:tr>
      <w:tr w:rsidR="00DF1DEA" w:rsidRPr="00826735" w:rsidTr="00DF1DEA">
        <w:trPr>
          <w:jc w:val="center"/>
        </w:trPr>
        <w:tc>
          <w:tcPr>
            <w:tcW w:w="2093" w:type="dxa"/>
            <w:tcBorders>
              <w:top w:val="single" w:sz="4" w:space="0" w:color="auto"/>
              <w:left w:val="single" w:sz="4" w:space="0" w:color="auto"/>
              <w:bottom w:val="single" w:sz="4" w:space="0" w:color="auto"/>
              <w:right w:val="single" w:sz="4" w:space="0" w:color="auto"/>
            </w:tcBorders>
            <w:hideMark/>
          </w:tcPr>
          <w:p w:rsidR="00DF1DEA" w:rsidRPr="00826735" w:rsidRDefault="00DF1DEA">
            <w:pPr>
              <w:spacing w:after="0" w:line="240" w:lineRule="auto"/>
              <w:jc w:val="both"/>
              <w:rPr>
                <w:rFonts w:ascii="Times New Roman" w:hAnsi="Times New Roman" w:cs="Times New Roman"/>
                <w:sz w:val="24"/>
                <w:szCs w:val="24"/>
              </w:rPr>
            </w:pPr>
            <w:r w:rsidRPr="00826735">
              <w:rPr>
                <w:rFonts w:ascii="Times New Roman" w:eastAsia="Times New Roman" w:hAnsi="Times New Roman" w:cs="Times New Roman"/>
                <w:sz w:val="24"/>
                <w:szCs w:val="28"/>
              </w:rPr>
              <w:t xml:space="preserve">Альтернатива 2: прийняття </w:t>
            </w:r>
            <w:proofErr w:type="spellStart"/>
            <w:r w:rsidRPr="00826735">
              <w:rPr>
                <w:rFonts w:ascii="Times New Roman" w:eastAsia="Times New Roman" w:hAnsi="Times New Roman" w:cs="Times New Roman"/>
                <w:sz w:val="24"/>
                <w:szCs w:val="28"/>
              </w:rPr>
              <w:t>проєкту</w:t>
            </w:r>
            <w:proofErr w:type="spellEnd"/>
            <w:r w:rsidRPr="00826735">
              <w:rPr>
                <w:rFonts w:ascii="Times New Roman" w:eastAsia="Times New Roman" w:hAnsi="Times New Roman" w:cs="Times New Roman"/>
                <w:sz w:val="24"/>
                <w:szCs w:val="28"/>
              </w:rPr>
              <w:t xml:space="preserve"> </w:t>
            </w:r>
            <w:proofErr w:type="spellStart"/>
            <w:r w:rsidRPr="00826735">
              <w:rPr>
                <w:rFonts w:ascii="Times New Roman" w:eastAsia="Times New Roman" w:hAnsi="Times New Roman" w:cs="Times New Roman"/>
                <w:sz w:val="24"/>
                <w:szCs w:val="28"/>
              </w:rPr>
              <w:t>акта</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DF1DEA" w:rsidRPr="00826735" w:rsidRDefault="00DF1DEA" w:rsidP="00437142">
            <w:pPr>
              <w:tabs>
                <w:tab w:val="left" w:pos="190"/>
                <w:tab w:val="left" w:pos="243"/>
              </w:tabs>
              <w:spacing w:after="0" w:line="240" w:lineRule="auto"/>
              <w:jc w:val="both"/>
              <w:rPr>
                <w:rFonts w:ascii="Times New Roman" w:hAnsi="Times New Roman" w:cs="Times New Roman"/>
                <w:sz w:val="24"/>
                <w:szCs w:val="24"/>
              </w:rPr>
            </w:pPr>
            <w:r w:rsidRPr="00826735">
              <w:rPr>
                <w:rFonts w:ascii="Times New Roman" w:hAnsi="Times New Roman" w:cs="Times New Roman"/>
                <w:sz w:val="24"/>
                <w:szCs w:val="24"/>
              </w:rPr>
              <w:t xml:space="preserve">Прийняття регуляторного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w:t>
            </w:r>
            <w:r w:rsidR="00F27B02">
              <w:rPr>
                <w:rFonts w:ascii="Times New Roman" w:hAnsi="Times New Roman" w:cs="Times New Roman"/>
                <w:sz w:val="24"/>
                <w:szCs w:val="24"/>
              </w:rPr>
              <w:t>дасть змогу</w:t>
            </w:r>
            <w:r w:rsidRPr="00826735">
              <w:rPr>
                <w:rFonts w:ascii="Times New Roman" w:hAnsi="Times New Roman" w:cs="Times New Roman"/>
                <w:sz w:val="24"/>
                <w:szCs w:val="24"/>
              </w:rPr>
              <w:t xml:space="preserve"> усунути невідповідність між положеннями чинного нормативно-правового </w:t>
            </w:r>
            <w:proofErr w:type="spellStart"/>
            <w:r w:rsidRPr="00826735">
              <w:rPr>
                <w:rFonts w:ascii="Times New Roman" w:hAnsi="Times New Roman" w:cs="Times New Roman"/>
                <w:sz w:val="24"/>
                <w:szCs w:val="24"/>
              </w:rPr>
              <w:t>акт</w:t>
            </w:r>
            <w:r w:rsidR="00F27B02">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та </w:t>
            </w:r>
            <w:proofErr w:type="spellStart"/>
            <w:r w:rsidRPr="00826735">
              <w:rPr>
                <w:rFonts w:ascii="Times New Roman" w:hAnsi="Times New Roman" w:cs="Times New Roman"/>
                <w:sz w:val="24"/>
                <w:szCs w:val="24"/>
              </w:rPr>
              <w:t>акта</w:t>
            </w:r>
            <w:proofErr w:type="spellEnd"/>
            <w:r w:rsidRPr="00826735">
              <w:rPr>
                <w:rFonts w:ascii="Times New Roman" w:hAnsi="Times New Roman" w:cs="Times New Roman"/>
                <w:sz w:val="24"/>
                <w:szCs w:val="24"/>
              </w:rPr>
              <w:t xml:space="preserve"> вищої юридичної сили, що сприятиме зменшенню непередбачуваних витрат підприємств (чітке законодавство </w:t>
            </w:r>
            <w:r w:rsidR="00437142">
              <w:rPr>
                <w:rFonts w:ascii="Times New Roman" w:hAnsi="Times New Roman" w:cs="Times New Roman"/>
                <w:sz w:val="24"/>
                <w:szCs w:val="24"/>
              </w:rPr>
              <w:t>дає змогу</w:t>
            </w:r>
            <w:r w:rsidRPr="00826735">
              <w:rPr>
                <w:rFonts w:ascii="Times New Roman" w:hAnsi="Times New Roman" w:cs="Times New Roman"/>
                <w:sz w:val="24"/>
                <w:szCs w:val="24"/>
              </w:rPr>
              <w:t xml:space="preserve"> здійснювати ефективне фінансове планування та уникати витрат на юридичні спори)</w:t>
            </w:r>
          </w:p>
        </w:tc>
        <w:tc>
          <w:tcPr>
            <w:tcW w:w="3572" w:type="dxa"/>
            <w:tcBorders>
              <w:top w:val="single" w:sz="4" w:space="0" w:color="auto"/>
              <w:left w:val="single" w:sz="4" w:space="0" w:color="auto"/>
              <w:bottom w:val="single" w:sz="4" w:space="0" w:color="auto"/>
              <w:right w:val="single" w:sz="4" w:space="0" w:color="auto"/>
            </w:tcBorders>
            <w:hideMark/>
          </w:tcPr>
          <w:p w:rsidR="00DF1DEA" w:rsidRPr="00826735" w:rsidRDefault="00DF1DEA">
            <w:pPr>
              <w:tabs>
                <w:tab w:val="left" w:pos="190"/>
                <w:tab w:val="left" w:pos="243"/>
              </w:tabs>
              <w:spacing w:after="0" w:line="240" w:lineRule="auto"/>
              <w:jc w:val="both"/>
              <w:rPr>
                <w:rFonts w:ascii="Times New Roman" w:hAnsi="Times New Roman" w:cs="Times New Roman"/>
                <w:sz w:val="24"/>
                <w:szCs w:val="24"/>
              </w:rPr>
            </w:pPr>
            <w:r w:rsidRPr="00826735">
              <w:rPr>
                <w:rFonts w:ascii="Times New Roman" w:hAnsi="Times New Roman" w:cs="Times New Roman"/>
                <w:sz w:val="24"/>
                <w:szCs w:val="24"/>
              </w:rPr>
              <w:t>Витрати, пов’язані з необхідністю ознайомлення з новими вимогами регулювання</w:t>
            </w:r>
          </w:p>
        </w:tc>
      </w:tr>
    </w:tbl>
    <w:p w:rsidR="00DF1DEA" w:rsidRPr="00826735" w:rsidRDefault="00DF1DEA" w:rsidP="00DF1DEA">
      <w:pPr>
        <w:pStyle w:val="3"/>
        <w:widowControl w:val="0"/>
        <w:spacing w:before="0" w:beforeAutospacing="0" w:after="0" w:afterAutospacing="0"/>
        <w:jc w:val="both"/>
        <w:rPr>
          <w:b w:val="0"/>
          <w:sz w:val="24"/>
          <w:szCs w:val="28"/>
          <w:lang w:val="uk-UA" w:eastAsia="x-none"/>
        </w:rPr>
      </w:pPr>
    </w:p>
    <w:tbl>
      <w:tblPr>
        <w:tblStyle w:val="a4"/>
        <w:tblW w:w="0" w:type="auto"/>
        <w:jc w:val="center"/>
        <w:tblLook w:val="04A0" w:firstRow="1" w:lastRow="0" w:firstColumn="1" w:lastColumn="0" w:noHBand="0" w:noVBand="1"/>
      </w:tblPr>
      <w:tblGrid>
        <w:gridCol w:w="4769"/>
        <w:gridCol w:w="4716"/>
      </w:tblGrid>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Сумарні витрати</w:t>
            </w:r>
          </w:p>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за альтернативами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Сума витрат,</w:t>
            </w:r>
          </w:p>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грн</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Альтернатива 1:</w:t>
            </w:r>
          </w:p>
          <w:p w:rsidR="00DF1DEA" w:rsidRPr="00826735" w:rsidRDefault="00DF1DEA">
            <w:pP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залишення існуючої ситуації без змін</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highlight w:val="yellow"/>
              </w:rPr>
            </w:pPr>
            <w:r w:rsidRPr="00826735">
              <w:rPr>
                <w:rFonts w:ascii="Times New Roman" w:eastAsia="Times New Roman" w:hAnsi="Times New Roman" w:cs="Times New Roman"/>
                <w:sz w:val="24"/>
                <w:szCs w:val="28"/>
              </w:rPr>
              <w:t>0</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ind w:left="162"/>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Витрати держави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0</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ind w:left="162"/>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Витрати суб’єктів господарювання</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0</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Альтернатива 2:</w:t>
            </w:r>
          </w:p>
          <w:p w:rsidR="00DF1DEA" w:rsidRPr="00826735" w:rsidRDefault="00DF1DEA">
            <w:pP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 xml:space="preserve">прийняття </w:t>
            </w:r>
            <w:proofErr w:type="spellStart"/>
            <w:r w:rsidRPr="00826735">
              <w:rPr>
                <w:rFonts w:ascii="Times New Roman" w:eastAsia="Times New Roman" w:hAnsi="Times New Roman" w:cs="Times New Roman"/>
                <w:sz w:val="24"/>
                <w:szCs w:val="28"/>
              </w:rPr>
              <w:t>проєкту</w:t>
            </w:r>
            <w:proofErr w:type="spellEnd"/>
            <w:r w:rsidRPr="00826735">
              <w:rPr>
                <w:rFonts w:ascii="Times New Roman" w:eastAsia="Times New Roman" w:hAnsi="Times New Roman" w:cs="Times New Roman"/>
                <w:sz w:val="24"/>
                <w:szCs w:val="28"/>
              </w:rPr>
              <w:t xml:space="preserve"> </w:t>
            </w:r>
            <w:proofErr w:type="spellStart"/>
            <w:r w:rsidRPr="00826735">
              <w:rPr>
                <w:rFonts w:ascii="Times New Roman" w:eastAsia="Times New Roman" w:hAnsi="Times New Roman" w:cs="Times New Roman"/>
                <w:sz w:val="24"/>
                <w:szCs w:val="28"/>
              </w:rPr>
              <w:t>акта</w:t>
            </w:r>
            <w:proofErr w:type="spellEnd"/>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17773B">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2 287 104</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ind w:left="162"/>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Витрати держави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0</w:t>
            </w:r>
          </w:p>
        </w:tc>
      </w:tr>
      <w:tr w:rsidR="00DF1DEA" w:rsidRPr="0082673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DF1DEA">
            <w:pPr>
              <w:ind w:left="162"/>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Витрати суб’єктів господарювання</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826735" w:rsidRDefault="0017773B">
            <w:pPr>
              <w:jc w:val="center"/>
              <w:rPr>
                <w:rFonts w:ascii="Times New Roman" w:eastAsia="Times New Roman" w:hAnsi="Times New Roman" w:cs="Times New Roman"/>
                <w:sz w:val="24"/>
                <w:szCs w:val="28"/>
              </w:rPr>
            </w:pPr>
            <w:r w:rsidRPr="00826735">
              <w:rPr>
                <w:rFonts w:ascii="Times New Roman" w:eastAsia="Times New Roman" w:hAnsi="Times New Roman" w:cs="Times New Roman"/>
                <w:sz w:val="24"/>
                <w:szCs w:val="28"/>
              </w:rPr>
              <w:t>2 287 104</w:t>
            </w:r>
          </w:p>
        </w:tc>
      </w:tr>
    </w:tbl>
    <w:p w:rsidR="00DF1DEA" w:rsidRPr="00826735" w:rsidRDefault="00DF1DEA" w:rsidP="00DF1DEA">
      <w:pPr>
        <w:pStyle w:val="3"/>
        <w:widowControl w:val="0"/>
        <w:spacing w:before="0" w:beforeAutospacing="0" w:after="0" w:afterAutospacing="0"/>
        <w:jc w:val="both"/>
        <w:rPr>
          <w:b w:val="0"/>
          <w:sz w:val="24"/>
          <w:szCs w:val="28"/>
          <w:lang w:val="uk-UA" w:eastAsia="x-none"/>
        </w:rPr>
      </w:pPr>
    </w:p>
    <w:p w:rsidR="00C92499" w:rsidRPr="00826735" w:rsidRDefault="00C92499" w:rsidP="00841F72">
      <w:pPr>
        <w:spacing w:after="0" w:line="240" w:lineRule="auto"/>
        <w:jc w:val="center"/>
        <w:outlineLvl w:val="0"/>
        <w:rPr>
          <w:rFonts w:ascii="Times New Roman" w:eastAsia="Times New Roman" w:hAnsi="Times New Roman" w:cs="Times New Roman"/>
          <w:b/>
          <w:bCs/>
          <w:sz w:val="28"/>
          <w:szCs w:val="28"/>
          <w:lang w:eastAsia="ru-RU"/>
        </w:rPr>
      </w:pPr>
      <w:r w:rsidRPr="00826735">
        <w:rPr>
          <w:rFonts w:ascii="Times New Roman" w:eastAsia="Times New Roman" w:hAnsi="Times New Roman" w:cs="Times New Roman"/>
          <w:b/>
          <w:bCs/>
          <w:sz w:val="28"/>
          <w:szCs w:val="28"/>
          <w:lang w:eastAsia="ru-RU"/>
        </w:rPr>
        <w:t>IV. Вибір найбільш оптимального альтернативного способу досягнення цілей</w:t>
      </w:r>
    </w:p>
    <w:p w:rsidR="00C92499" w:rsidRPr="009A5541" w:rsidRDefault="00C92499" w:rsidP="00841F72">
      <w:pPr>
        <w:spacing w:after="0" w:line="240" w:lineRule="auto"/>
        <w:jc w:val="both"/>
        <w:rPr>
          <w:rFonts w:ascii="Times New Roman" w:eastAsia="Times New Roman" w:hAnsi="Times New Roman" w:cs="Times New Roman"/>
          <w:b/>
          <w:bCs/>
          <w:sz w:val="18"/>
          <w:szCs w:val="18"/>
          <w:lang w:eastAsia="ru-RU"/>
        </w:rPr>
      </w:pPr>
    </w:p>
    <w:tbl>
      <w:tblPr>
        <w:tblStyle w:val="a4"/>
        <w:tblW w:w="9493" w:type="dxa"/>
        <w:jc w:val="center"/>
        <w:tblLook w:val="04A0" w:firstRow="1" w:lastRow="0" w:firstColumn="1" w:lastColumn="0" w:noHBand="0" w:noVBand="1"/>
      </w:tblPr>
      <w:tblGrid>
        <w:gridCol w:w="2830"/>
        <w:gridCol w:w="2410"/>
        <w:gridCol w:w="4253"/>
      </w:tblGrid>
      <w:tr w:rsidR="00C92499" w:rsidRPr="00826735" w:rsidTr="00B737B9">
        <w:trPr>
          <w:jc w:val="center"/>
        </w:trPr>
        <w:tc>
          <w:tcPr>
            <w:tcW w:w="2830" w:type="dxa"/>
          </w:tcPr>
          <w:p w:rsidR="00C92499" w:rsidRPr="00826735" w:rsidRDefault="00C92499" w:rsidP="00B737B9">
            <w:pPr>
              <w:spacing w:before="21" w:after="21"/>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Рейтинг результативності (досягнення цілей під час вирішення проблеми)</w:t>
            </w:r>
          </w:p>
        </w:tc>
        <w:tc>
          <w:tcPr>
            <w:tcW w:w="2410" w:type="dxa"/>
          </w:tcPr>
          <w:p w:rsidR="00B737B9" w:rsidRPr="00826735" w:rsidRDefault="00C92499" w:rsidP="00B737B9">
            <w:pPr>
              <w:spacing w:before="21"/>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 xml:space="preserve">Бал результативності </w:t>
            </w:r>
          </w:p>
          <w:p w:rsidR="00C92499" w:rsidRPr="00826735" w:rsidRDefault="00C92499" w:rsidP="00B737B9">
            <w:pPr>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(за чотирибальною системою оцінки)</w:t>
            </w:r>
          </w:p>
        </w:tc>
        <w:tc>
          <w:tcPr>
            <w:tcW w:w="4253" w:type="dxa"/>
          </w:tcPr>
          <w:p w:rsidR="00C92499" w:rsidRPr="00826735" w:rsidRDefault="00C92499" w:rsidP="00B737B9">
            <w:pPr>
              <w:spacing w:before="21" w:after="21"/>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 xml:space="preserve">Коментарі щодо присвоєння відповідного </w:t>
            </w:r>
            <w:proofErr w:type="spellStart"/>
            <w:r w:rsidRPr="00826735">
              <w:rPr>
                <w:rFonts w:ascii="Times New Roman" w:eastAsia="Times New Roman" w:hAnsi="Times New Roman" w:cs="Times New Roman"/>
                <w:bCs/>
                <w:sz w:val="24"/>
                <w:szCs w:val="24"/>
                <w:lang w:eastAsia="ru-RU"/>
              </w:rPr>
              <w:t>бала</w:t>
            </w:r>
            <w:proofErr w:type="spellEnd"/>
          </w:p>
        </w:tc>
      </w:tr>
      <w:tr w:rsidR="001B511B" w:rsidRPr="00826735" w:rsidTr="00B737B9">
        <w:trPr>
          <w:jc w:val="center"/>
        </w:trPr>
        <w:tc>
          <w:tcPr>
            <w:tcW w:w="2830" w:type="dxa"/>
          </w:tcPr>
          <w:p w:rsidR="001B511B" w:rsidRPr="00826735" w:rsidRDefault="001B511B" w:rsidP="001B511B">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lastRenderedPageBreak/>
              <w:t>Альтернатива 1</w:t>
            </w:r>
          </w:p>
        </w:tc>
        <w:tc>
          <w:tcPr>
            <w:tcW w:w="2410" w:type="dxa"/>
          </w:tcPr>
          <w:p w:rsidR="001B511B" w:rsidRPr="00826735" w:rsidRDefault="001B511B" w:rsidP="001B511B">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1</w:t>
            </w:r>
          </w:p>
        </w:tc>
        <w:tc>
          <w:tcPr>
            <w:tcW w:w="4253" w:type="dxa"/>
          </w:tcPr>
          <w:p w:rsidR="001B511B" w:rsidRPr="00826735" w:rsidRDefault="001B511B" w:rsidP="00C4191D">
            <w:pPr>
              <w:spacing w:before="21" w:after="21"/>
              <w:jc w:val="both"/>
              <w:rPr>
                <w:rFonts w:ascii="Times New Roman" w:eastAsia="Times New Roman" w:hAnsi="Times New Roman" w:cs="Times New Roman"/>
                <w:bCs/>
                <w:sz w:val="28"/>
                <w:szCs w:val="24"/>
                <w:lang w:eastAsia="ru-RU"/>
              </w:rPr>
            </w:pPr>
            <w:r w:rsidRPr="00826735">
              <w:rPr>
                <w:rFonts w:ascii="Times New Roman" w:eastAsia="MS Mincho" w:hAnsi="Times New Roman" w:cs="Times New Roman"/>
                <w:sz w:val="24"/>
                <w:szCs w:val="24"/>
                <w:lang w:eastAsia="ru-RU"/>
              </w:rPr>
              <w:t xml:space="preserve">Залишення існуючої ситуації без змін не </w:t>
            </w:r>
            <w:r w:rsidR="00C4191D">
              <w:rPr>
                <w:rFonts w:ascii="Times New Roman" w:eastAsia="MS Mincho" w:hAnsi="Times New Roman" w:cs="Times New Roman"/>
                <w:sz w:val="24"/>
                <w:szCs w:val="24"/>
                <w:lang w:eastAsia="ru-RU"/>
              </w:rPr>
              <w:t>дасть змоги</w:t>
            </w:r>
            <w:r w:rsidRPr="00826735">
              <w:rPr>
                <w:rFonts w:ascii="Times New Roman" w:eastAsia="MS Mincho" w:hAnsi="Times New Roman" w:cs="Times New Roman"/>
                <w:sz w:val="24"/>
                <w:szCs w:val="24"/>
                <w:lang w:eastAsia="ru-RU"/>
              </w:rPr>
              <w:t xml:space="preserve"> вирішити наявну проблему, яка продовжуватиме існувати</w:t>
            </w:r>
          </w:p>
        </w:tc>
      </w:tr>
      <w:tr w:rsidR="001B511B" w:rsidRPr="00826735" w:rsidTr="00B737B9">
        <w:trPr>
          <w:jc w:val="center"/>
        </w:trPr>
        <w:tc>
          <w:tcPr>
            <w:tcW w:w="2830" w:type="dxa"/>
          </w:tcPr>
          <w:p w:rsidR="001B511B" w:rsidRPr="00826735" w:rsidRDefault="001B511B" w:rsidP="001B511B">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Альтернатива 2</w:t>
            </w:r>
          </w:p>
        </w:tc>
        <w:tc>
          <w:tcPr>
            <w:tcW w:w="2410" w:type="dxa"/>
          </w:tcPr>
          <w:p w:rsidR="001B511B" w:rsidRPr="00826735" w:rsidRDefault="001B511B" w:rsidP="001B511B">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4</w:t>
            </w:r>
          </w:p>
        </w:tc>
        <w:tc>
          <w:tcPr>
            <w:tcW w:w="4253" w:type="dxa"/>
          </w:tcPr>
          <w:p w:rsidR="001B511B" w:rsidRPr="00826735" w:rsidRDefault="001B511B" w:rsidP="00C4191D">
            <w:pPr>
              <w:spacing w:before="21" w:after="21"/>
              <w:jc w:val="both"/>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sz w:val="24"/>
                <w:szCs w:val="24"/>
                <w:lang w:eastAsia="ru-RU"/>
              </w:rPr>
              <w:t xml:space="preserve">Прийняття </w:t>
            </w:r>
            <w:proofErr w:type="spellStart"/>
            <w:r w:rsidRPr="00826735">
              <w:rPr>
                <w:rFonts w:ascii="Times New Roman" w:eastAsia="Times New Roman" w:hAnsi="Times New Roman" w:cs="Times New Roman"/>
                <w:sz w:val="24"/>
                <w:szCs w:val="24"/>
                <w:lang w:eastAsia="ru-RU"/>
              </w:rPr>
              <w:t>проєкту</w:t>
            </w:r>
            <w:proofErr w:type="spellEnd"/>
            <w:r w:rsidRPr="00826735">
              <w:rPr>
                <w:rFonts w:ascii="Times New Roman" w:eastAsia="Times New Roman" w:hAnsi="Times New Roman" w:cs="Times New Roman"/>
                <w:sz w:val="24"/>
                <w:szCs w:val="24"/>
                <w:lang w:eastAsia="ru-RU"/>
              </w:rPr>
              <w:t xml:space="preserve"> регуляторного </w:t>
            </w:r>
            <w:proofErr w:type="spellStart"/>
            <w:r w:rsidRPr="00826735">
              <w:rPr>
                <w:rFonts w:ascii="Times New Roman" w:eastAsia="Times New Roman" w:hAnsi="Times New Roman" w:cs="Times New Roman"/>
                <w:sz w:val="24"/>
                <w:szCs w:val="24"/>
                <w:lang w:eastAsia="ru-RU"/>
              </w:rPr>
              <w:t>акта</w:t>
            </w:r>
            <w:proofErr w:type="spellEnd"/>
            <w:r w:rsidRPr="00826735">
              <w:rPr>
                <w:rFonts w:ascii="Times New Roman" w:eastAsia="Times New Roman" w:hAnsi="Times New Roman" w:cs="Times New Roman"/>
                <w:sz w:val="24"/>
                <w:szCs w:val="24"/>
                <w:lang w:eastAsia="ru-RU"/>
              </w:rPr>
              <w:t xml:space="preserve"> </w:t>
            </w:r>
            <w:r w:rsidR="00C4191D">
              <w:rPr>
                <w:rFonts w:ascii="Times New Roman" w:eastAsia="Times New Roman" w:hAnsi="Times New Roman" w:cs="Times New Roman"/>
                <w:sz w:val="24"/>
                <w:szCs w:val="24"/>
                <w:lang w:eastAsia="ru-RU"/>
              </w:rPr>
              <w:t>дасть змогу</w:t>
            </w:r>
            <w:r w:rsidRPr="00826735">
              <w:rPr>
                <w:rFonts w:ascii="Times New Roman" w:eastAsia="Times New Roman" w:hAnsi="Times New Roman" w:cs="Times New Roman"/>
                <w:sz w:val="24"/>
                <w:szCs w:val="24"/>
                <w:lang w:eastAsia="ru-RU"/>
              </w:rPr>
              <w:t xml:space="preserve"> вирішити наявну проблему повн</w:t>
            </w:r>
            <w:r w:rsidR="00C4191D">
              <w:rPr>
                <w:rFonts w:ascii="Times New Roman" w:eastAsia="Times New Roman" w:hAnsi="Times New Roman" w:cs="Times New Roman"/>
                <w:sz w:val="24"/>
                <w:szCs w:val="24"/>
                <w:lang w:eastAsia="ru-RU"/>
              </w:rPr>
              <w:t>ою мірою</w:t>
            </w:r>
          </w:p>
        </w:tc>
      </w:tr>
    </w:tbl>
    <w:p w:rsidR="00C92499" w:rsidRPr="00826735" w:rsidRDefault="00C92499" w:rsidP="00841F72">
      <w:pPr>
        <w:spacing w:after="0" w:line="240" w:lineRule="auto"/>
        <w:rPr>
          <w:rFonts w:ascii="Times New Roman" w:eastAsia="Times New Roman" w:hAnsi="Times New Roman" w:cs="Times New Roman"/>
          <w:sz w:val="18"/>
          <w:szCs w:val="18"/>
          <w:lang w:val="ru-RU" w:eastAsia="ru-RU"/>
        </w:rPr>
      </w:pPr>
    </w:p>
    <w:tbl>
      <w:tblPr>
        <w:tblStyle w:val="a4"/>
        <w:tblW w:w="9634" w:type="dxa"/>
        <w:jc w:val="center"/>
        <w:tblLook w:val="04A0" w:firstRow="1" w:lastRow="0" w:firstColumn="1" w:lastColumn="0" w:noHBand="0" w:noVBand="1"/>
      </w:tblPr>
      <w:tblGrid>
        <w:gridCol w:w="1942"/>
        <w:gridCol w:w="2964"/>
        <w:gridCol w:w="2363"/>
        <w:gridCol w:w="2365"/>
      </w:tblGrid>
      <w:tr w:rsidR="00C92499" w:rsidRPr="00826735" w:rsidTr="00F55E9A">
        <w:trPr>
          <w:jc w:val="center"/>
        </w:trPr>
        <w:tc>
          <w:tcPr>
            <w:tcW w:w="1915" w:type="dxa"/>
          </w:tcPr>
          <w:p w:rsidR="00C92499" w:rsidRPr="00826735" w:rsidRDefault="00C92499" w:rsidP="00F55E9A">
            <w:pPr>
              <w:spacing w:before="21" w:after="21"/>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Рейтинг результативності</w:t>
            </w:r>
          </w:p>
        </w:tc>
        <w:tc>
          <w:tcPr>
            <w:tcW w:w="3042" w:type="dxa"/>
          </w:tcPr>
          <w:p w:rsidR="00C92499" w:rsidRPr="00826735" w:rsidRDefault="00C92499" w:rsidP="00F55E9A">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Вигоди (підсумок)</w:t>
            </w:r>
          </w:p>
        </w:tc>
        <w:tc>
          <w:tcPr>
            <w:tcW w:w="2299" w:type="dxa"/>
          </w:tcPr>
          <w:p w:rsidR="00C92499" w:rsidRPr="00826735" w:rsidRDefault="00C92499" w:rsidP="00F55E9A">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Витрати (підсумок)</w:t>
            </w:r>
          </w:p>
        </w:tc>
        <w:tc>
          <w:tcPr>
            <w:tcW w:w="2378" w:type="dxa"/>
          </w:tcPr>
          <w:p w:rsidR="00C92499" w:rsidRPr="00826735" w:rsidRDefault="00C92499" w:rsidP="00F55E9A">
            <w:pPr>
              <w:spacing w:before="21" w:after="21"/>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Обґрунтування відповідного місця альтернативи у рейтингу</w:t>
            </w:r>
          </w:p>
        </w:tc>
      </w:tr>
      <w:tr w:rsidR="001A5A02" w:rsidRPr="00826735" w:rsidTr="00F55E9A">
        <w:trPr>
          <w:jc w:val="center"/>
        </w:trPr>
        <w:tc>
          <w:tcPr>
            <w:tcW w:w="1915" w:type="dxa"/>
          </w:tcPr>
          <w:p w:rsidR="001A5A02" w:rsidRPr="00826735" w:rsidRDefault="001A5A02" w:rsidP="001A5A02">
            <w:pPr>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t>Альтернатива 1</w:t>
            </w:r>
          </w:p>
        </w:tc>
        <w:tc>
          <w:tcPr>
            <w:tcW w:w="3042" w:type="dxa"/>
          </w:tcPr>
          <w:p w:rsidR="001A5A02" w:rsidRPr="00826735" w:rsidRDefault="001A5A02" w:rsidP="001A5A02">
            <w:pPr>
              <w:rPr>
                <w:rFonts w:ascii="Times New Roman" w:eastAsia="Times New Roman" w:hAnsi="Times New Roman" w:cs="Times New Roman"/>
                <w:sz w:val="24"/>
                <w:szCs w:val="28"/>
                <w:u w:val="single"/>
                <w:lang w:eastAsia="uk-UA"/>
              </w:rPr>
            </w:pPr>
            <w:r w:rsidRPr="00826735">
              <w:rPr>
                <w:rFonts w:ascii="Times New Roman" w:eastAsia="Times New Roman" w:hAnsi="Times New Roman" w:cs="Times New Roman"/>
                <w:sz w:val="24"/>
                <w:szCs w:val="28"/>
                <w:u w:val="single"/>
                <w:lang w:eastAsia="uk-UA"/>
              </w:rPr>
              <w:t>Для держави:</w:t>
            </w:r>
          </w:p>
          <w:p w:rsidR="001A5A02" w:rsidRPr="00826735" w:rsidRDefault="001A5A02" w:rsidP="001A5A02">
            <w:pPr>
              <w:rPr>
                <w:rFonts w:ascii="Times New Roman" w:eastAsia="Times New Roman" w:hAnsi="Times New Roman" w:cs="Times New Roman"/>
                <w:sz w:val="24"/>
                <w:szCs w:val="28"/>
                <w:lang w:eastAsia="uk-UA"/>
              </w:rPr>
            </w:pPr>
            <w:r w:rsidRPr="00826735">
              <w:rPr>
                <w:rFonts w:ascii="Times New Roman" w:eastAsia="Times New Roman" w:hAnsi="Times New Roman" w:cs="Times New Roman"/>
                <w:sz w:val="24"/>
                <w:szCs w:val="28"/>
                <w:lang w:eastAsia="uk-UA"/>
              </w:rPr>
              <w:t xml:space="preserve">вигода полягає у відсутності необхідності витрат (часових та фінансових) на підготовку та прийняття регуляторного </w:t>
            </w:r>
            <w:proofErr w:type="spellStart"/>
            <w:r w:rsidRPr="00826735">
              <w:rPr>
                <w:rFonts w:ascii="Times New Roman" w:eastAsia="Times New Roman" w:hAnsi="Times New Roman" w:cs="Times New Roman"/>
                <w:sz w:val="24"/>
                <w:szCs w:val="28"/>
                <w:lang w:eastAsia="uk-UA"/>
              </w:rPr>
              <w:t>акт</w:t>
            </w:r>
            <w:r w:rsidR="00FA206E">
              <w:rPr>
                <w:rFonts w:ascii="Times New Roman" w:eastAsia="Times New Roman" w:hAnsi="Times New Roman" w:cs="Times New Roman"/>
                <w:sz w:val="24"/>
                <w:szCs w:val="28"/>
                <w:lang w:eastAsia="uk-UA"/>
              </w:rPr>
              <w:t>а</w:t>
            </w:r>
            <w:proofErr w:type="spellEnd"/>
            <w:r w:rsidRPr="00826735">
              <w:rPr>
                <w:rFonts w:ascii="Times New Roman" w:eastAsia="Times New Roman" w:hAnsi="Times New Roman" w:cs="Times New Roman"/>
                <w:sz w:val="24"/>
                <w:szCs w:val="28"/>
                <w:lang w:eastAsia="uk-UA"/>
              </w:rPr>
              <w:t xml:space="preserve">. Водночас, оскільки заходи з підготовки та прийняття регуляторного </w:t>
            </w:r>
            <w:proofErr w:type="spellStart"/>
            <w:r w:rsidRPr="00826735">
              <w:rPr>
                <w:rFonts w:ascii="Times New Roman" w:eastAsia="Times New Roman" w:hAnsi="Times New Roman" w:cs="Times New Roman"/>
                <w:sz w:val="24"/>
                <w:szCs w:val="28"/>
                <w:lang w:eastAsia="uk-UA"/>
              </w:rPr>
              <w:t>акт</w:t>
            </w:r>
            <w:r w:rsidR="00B750BD">
              <w:rPr>
                <w:rFonts w:ascii="Times New Roman" w:eastAsia="Times New Roman" w:hAnsi="Times New Roman" w:cs="Times New Roman"/>
                <w:sz w:val="24"/>
                <w:szCs w:val="28"/>
                <w:lang w:eastAsia="uk-UA"/>
              </w:rPr>
              <w:t>а</w:t>
            </w:r>
            <w:proofErr w:type="spellEnd"/>
            <w:r w:rsidRPr="00826735">
              <w:rPr>
                <w:rFonts w:ascii="Times New Roman" w:eastAsia="Times New Roman" w:hAnsi="Times New Roman" w:cs="Times New Roman"/>
                <w:sz w:val="24"/>
                <w:szCs w:val="28"/>
                <w:lang w:eastAsia="uk-UA"/>
              </w:rPr>
              <w:t xml:space="preserve"> здійснюються в межах звичайної операційної діяльності органів державної влади, обсяг заощаджених коштів у випадку </w:t>
            </w:r>
            <w:proofErr w:type="spellStart"/>
            <w:r w:rsidRPr="00826735">
              <w:rPr>
                <w:rFonts w:ascii="Times New Roman" w:eastAsia="Times New Roman" w:hAnsi="Times New Roman" w:cs="Times New Roman"/>
                <w:sz w:val="24"/>
                <w:szCs w:val="28"/>
                <w:lang w:eastAsia="uk-UA"/>
              </w:rPr>
              <w:t>неініціювання</w:t>
            </w:r>
            <w:proofErr w:type="spellEnd"/>
            <w:r w:rsidRPr="00826735">
              <w:rPr>
                <w:rFonts w:ascii="Times New Roman" w:eastAsia="Times New Roman" w:hAnsi="Times New Roman" w:cs="Times New Roman"/>
                <w:sz w:val="24"/>
                <w:szCs w:val="28"/>
                <w:lang w:eastAsia="uk-UA"/>
              </w:rPr>
              <w:t xml:space="preserve"> розробки регуляторного </w:t>
            </w:r>
            <w:proofErr w:type="spellStart"/>
            <w:r w:rsidRPr="00826735">
              <w:rPr>
                <w:rFonts w:ascii="Times New Roman" w:eastAsia="Times New Roman" w:hAnsi="Times New Roman" w:cs="Times New Roman"/>
                <w:sz w:val="24"/>
                <w:szCs w:val="28"/>
                <w:lang w:eastAsia="uk-UA"/>
              </w:rPr>
              <w:t>акт</w:t>
            </w:r>
            <w:r w:rsidR="00B750BD">
              <w:rPr>
                <w:rFonts w:ascii="Times New Roman" w:eastAsia="Times New Roman" w:hAnsi="Times New Roman" w:cs="Times New Roman"/>
                <w:sz w:val="24"/>
                <w:szCs w:val="28"/>
                <w:lang w:eastAsia="uk-UA"/>
              </w:rPr>
              <w:t>а</w:t>
            </w:r>
            <w:proofErr w:type="spellEnd"/>
            <w:r w:rsidRPr="00826735">
              <w:rPr>
                <w:rFonts w:ascii="Times New Roman" w:eastAsia="Times New Roman" w:hAnsi="Times New Roman" w:cs="Times New Roman"/>
                <w:sz w:val="24"/>
                <w:szCs w:val="28"/>
                <w:lang w:eastAsia="uk-UA"/>
              </w:rPr>
              <w:t xml:space="preserve"> не може</w:t>
            </w:r>
            <w:r w:rsidR="00B750BD" w:rsidRPr="00826735">
              <w:rPr>
                <w:rFonts w:ascii="Times New Roman" w:eastAsia="Times New Roman" w:hAnsi="Times New Roman" w:cs="Times New Roman"/>
                <w:sz w:val="24"/>
                <w:szCs w:val="28"/>
                <w:lang w:eastAsia="uk-UA"/>
              </w:rPr>
              <w:t xml:space="preserve"> бути оцінений</w:t>
            </w:r>
            <w:r w:rsidR="00B750BD">
              <w:rPr>
                <w:rFonts w:ascii="Times New Roman" w:eastAsia="Times New Roman" w:hAnsi="Times New Roman" w:cs="Times New Roman"/>
                <w:sz w:val="24"/>
                <w:szCs w:val="28"/>
                <w:lang w:eastAsia="uk-UA"/>
              </w:rPr>
              <w:t>.</w:t>
            </w:r>
          </w:p>
          <w:p w:rsidR="001A5A02" w:rsidRPr="00826735" w:rsidRDefault="001A5A02" w:rsidP="001A5A02">
            <w:pPr>
              <w:rPr>
                <w:rFonts w:ascii="Times New Roman" w:eastAsia="Times New Roman" w:hAnsi="Times New Roman" w:cs="Times New Roman"/>
                <w:sz w:val="24"/>
                <w:szCs w:val="28"/>
                <w:lang w:eastAsia="uk-UA"/>
              </w:rPr>
            </w:pPr>
          </w:p>
          <w:p w:rsidR="001A5A02" w:rsidRPr="00826735" w:rsidRDefault="001A5A02" w:rsidP="001A5A02">
            <w:pPr>
              <w:rPr>
                <w:rFonts w:ascii="Times New Roman" w:eastAsia="Times New Roman" w:hAnsi="Times New Roman" w:cs="Times New Roman"/>
                <w:sz w:val="24"/>
                <w:szCs w:val="28"/>
                <w:u w:val="single"/>
                <w:lang w:eastAsia="uk-UA"/>
              </w:rPr>
            </w:pPr>
            <w:r w:rsidRPr="00826735">
              <w:rPr>
                <w:rFonts w:ascii="Times New Roman" w:eastAsia="Times New Roman" w:hAnsi="Times New Roman" w:cs="Times New Roman"/>
                <w:sz w:val="24"/>
                <w:szCs w:val="28"/>
                <w:u w:val="single"/>
                <w:lang w:eastAsia="uk-UA"/>
              </w:rPr>
              <w:t>Для суб’єктів господарювання:</w:t>
            </w:r>
          </w:p>
          <w:p w:rsidR="001A5A02" w:rsidRPr="00826735" w:rsidRDefault="001A5A02" w:rsidP="001A5A02">
            <w:pPr>
              <w:spacing w:after="42"/>
              <w:jc w:val="both"/>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sz w:val="24"/>
                <w:szCs w:val="28"/>
                <w:lang w:eastAsia="uk-UA"/>
              </w:rPr>
              <w:t xml:space="preserve">вигода полягає у відсутності необхідності витрат (часових та фінансових) на ознайомлення з новими </w:t>
            </w:r>
            <w:r w:rsidRPr="00826735">
              <w:rPr>
                <w:rFonts w:ascii="Times New Roman" w:eastAsia="Times New Roman" w:hAnsi="Times New Roman" w:cs="Times New Roman"/>
                <w:sz w:val="24"/>
                <w:szCs w:val="24"/>
                <w:lang w:eastAsia="uk-UA"/>
              </w:rPr>
              <w:t>вимогами регулювання</w:t>
            </w:r>
          </w:p>
        </w:tc>
        <w:tc>
          <w:tcPr>
            <w:tcW w:w="2299" w:type="dxa"/>
          </w:tcPr>
          <w:p w:rsidR="001A5A02" w:rsidRPr="00826735" w:rsidRDefault="001A5A02" w:rsidP="001A5A02">
            <w:pPr>
              <w:tabs>
                <w:tab w:val="left" w:pos="190"/>
                <w:tab w:val="left" w:pos="243"/>
              </w:tabs>
              <w:jc w:val="both"/>
              <w:rPr>
                <w:rFonts w:ascii="Times New Roman" w:hAnsi="Times New Roman" w:cs="Times New Roman"/>
                <w:sz w:val="24"/>
                <w:szCs w:val="24"/>
                <w:u w:val="single"/>
              </w:rPr>
            </w:pPr>
            <w:r w:rsidRPr="00826735">
              <w:rPr>
                <w:rFonts w:ascii="Times New Roman" w:hAnsi="Times New Roman" w:cs="Times New Roman"/>
                <w:sz w:val="24"/>
                <w:szCs w:val="24"/>
                <w:u w:val="single"/>
              </w:rPr>
              <w:t>Для держави:</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1) зниження авторитету правової системи через правову невизначеність;</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2) проблеми з правозастосуванням, зокрема суперечності в діючих нормативно-правових актах;</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3) втрата довіри з боку громадян і бізнесу до державних інституцій та законодавства.</w:t>
            </w:r>
          </w:p>
          <w:p w:rsidR="001A5A02" w:rsidRPr="00826735" w:rsidRDefault="001A5A02" w:rsidP="001A5A02">
            <w:pPr>
              <w:tabs>
                <w:tab w:val="left" w:pos="190"/>
                <w:tab w:val="left" w:pos="243"/>
              </w:tabs>
              <w:jc w:val="both"/>
              <w:rPr>
                <w:rFonts w:ascii="Times New Roman" w:hAnsi="Times New Roman" w:cs="Times New Roman"/>
                <w:sz w:val="24"/>
                <w:szCs w:val="24"/>
              </w:rPr>
            </w:pP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u w:val="single"/>
              </w:rPr>
              <w:t>Для суб’єктів господарювання</w:t>
            </w:r>
            <w:r w:rsidRPr="00826735">
              <w:rPr>
                <w:rFonts w:ascii="Times New Roman" w:hAnsi="Times New Roman" w:cs="Times New Roman"/>
                <w:sz w:val="24"/>
                <w:szCs w:val="24"/>
              </w:rPr>
              <w:t>:</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1) непередбачувані фінансові витрати через правову невизначеність;</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2) втрата потенційного прибутку через неможливість реалізовувати певні заплановані операції;</w:t>
            </w:r>
          </w:p>
          <w:p w:rsidR="001A5A02" w:rsidRPr="00826735" w:rsidRDefault="001A5A02" w:rsidP="00EB2677">
            <w:pPr>
              <w:jc w:val="both"/>
              <w:rPr>
                <w:rFonts w:ascii="Times New Roman" w:eastAsia="Times New Roman" w:hAnsi="Times New Roman" w:cs="Times New Roman"/>
                <w:bCs/>
                <w:sz w:val="24"/>
                <w:szCs w:val="24"/>
                <w:lang w:eastAsia="ru-RU"/>
              </w:rPr>
            </w:pPr>
            <w:r w:rsidRPr="00826735">
              <w:rPr>
                <w:rFonts w:ascii="Times New Roman" w:hAnsi="Times New Roman" w:cs="Times New Roman"/>
                <w:sz w:val="24"/>
                <w:szCs w:val="24"/>
              </w:rPr>
              <w:t>3)</w:t>
            </w:r>
            <w:r w:rsidRPr="00826735">
              <w:rPr>
                <w:rFonts w:ascii="Times New Roman" w:hAnsi="Times New Roman" w:cs="Times New Roman"/>
                <w:sz w:val="24"/>
                <w:szCs w:val="24"/>
                <w:lang w:val="en-US"/>
              </w:rPr>
              <w:t> </w:t>
            </w:r>
            <w:r w:rsidRPr="00826735">
              <w:rPr>
                <w:rFonts w:ascii="Times New Roman" w:hAnsi="Times New Roman" w:cs="Times New Roman"/>
                <w:sz w:val="24"/>
                <w:szCs w:val="24"/>
              </w:rPr>
              <w:t xml:space="preserve">збільшення витрат часу та ресурсів на узгодження своїх дій з іншими </w:t>
            </w:r>
            <w:r w:rsidR="00EB2677" w:rsidRPr="00826735">
              <w:rPr>
                <w:rFonts w:ascii="Times New Roman" w:hAnsi="Times New Roman" w:cs="Times New Roman"/>
                <w:sz w:val="24"/>
                <w:szCs w:val="24"/>
              </w:rPr>
              <w:t>суб’єктами</w:t>
            </w:r>
          </w:p>
        </w:tc>
        <w:tc>
          <w:tcPr>
            <w:tcW w:w="2378" w:type="dxa"/>
          </w:tcPr>
          <w:p w:rsidR="001A5A02" w:rsidRPr="00826735" w:rsidRDefault="001A5A02" w:rsidP="001A5A02">
            <w:pPr>
              <w:jc w:val="both"/>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sz w:val="24"/>
                <w:szCs w:val="28"/>
                <w:lang w:eastAsia="uk-UA"/>
              </w:rPr>
              <w:t>Є найгіршою з альтернатив, оскільки не відповідає інтересам жодної заінтересованої сторони</w:t>
            </w:r>
          </w:p>
        </w:tc>
      </w:tr>
      <w:tr w:rsidR="001A5A02" w:rsidRPr="00826735" w:rsidTr="00F55E9A">
        <w:trPr>
          <w:jc w:val="center"/>
        </w:trPr>
        <w:tc>
          <w:tcPr>
            <w:tcW w:w="1915" w:type="dxa"/>
          </w:tcPr>
          <w:p w:rsidR="001A5A02" w:rsidRPr="00826735" w:rsidRDefault="001A5A02" w:rsidP="001A5A02">
            <w:pPr>
              <w:spacing w:before="21" w:after="21"/>
              <w:ind w:left="-30" w:right="-30"/>
              <w:jc w:val="center"/>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bCs/>
                <w:sz w:val="24"/>
                <w:szCs w:val="24"/>
                <w:lang w:eastAsia="ru-RU"/>
              </w:rPr>
              <w:lastRenderedPageBreak/>
              <w:t>Альтернатива 2</w:t>
            </w:r>
          </w:p>
        </w:tc>
        <w:tc>
          <w:tcPr>
            <w:tcW w:w="3042" w:type="dxa"/>
          </w:tcPr>
          <w:p w:rsidR="001A5A02" w:rsidRPr="00826735" w:rsidRDefault="001A5A02" w:rsidP="001A5A02">
            <w:pPr>
              <w:tabs>
                <w:tab w:val="left" w:pos="190"/>
                <w:tab w:val="left" w:pos="243"/>
              </w:tabs>
              <w:jc w:val="both"/>
              <w:rPr>
                <w:rFonts w:ascii="Times New Roman" w:hAnsi="Times New Roman" w:cs="Times New Roman"/>
                <w:sz w:val="24"/>
                <w:szCs w:val="24"/>
                <w:u w:val="single"/>
              </w:rPr>
            </w:pPr>
            <w:r w:rsidRPr="00826735">
              <w:rPr>
                <w:rFonts w:ascii="Times New Roman" w:hAnsi="Times New Roman" w:cs="Times New Roman"/>
                <w:sz w:val="24"/>
                <w:szCs w:val="24"/>
                <w:u w:val="single"/>
              </w:rPr>
              <w:t>Для держави:</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1) підвищення авторитету державних інституцій через усунення правової невизначеності;</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2) покращення правозастосування та усунення суперечностей у діючих нормах.</w:t>
            </w:r>
          </w:p>
          <w:p w:rsidR="001A5A02" w:rsidRPr="00826735" w:rsidRDefault="001A5A02" w:rsidP="001A5A02">
            <w:pPr>
              <w:tabs>
                <w:tab w:val="left" w:pos="190"/>
                <w:tab w:val="left" w:pos="243"/>
              </w:tabs>
              <w:jc w:val="both"/>
              <w:rPr>
                <w:rFonts w:ascii="Times New Roman" w:hAnsi="Times New Roman" w:cs="Times New Roman"/>
                <w:sz w:val="24"/>
                <w:szCs w:val="24"/>
              </w:rPr>
            </w:pPr>
          </w:p>
          <w:p w:rsidR="001A5A02" w:rsidRPr="00826735" w:rsidRDefault="001A5A02" w:rsidP="001A5A02">
            <w:pPr>
              <w:tabs>
                <w:tab w:val="left" w:pos="190"/>
                <w:tab w:val="left" w:pos="243"/>
              </w:tabs>
              <w:jc w:val="both"/>
              <w:rPr>
                <w:rFonts w:ascii="Times New Roman" w:hAnsi="Times New Roman" w:cs="Times New Roman"/>
                <w:sz w:val="24"/>
                <w:szCs w:val="24"/>
                <w:u w:val="single"/>
              </w:rPr>
            </w:pPr>
            <w:r w:rsidRPr="00826735">
              <w:rPr>
                <w:rFonts w:ascii="Times New Roman" w:hAnsi="Times New Roman" w:cs="Times New Roman"/>
                <w:sz w:val="24"/>
                <w:szCs w:val="24"/>
                <w:u w:val="single"/>
              </w:rPr>
              <w:t>Для суб’єктів господарювання:</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1) зменшення непередбачуваних витрат завдяки чітким і стабільним правовим нормам;</w:t>
            </w:r>
          </w:p>
          <w:p w:rsidR="001A5A02" w:rsidRPr="00826735" w:rsidRDefault="001A5A02" w:rsidP="001A5A02">
            <w:pPr>
              <w:spacing w:before="21" w:after="21"/>
              <w:jc w:val="both"/>
              <w:rPr>
                <w:rFonts w:ascii="Times New Roman" w:eastAsia="Times New Roman" w:hAnsi="Times New Roman" w:cs="Times New Roman"/>
                <w:bCs/>
                <w:sz w:val="24"/>
                <w:szCs w:val="24"/>
                <w:lang w:eastAsia="ru-RU"/>
              </w:rPr>
            </w:pPr>
            <w:r w:rsidRPr="00826735">
              <w:rPr>
                <w:rFonts w:ascii="Times New Roman" w:hAnsi="Times New Roman" w:cs="Times New Roman"/>
                <w:sz w:val="24"/>
                <w:szCs w:val="24"/>
              </w:rPr>
              <w:t>2) ефективне фінансове планування та уникнення витрат на юридичні спори</w:t>
            </w:r>
          </w:p>
        </w:tc>
        <w:tc>
          <w:tcPr>
            <w:tcW w:w="2299" w:type="dxa"/>
          </w:tcPr>
          <w:p w:rsidR="001A5A02" w:rsidRPr="00826735" w:rsidRDefault="001A5A02" w:rsidP="001A5A02">
            <w:pPr>
              <w:tabs>
                <w:tab w:val="left" w:pos="190"/>
                <w:tab w:val="left" w:pos="243"/>
              </w:tabs>
              <w:jc w:val="both"/>
              <w:rPr>
                <w:rFonts w:ascii="Times New Roman" w:hAnsi="Times New Roman" w:cs="Times New Roman"/>
                <w:sz w:val="24"/>
                <w:szCs w:val="24"/>
                <w:u w:val="single"/>
              </w:rPr>
            </w:pPr>
            <w:r w:rsidRPr="00826735">
              <w:rPr>
                <w:rFonts w:ascii="Times New Roman" w:hAnsi="Times New Roman" w:cs="Times New Roman"/>
                <w:sz w:val="24"/>
                <w:szCs w:val="24"/>
                <w:u w:val="single"/>
              </w:rPr>
              <w:t>Для держави</w:t>
            </w:r>
            <w:r w:rsidR="00EB2677">
              <w:rPr>
                <w:rFonts w:ascii="Times New Roman" w:hAnsi="Times New Roman" w:cs="Times New Roman"/>
                <w:sz w:val="24"/>
                <w:szCs w:val="24"/>
                <w:u w:val="single"/>
              </w:rPr>
              <w:t>:</w:t>
            </w:r>
            <w:r w:rsidRPr="00826735">
              <w:rPr>
                <w:rFonts w:ascii="Times New Roman" w:hAnsi="Times New Roman" w:cs="Times New Roman"/>
                <w:sz w:val="24"/>
                <w:szCs w:val="24"/>
                <w:u w:val="single"/>
              </w:rPr>
              <w:t xml:space="preserve"> </w:t>
            </w:r>
          </w:p>
          <w:p w:rsidR="001A5A02" w:rsidRPr="00826735" w:rsidRDefault="001A5A02" w:rsidP="001A5A02">
            <w:pPr>
              <w:tabs>
                <w:tab w:val="left" w:pos="190"/>
                <w:tab w:val="left" w:pos="243"/>
              </w:tabs>
              <w:jc w:val="both"/>
              <w:rPr>
                <w:rFonts w:ascii="Times New Roman" w:hAnsi="Times New Roman" w:cs="Times New Roman"/>
                <w:sz w:val="24"/>
                <w:szCs w:val="24"/>
              </w:rPr>
            </w:pPr>
            <w:r w:rsidRPr="00826735">
              <w:rPr>
                <w:rFonts w:ascii="Times New Roman" w:hAnsi="Times New Roman" w:cs="Times New Roman"/>
                <w:sz w:val="24"/>
                <w:szCs w:val="24"/>
              </w:rPr>
              <w:t xml:space="preserve">витрати на підготовку та прийняття регуляторного </w:t>
            </w:r>
            <w:proofErr w:type="spellStart"/>
            <w:r w:rsidRPr="00826735">
              <w:rPr>
                <w:rFonts w:ascii="Times New Roman" w:hAnsi="Times New Roman" w:cs="Times New Roman"/>
                <w:sz w:val="24"/>
                <w:szCs w:val="24"/>
              </w:rPr>
              <w:t>акт</w:t>
            </w:r>
            <w:r w:rsidR="0004015F">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Водночас, оскільки заходи з підготовки та прийняття регуляторного </w:t>
            </w:r>
            <w:proofErr w:type="spellStart"/>
            <w:r w:rsidRPr="00826735">
              <w:rPr>
                <w:rFonts w:ascii="Times New Roman" w:hAnsi="Times New Roman" w:cs="Times New Roman"/>
                <w:sz w:val="24"/>
                <w:szCs w:val="24"/>
              </w:rPr>
              <w:t>акт</w:t>
            </w:r>
            <w:r w:rsidR="0004015F">
              <w:rPr>
                <w:rFonts w:ascii="Times New Roman" w:hAnsi="Times New Roman" w:cs="Times New Roman"/>
                <w:sz w:val="24"/>
                <w:szCs w:val="24"/>
              </w:rPr>
              <w:t>а</w:t>
            </w:r>
            <w:proofErr w:type="spellEnd"/>
            <w:r w:rsidRPr="00826735">
              <w:rPr>
                <w:rFonts w:ascii="Times New Roman" w:hAnsi="Times New Roman" w:cs="Times New Roman"/>
                <w:sz w:val="24"/>
                <w:szCs w:val="24"/>
              </w:rPr>
              <w:t xml:space="preserve">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p w:rsidR="001A5A02" w:rsidRPr="00826735" w:rsidRDefault="001A5A02" w:rsidP="001A5A02">
            <w:pPr>
              <w:tabs>
                <w:tab w:val="left" w:pos="190"/>
                <w:tab w:val="left" w:pos="243"/>
              </w:tabs>
              <w:jc w:val="both"/>
              <w:rPr>
                <w:rFonts w:ascii="Times New Roman" w:hAnsi="Times New Roman" w:cs="Times New Roman"/>
                <w:sz w:val="24"/>
                <w:szCs w:val="24"/>
                <w:u w:val="single"/>
              </w:rPr>
            </w:pPr>
          </w:p>
          <w:p w:rsidR="001A5A02" w:rsidRPr="00826735" w:rsidRDefault="001A5A02" w:rsidP="001A5A02">
            <w:pPr>
              <w:tabs>
                <w:tab w:val="left" w:pos="190"/>
                <w:tab w:val="left" w:pos="243"/>
              </w:tabs>
              <w:jc w:val="both"/>
              <w:rPr>
                <w:rFonts w:ascii="Times New Roman" w:hAnsi="Times New Roman" w:cs="Times New Roman"/>
                <w:sz w:val="24"/>
                <w:szCs w:val="24"/>
                <w:u w:val="single"/>
              </w:rPr>
            </w:pPr>
            <w:r w:rsidRPr="00826735">
              <w:rPr>
                <w:rFonts w:ascii="Times New Roman" w:hAnsi="Times New Roman" w:cs="Times New Roman"/>
                <w:sz w:val="24"/>
                <w:szCs w:val="24"/>
                <w:u w:val="single"/>
              </w:rPr>
              <w:t>Для суб’єктів господарювання:</w:t>
            </w:r>
          </w:p>
          <w:p w:rsidR="001A5A02" w:rsidRPr="00826735" w:rsidRDefault="001A5A02" w:rsidP="001A5A02">
            <w:pPr>
              <w:spacing w:before="21" w:after="42"/>
              <w:jc w:val="both"/>
              <w:rPr>
                <w:rFonts w:ascii="Times New Roman" w:eastAsia="Times New Roman" w:hAnsi="Times New Roman" w:cs="Times New Roman"/>
                <w:bCs/>
                <w:sz w:val="24"/>
                <w:szCs w:val="24"/>
                <w:lang w:eastAsia="ru-RU"/>
              </w:rPr>
            </w:pPr>
            <w:r w:rsidRPr="00826735">
              <w:rPr>
                <w:rFonts w:ascii="Times New Roman" w:hAnsi="Times New Roman" w:cs="Times New Roman"/>
                <w:sz w:val="24"/>
                <w:szCs w:val="24"/>
              </w:rPr>
              <w:t>витрати, пов’язані з необхідністю ознайомлення з новими вимогами регулювання</w:t>
            </w:r>
          </w:p>
        </w:tc>
        <w:tc>
          <w:tcPr>
            <w:tcW w:w="2378" w:type="dxa"/>
          </w:tcPr>
          <w:p w:rsidR="001A5A02" w:rsidRPr="00826735" w:rsidRDefault="001A5A02" w:rsidP="001A5A02">
            <w:pPr>
              <w:spacing w:before="21" w:after="21"/>
              <w:jc w:val="both"/>
              <w:rPr>
                <w:rFonts w:ascii="Times New Roman" w:eastAsia="Times New Roman" w:hAnsi="Times New Roman" w:cs="Times New Roman"/>
                <w:bCs/>
                <w:sz w:val="24"/>
                <w:szCs w:val="24"/>
                <w:lang w:eastAsia="ru-RU"/>
              </w:rPr>
            </w:pPr>
            <w:r w:rsidRPr="00826735">
              <w:rPr>
                <w:rFonts w:ascii="Times New Roman" w:eastAsia="Times New Roman" w:hAnsi="Times New Roman" w:cs="Times New Roman"/>
                <w:sz w:val="24"/>
                <w:szCs w:val="28"/>
                <w:lang w:eastAsia="uk-UA"/>
              </w:rPr>
              <w:t>Є найоптимальнішою серед запропонованих альтернатив, оскільки відповідає вимогам регуляторної політики і досягає цілей державного регулювання. Є вигідною для всіх заінтересованих сторін</w:t>
            </w:r>
          </w:p>
        </w:tc>
      </w:tr>
    </w:tbl>
    <w:p w:rsidR="00F55E9A" w:rsidRPr="00826735" w:rsidRDefault="00F55E9A" w:rsidP="00841F72">
      <w:pPr>
        <w:spacing w:after="0" w:line="240" w:lineRule="auto"/>
        <w:jc w:val="center"/>
        <w:rPr>
          <w:rFonts w:ascii="Times New Roman" w:eastAsia="Times New Roman" w:hAnsi="Times New Roman" w:cs="Times New Roman"/>
          <w:bCs/>
          <w:sz w:val="18"/>
          <w:szCs w:val="18"/>
          <w:lang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9"/>
        <w:gridCol w:w="4457"/>
        <w:gridCol w:w="3071"/>
      </w:tblGrid>
      <w:tr w:rsidR="00892DE3" w:rsidRPr="00826735" w:rsidTr="00892DE3">
        <w:trPr>
          <w:trHeight w:val="1030"/>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826735" w:rsidRDefault="00892DE3">
            <w:pPr>
              <w:spacing w:after="84" w:line="240" w:lineRule="auto"/>
              <w:jc w:val="center"/>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Рейтинг</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826735" w:rsidRDefault="00892DE3">
            <w:pPr>
              <w:spacing w:after="84" w:line="240" w:lineRule="auto"/>
              <w:jc w:val="center"/>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826735" w:rsidRDefault="00892DE3">
            <w:pPr>
              <w:spacing w:after="84" w:line="240" w:lineRule="auto"/>
              <w:jc w:val="center"/>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 xml:space="preserve">Оцінка ризику зовнішніх чинників на дію запропонованого регуляторного </w:t>
            </w:r>
            <w:proofErr w:type="spellStart"/>
            <w:r w:rsidRPr="00826735">
              <w:rPr>
                <w:rFonts w:ascii="Times New Roman" w:eastAsia="Times New Roman" w:hAnsi="Times New Roman" w:cs="Times New Roman"/>
                <w:sz w:val="24"/>
                <w:szCs w:val="24"/>
              </w:rPr>
              <w:t>акта</w:t>
            </w:r>
            <w:proofErr w:type="spellEnd"/>
          </w:p>
        </w:tc>
      </w:tr>
      <w:tr w:rsidR="00892DE3" w:rsidRPr="00826735" w:rsidTr="00892DE3">
        <w:trPr>
          <w:trHeight w:val="745"/>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spacing w:after="0" w:line="240" w:lineRule="auto"/>
              <w:rPr>
                <w:rFonts w:ascii="Times New Roman" w:eastAsia="Times New Roman" w:hAnsi="Times New Roman" w:cs="Times New Roman"/>
                <w:sz w:val="24"/>
                <w:szCs w:val="24"/>
              </w:rPr>
            </w:pPr>
            <w:r w:rsidRPr="00826735">
              <w:rPr>
                <w:rFonts w:ascii="Times New Roman" w:eastAsia="Times New Roman" w:hAnsi="Times New Roman" w:cs="Times New Roman"/>
                <w:sz w:val="24"/>
                <w:szCs w:val="28"/>
              </w:rPr>
              <w:t>Альтернатива 1: залишення існуючої ситуації без змін</w:t>
            </w:r>
            <w:r w:rsidRPr="00826735">
              <w:rPr>
                <w:rFonts w:ascii="Times New Roman" w:eastAsia="Times New Roman" w:hAnsi="Times New Roman" w:cs="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pStyle w:val="af7"/>
              <w:rPr>
                <w:rFonts w:ascii="Times New Roman" w:hAnsi="Times New Roman" w:cs="Times New Roman"/>
                <w:sz w:val="24"/>
                <w:szCs w:val="24"/>
              </w:rPr>
            </w:pPr>
            <w:r w:rsidRPr="00826735">
              <w:rPr>
                <w:rFonts w:ascii="Times New Roman" w:eastAsia="Times New Roman" w:hAnsi="Times New Roman" w:cs="Times New Roman"/>
                <w:sz w:val="24"/>
                <w:szCs w:val="24"/>
              </w:rPr>
              <w:t>Ця альтернативна не може бути застосована</w:t>
            </w:r>
            <w:r w:rsidR="00A710A4">
              <w:rPr>
                <w:rFonts w:ascii="Times New Roman" w:eastAsia="Times New Roman" w:hAnsi="Times New Roman" w:cs="Times New Roman"/>
                <w:sz w:val="24"/>
                <w:szCs w:val="24"/>
              </w:rPr>
              <w:t>,</w:t>
            </w:r>
            <w:r w:rsidRPr="00826735">
              <w:rPr>
                <w:rFonts w:ascii="Times New Roman" w:eastAsia="Times New Roman" w:hAnsi="Times New Roman" w:cs="Times New Roman"/>
                <w:sz w:val="24"/>
                <w:szCs w:val="24"/>
              </w:rPr>
              <w:t xml:space="preserve"> оскільки не </w:t>
            </w:r>
            <w:r w:rsidRPr="00826735">
              <w:rPr>
                <w:rFonts w:ascii="Times New Roman" w:hAnsi="Times New Roman" w:cs="Times New Roman"/>
                <w:sz w:val="24"/>
                <w:szCs w:val="24"/>
              </w:rPr>
              <w:t>відповідає інтересам жодної заінтересованої сторони</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spacing w:after="0" w:line="240" w:lineRule="auto"/>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Ризик зовнішніх чинників відсутній</w:t>
            </w:r>
          </w:p>
        </w:tc>
      </w:tr>
      <w:tr w:rsidR="00892DE3" w:rsidRPr="00826735" w:rsidTr="00892DE3">
        <w:trPr>
          <w:trHeight w:val="834"/>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spacing w:after="0" w:line="240" w:lineRule="auto"/>
              <w:rPr>
                <w:rFonts w:ascii="Times New Roman" w:eastAsia="Times New Roman" w:hAnsi="Times New Roman" w:cs="Times New Roman"/>
                <w:sz w:val="24"/>
                <w:szCs w:val="24"/>
              </w:rPr>
            </w:pPr>
            <w:r w:rsidRPr="00826735">
              <w:rPr>
                <w:rFonts w:ascii="Times New Roman" w:eastAsia="Times New Roman" w:hAnsi="Times New Roman" w:cs="Times New Roman"/>
                <w:sz w:val="24"/>
                <w:szCs w:val="28"/>
              </w:rPr>
              <w:t xml:space="preserve">Альтернатива 2: прийняття </w:t>
            </w:r>
            <w:proofErr w:type="spellStart"/>
            <w:r w:rsidRPr="00826735">
              <w:rPr>
                <w:rFonts w:ascii="Times New Roman" w:eastAsia="Times New Roman" w:hAnsi="Times New Roman" w:cs="Times New Roman"/>
                <w:sz w:val="24"/>
                <w:szCs w:val="28"/>
              </w:rPr>
              <w:t>проєкту</w:t>
            </w:r>
            <w:proofErr w:type="spellEnd"/>
            <w:r w:rsidRPr="00826735">
              <w:rPr>
                <w:rFonts w:ascii="Times New Roman" w:eastAsia="Times New Roman" w:hAnsi="Times New Roman" w:cs="Times New Roman"/>
                <w:sz w:val="24"/>
                <w:szCs w:val="28"/>
              </w:rPr>
              <w:t xml:space="preserve"> </w:t>
            </w:r>
            <w:proofErr w:type="spellStart"/>
            <w:r w:rsidRPr="00826735">
              <w:rPr>
                <w:rFonts w:ascii="Times New Roman" w:eastAsia="Times New Roman" w:hAnsi="Times New Roman" w:cs="Times New Roman"/>
                <w:sz w:val="24"/>
                <w:szCs w:val="28"/>
              </w:rPr>
              <w:t>акта</w:t>
            </w:r>
            <w:proofErr w:type="spellEnd"/>
            <w:r w:rsidRPr="00826735">
              <w:rPr>
                <w:rFonts w:ascii="Times New Roman" w:eastAsia="Times New Roman" w:hAnsi="Times New Roman" w:cs="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spacing w:after="0" w:line="240" w:lineRule="auto"/>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Ця альтернатива досягає цілей державного регулювання та є вигідною для всіх заінтересованих сторін</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826735" w:rsidRDefault="00892DE3">
            <w:pPr>
              <w:spacing w:after="0" w:line="240" w:lineRule="auto"/>
              <w:rPr>
                <w:rFonts w:ascii="Times New Roman" w:eastAsia="Times New Roman" w:hAnsi="Times New Roman" w:cs="Times New Roman"/>
                <w:sz w:val="24"/>
                <w:szCs w:val="24"/>
              </w:rPr>
            </w:pPr>
            <w:r w:rsidRPr="00826735">
              <w:rPr>
                <w:rFonts w:ascii="Times New Roman" w:eastAsia="Times New Roman" w:hAnsi="Times New Roman" w:cs="Times New Roman"/>
                <w:sz w:val="24"/>
                <w:szCs w:val="24"/>
              </w:rPr>
              <w:t>Ризик зовнішніх чинників відсутній</w:t>
            </w:r>
          </w:p>
        </w:tc>
      </w:tr>
    </w:tbl>
    <w:p w:rsidR="00CC0148" w:rsidRPr="00826735" w:rsidRDefault="00CC0148" w:rsidP="00841F72">
      <w:pPr>
        <w:spacing w:after="0" w:line="240" w:lineRule="auto"/>
        <w:jc w:val="center"/>
        <w:rPr>
          <w:rFonts w:ascii="Times New Roman" w:eastAsia="Times New Roman" w:hAnsi="Times New Roman" w:cs="Times New Roman"/>
          <w:bCs/>
          <w:sz w:val="28"/>
          <w:szCs w:val="28"/>
          <w:lang w:eastAsia="ru-RU"/>
        </w:rPr>
      </w:pPr>
    </w:p>
    <w:p w:rsidR="00C92499" w:rsidRPr="00826735" w:rsidRDefault="00C92499" w:rsidP="003B446D">
      <w:pPr>
        <w:spacing w:after="0" w:line="360" w:lineRule="auto"/>
        <w:jc w:val="center"/>
        <w:outlineLvl w:val="0"/>
        <w:rPr>
          <w:rFonts w:ascii="Times New Roman" w:eastAsia="Times New Roman" w:hAnsi="Times New Roman" w:cs="Times New Roman"/>
          <w:b/>
          <w:bCs/>
          <w:sz w:val="28"/>
          <w:szCs w:val="28"/>
          <w:lang w:eastAsia="ru-RU"/>
        </w:rPr>
      </w:pPr>
      <w:r w:rsidRPr="00826735">
        <w:rPr>
          <w:rFonts w:ascii="Times New Roman" w:eastAsia="Times New Roman" w:hAnsi="Times New Roman" w:cs="Times New Roman"/>
          <w:b/>
          <w:bCs/>
          <w:sz w:val="28"/>
          <w:szCs w:val="28"/>
          <w:lang w:eastAsia="ru-RU"/>
        </w:rPr>
        <w:t>V. Механізми та заходи, які забезпечать розв’язання визначеної проблеми</w:t>
      </w:r>
    </w:p>
    <w:p w:rsidR="00C92499" w:rsidRPr="00A710A4" w:rsidRDefault="00C92499" w:rsidP="003B446D">
      <w:pPr>
        <w:spacing w:after="0" w:line="240" w:lineRule="auto"/>
        <w:ind w:firstLine="567"/>
        <w:jc w:val="both"/>
        <w:rPr>
          <w:rFonts w:ascii="Times New Roman" w:eastAsia="Times New Roman" w:hAnsi="Times New Roman" w:cs="Times New Roman"/>
          <w:bCs/>
          <w:iCs/>
          <w:sz w:val="28"/>
          <w:szCs w:val="28"/>
          <w:lang w:eastAsia="ru-RU"/>
        </w:rPr>
      </w:pPr>
      <w:r w:rsidRPr="00A710A4">
        <w:rPr>
          <w:rFonts w:ascii="Times New Roman" w:eastAsia="Times New Roman" w:hAnsi="Times New Roman" w:cs="Times New Roman"/>
          <w:bCs/>
          <w:iCs/>
          <w:sz w:val="28"/>
          <w:szCs w:val="28"/>
          <w:lang w:eastAsia="ru-RU"/>
        </w:rPr>
        <w:t>1.</w:t>
      </w:r>
      <w:r w:rsidR="003D2FCD">
        <w:rPr>
          <w:rFonts w:ascii="Times New Roman" w:eastAsia="Times New Roman" w:hAnsi="Times New Roman" w:cs="Times New Roman"/>
          <w:bCs/>
          <w:iCs/>
          <w:sz w:val="28"/>
          <w:szCs w:val="28"/>
          <w:lang w:eastAsia="ru-RU"/>
        </w:rPr>
        <w:t> </w:t>
      </w:r>
      <w:r w:rsidRPr="00A710A4">
        <w:rPr>
          <w:rFonts w:ascii="Times New Roman" w:eastAsia="Times New Roman" w:hAnsi="Times New Roman" w:cs="Times New Roman"/>
          <w:bCs/>
          <w:iCs/>
          <w:sz w:val="28"/>
          <w:szCs w:val="28"/>
          <w:lang w:eastAsia="ru-RU"/>
        </w:rPr>
        <w:t xml:space="preserve">Механізм дії регуляторного </w:t>
      </w:r>
      <w:proofErr w:type="spellStart"/>
      <w:r w:rsidRPr="00A710A4">
        <w:rPr>
          <w:rFonts w:ascii="Times New Roman" w:eastAsia="Times New Roman" w:hAnsi="Times New Roman" w:cs="Times New Roman"/>
          <w:bCs/>
          <w:iCs/>
          <w:sz w:val="28"/>
          <w:szCs w:val="28"/>
          <w:lang w:eastAsia="ru-RU"/>
        </w:rPr>
        <w:t>акта</w:t>
      </w:r>
      <w:proofErr w:type="spellEnd"/>
    </w:p>
    <w:p w:rsidR="00C92499" w:rsidRPr="00826735" w:rsidRDefault="00C92499" w:rsidP="003B446D">
      <w:pPr>
        <w:widowControl w:val="0"/>
        <w:spacing w:after="0" w:line="240" w:lineRule="auto"/>
        <w:ind w:right="-2"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 xml:space="preserve">Основним механізмом, що забезпечить розв’язання визначеної проблеми, є прийняття </w:t>
      </w:r>
      <w:proofErr w:type="spellStart"/>
      <w:r w:rsidRPr="00826735">
        <w:rPr>
          <w:rFonts w:ascii="Times New Roman" w:eastAsia="Times New Roman" w:hAnsi="Times New Roman" w:cs="Times New Roman"/>
          <w:bCs/>
          <w:sz w:val="28"/>
          <w:szCs w:val="28"/>
          <w:lang w:eastAsia="ru-RU"/>
        </w:rPr>
        <w:t>про</w:t>
      </w:r>
      <w:r w:rsidR="00A710A4">
        <w:rPr>
          <w:rFonts w:ascii="Times New Roman" w:eastAsia="Times New Roman" w:hAnsi="Times New Roman" w:cs="Times New Roman"/>
          <w:bCs/>
          <w:sz w:val="28"/>
          <w:szCs w:val="28"/>
          <w:lang w:eastAsia="ru-RU"/>
        </w:rPr>
        <w:t>є</w:t>
      </w:r>
      <w:r w:rsidRPr="00826735">
        <w:rPr>
          <w:rFonts w:ascii="Times New Roman" w:eastAsia="Times New Roman" w:hAnsi="Times New Roman" w:cs="Times New Roman"/>
          <w:bCs/>
          <w:sz w:val="28"/>
          <w:szCs w:val="28"/>
          <w:lang w:eastAsia="ru-RU"/>
        </w:rPr>
        <w:t>кту</w:t>
      </w:r>
      <w:proofErr w:type="spellEnd"/>
      <w:r w:rsidRPr="00826735">
        <w:rPr>
          <w:rFonts w:ascii="Times New Roman" w:eastAsia="Times New Roman" w:hAnsi="Times New Roman" w:cs="Times New Roman"/>
          <w:bCs/>
          <w:sz w:val="28"/>
          <w:szCs w:val="28"/>
          <w:lang w:eastAsia="ru-RU"/>
        </w:rPr>
        <w:t xml:space="preserve"> наказу</w:t>
      </w:r>
      <w:r w:rsidR="00E3781F" w:rsidRPr="00826735">
        <w:rPr>
          <w:rFonts w:ascii="Times New Roman" w:eastAsia="Times New Roman" w:hAnsi="Times New Roman" w:cs="Times New Roman"/>
          <w:bCs/>
          <w:sz w:val="28"/>
          <w:szCs w:val="28"/>
          <w:lang w:eastAsia="ru-RU"/>
        </w:rPr>
        <w:t xml:space="preserve"> Міністерства фінансів України «</w:t>
      </w:r>
      <w:r w:rsidR="00E3781F" w:rsidRPr="00826735">
        <w:rPr>
          <w:rFonts w:ascii="Times New Roman" w:hAnsi="Times New Roman" w:cs="Times New Roman"/>
          <w:bCs/>
          <w:sz w:val="28"/>
          <w:szCs w:val="28"/>
        </w:rPr>
        <w:t xml:space="preserve">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w:t>
      </w:r>
      <w:r w:rsidR="00E3781F" w:rsidRPr="00826735">
        <w:rPr>
          <w:rFonts w:ascii="Times New Roman" w:hAnsi="Times New Roman" w:cs="Times New Roman"/>
          <w:bCs/>
          <w:sz w:val="28"/>
          <w:szCs w:val="28"/>
        </w:rPr>
        <w:lastRenderedPageBreak/>
        <w:t>місце, узгоджене з митним органом призначення</w:t>
      </w:r>
      <w:r w:rsidR="00E3781F" w:rsidRPr="00826735">
        <w:rPr>
          <w:rFonts w:ascii="Times New Roman" w:eastAsia="Times New Roman" w:hAnsi="Times New Roman" w:cs="Times New Roman"/>
          <w:bCs/>
          <w:sz w:val="28"/>
          <w:szCs w:val="28"/>
          <w:lang w:eastAsia="ru-RU"/>
        </w:rPr>
        <w:t>»</w:t>
      </w:r>
      <w:r w:rsidRPr="00826735">
        <w:rPr>
          <w:rFonts w:ascii="Times New Roman" w:eastAsia="Times New Roman" w:hAnsi="Times New Roman" w:cs="Times New Roman"/>
          <w:bCs/>
          <w:sz w:val="28"/>
          <w:szCs w:val="28"/>
          <w:lang w:eastAsia="ru-RU"/>
        </w:rPr>
        <w:t>.</w:t>
      </w:r>
    </w:p>
    <w:p w:rsidR="00751A48" w:rsidRPr="00826735" w:rsidRDefault="00C92499" w:rsidP="00751A48">
      <w:pPr>
        <w:spacing w:after="0" w:line="240" w:lineRule="auto"/>
        <w:ind w:firstLine="567"/>
        <w:jc w:val="both"/>
        <w:rPr>
          <w:rFonts w:ascii="Times New Roman" w:eastAsia="Times New Roman" w:hAnsi="Times New Roman" w:cs="Times New Roman"/>
          <w:bCs/>
          <w:sz w:val="28"/>
          <w:szCs w:val="28"/>
          <w:lang w:eastAsia="ru-RU"/>
        </w:rPr>
      </w:pPr>
      <w:r w:rsidRPr="00826735">
        <w:rPr>
          <w:rFonts w:ascii="Times New Roman" w:eastAsia="Times New Roman" w:hAnsi="Times New Roman" w:cs="Times New Roman"/>
          <w:bCs/>
          <w:sz w:val="28"/>
          <w:szCs w:val="28"/>
          <w:lang w:eastAsia="ru-RU"/>
        </w:rPr>
        <w:t xml:space="preserve">Реалізація положень </w:t>
      </w:r>
      <w:proofErr w:type="spellStart"/>
      <w:r w:rsidRPr="00826735">
        <w:rPr>
          <w:rFonts w:ascii="Times New Roman" w:eastAsia="Times New Roman" w:hAnsi="Times New Roman" w:cs="Times New Roman"/>
          <w:bCs/>
          <w:sz w:val="28"/>
          <w:szCs w:val="28"/>
          <w:lang w:eastAsia="ru-RU"/>
        </w:rPr>
        <w:t>про</w:t>
      </w:r>
      <w:r w:rsidR="00282BEC">
        <w:rPr>
          <w:rFonts w:ascii="Times New Roman" w:eastAsia="Times New Roman" w:hAnsi="Times New Roman" w:cs="Times New Roman"/>
          <w:bCs/>
          <w:sz w:val="28"/>
          <w:szCs w:val="28"/>
          <w:lang w:eastAsia="ru-RU"/>
        </w:rPr>
        <w:t>є</w:t>
      </w:r>
      <w:r w:rsidRPr="00826735">
        <w:rPr>
          <w:rFonts w:ascii="Times New Roman" w:eastAsia="Times New Roman" w:hAnsi="Times New Roman" w:cs="Times New Roman"/>
          <w:bCs/>
          <w:sz w:val="28"/>
          <w:szCs w:val="28"/>
          <w:lang w:eastAsia="ru-RU"/>
        </w:rPr>
        <w:t>кту</w:t>
      </w:r>
      <w:proofErr w:type="spellEnd"/>
      <w:r w:rsidRPr="00826735">
        <w:rPr>
          <w:rFonts w:ascii="Times New Roman" w:eastAsia="Times New Roman" w:hAnsi="Times New Roman" w:cs="Times New Roman"/>
          <w:bCs/>
          <w:sz w:val="28"/>
          <w:szCs w:val="28"/>
          <w:lang w:eastAsia="ru-RU"/>
        </w:rPr>
        <w:t xml:space="preserve"> </w:t>
      </w:r>
      <w:proofErr w:type="spellStart"/>
      <w:r w:rsidR="000E0710" w:rsidRPr="00826735">
        <w:rPr>
          <w:rFonts w:ascii="Times New Roman" w:eastAsia="Times New Roman" w:hAnsi="Times New Roman" w:cs="Times New Roman"/>
          <w:bCs/>
          <w:sz w:val="28"/>
          <w:szCs w:val="28"/>
          <w:lang w:eastAsia="ru-RU"/>
        </w:rPr>
        <w:t>акт</w:t>
      </w:r>
      <w:r w:rsidR="00751A48" w:rsidRPr="00826735">
        <w:rPr>
          <w:rFonts w:ascii="Times New Roman" w:eastAsia="Times New Roman" w:hAnsi="Times New Roman" w:cs="Times New Roman"/>
          <w:bCs/>
          <w:sz w:val="28"/>
          <w:szCs w:val="28"/>
          <w:lang w:eastAsia="ru-RU"/>
        </w:rPr>
        <w:t>а</w:t>
      </w:r>
      <w:proofErr w:type="spellEnd"/>
      <w:r w:rsidRPr="00826735">
        <w:rPr>
          <w:rFonts w:ascii="Times New Roman" w:eastAsia="Times New Roman" w:hAnsi="Times New Roman" w:cs="Times New Roman"/>
          <w:bCs/>
          <w:sz w:val="28"/>
          <w:szCs w:val="28"/>
          <w:lang w:eastAsia="ru-RU"/>
        </w:rPr>
        <w:t xml:space="preserve"> забезпечить</w:t>
      </w:r>
      <w:r w:rsidR="00E65000" w:rsidRPr="00826735">
        <w:rPr>
          <w:rFonts w:ascii="Times New Roman" w:eastAsia="Times New Roman" w:hAnsi="Times New Roman" w:cs="Times New Roman"/>
          <w:bCs/>
          <w:sz w:val="28"/>
          <w:szCs w:val="28"/>
          <w:lang w:eastAsia="ru-RU"/>
        </w:rPr>
        <w:t xml:space="preserve"> виконання вимог Кодексу в частині</w:t>
      </w:r>
      <w:r w:rsidR="00751A48" w:rsidRPr="00826735">
        <w:rPr>
          <w:rFonts w:ascii="Times New Roman" w:eastAsia="Times New Roman" w:hAnsi="Times New Roman" w:cs="Times New Roman"/>
          <w:bCs/>
          <w:sz w:val="28"/>
          <w:szCs w:val="28"/>
          <w:lang w:eastAsia="ru-RU"/>
        </w:rPr>
        <w:t xml:space="preserve"> </w:t>
      </w:r>
      <w:r w:rsidR="00751A48" w:rsidRPr="00826735">
        <w:rPr>
          <w:rFonts w:ascii="Times New Roman" w:eastAsia="Times New Roman" w:hAnsi="Times New Roman" w:cs="Times New Roman"/>
          <w:sz w:val="28"/>
          <w:szCs w:val="28"/>
          <w:lang w:eastAsia="uk-UA"/>
        </w:rPr>
        <w:t>встановлення чіткого п</w:t>
      </w:r>
      <w:r w:rsidR="00751A48" w:rsidRPr="00826735">
        <w:rPr>
          <w:rFonts w:ascii="Times New Roman" w:eastAsia="Times New Roman" w:hAnsi="Times New Roman" w:cs="Times New Roman"/>
          <w:bCs/>
          <w:sz w:val="28"/>
          <w:szCs w:val="28"/>
          <w:lang w:eastAsia="ru-RU"/>
        </w:rPr>
        <w:t>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w:t>
      </w:r>
      <w:r w:rsidR="00751A48" w:rsidRPr="00826735">
        <w:rPr>
          <w:rFonts w:ascii="Times New Roman" w:hAnsi="Times New Roman" w:cs="Times New Roman"/>
          <w:sz w:val="28"/>
          <w:szCs w:val="28"/>
        </w:rPr>
        <w:t>.</w:t>
      </w:r>
    </w:p>
    <w:p w:rsidR="00C92499" w:rsidRPr="00282BEC" w:rsidRDefault="00C92499" w:rsidP="00841F72">
      <w:pPr>
        <w:spacing w:after="0" w:line="240" w:lineRule="auto"/>
        <w:ind w:firstLine="567"/>
        <w:jc w:val="both"/>
        <w:rPr>
          <w:rFonts w:ascii="Times New Roman" w:eastAsia="Times New Roman" w:hAnsi="Times New Roman" w:cs="Times New Roman"/>
          <w:bCs/>
          <w:iCs/>
          <w:sz w:val="28"/>
          <w:szCs w:val="28"/>
          <w:lang w:eastAsia="ru-RU"/>
        </w:rPr>
      </w:pPr>
      <w:r w:rsidRPr="00282BEC">
        <w:rPr>
          <w:rFonts w:ascii="Times New Roman" w:eastAsia="Times New Roman" w:hAnsi="Times New Roman" w:cs="Times New Roman"/>
          <w:bCs/>
          <w:iCs/>
          <w:sz w:val="28"/>
          <w:szCs w:val="28"/>
          <w:lang w:eastAsia="ru-RU"/>
        </w:rPr>
        <w:t>2.</w:t>
      </w:r>
      <w:r w:rsidR="003D2FCD">
        <w:rPr>
          <w:rFonts w:ascii="Times New Roman" w:eastAsia="Times New Roman" w:hAnsi="Times New Roman" w:cs="Times New Roman"/>
          <w:bCs/>
          <w:iCs/>
          <w:sz w:val="28"/>
          <w:szCs w:val="28"/>
          <w:lang w:eastAsia="ru-RU"/>
        </w:rPr>
        <w:t> </w:t>
      </w:r>
      <w:r w:rsidRPr="00282BEC">
        <w:rPr>
          <w:rFonts w:ascii="Times New Roman" w:eastAsia="Times New Roman" w:hAnsi="Times New Roman" w:cs="Times New Roman"/>
          <w:bCs/>
          <w:iCs/>
          <w:sz w:val="28"/>
          <w:szCs w:val="28"/>
          <w:lang w:eastAsia="ru-RU"/>
        </w:rPr>
        <w:t>Організаційні заходи впровадження регуляторного заходу в дію</w:t>
      </w:r>
    </w:p>
    <w:p w:rsidR="00D23B92" w:rsidRPr="00826735" w:rsidRDefault="00D23B92" w:rsidP="00D23B92">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 xml:space="preserve">Для впровадження цього регуляторного </w:t>
      </w:r>
      <w:proofErr w:type="spellStart"/>
      <w:r w:rsidRPr="00826735">
        <w:rPr>
          <w:rFonts w:ascii="Times New Roman" w:hAnsi="Times New Roman" w:cs="Times New Roman"/>
          <w:sz w:val="28"/>
          <w:szCs w:val="28"/>
          <w:lang w:eastAsia="ru-RU"/>
        </w:rPr>
        <w:t>акта</w:t>
      </w:r>
      <w:proofErr w:type="spellEnd"/>
      <w:r w:rsidRPr="00826735">
        <w:rPr>
          <w:rFonts w:ascii="Times New Roman" w:hAnsi="Times New Roman" w:cs="Times New Roman"/>
          <w:sz w:val="28"/>
          <w:szCs w:val="28"/>
          <w:lang w:eastAsia="ru-RU"/>
        </w:rPr>
        <w:t xml:space="preserve"> в дію необхідно забезпечити:</w:t>
      </w:r>
    </w:p>
    <w:p w:rsidR="00D23B92" w:rsidRPr="00826735" w:rsidRDefault="00D23B92" w:rsidP="00D23B92">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 xml:space="preserve">інформування громадськості про вимоги регуляторного </w:t>
      </w:r>
      <w:proofErr w:type="spellStart"/>
      <w:r w:rsidRPr="00826735">
        <w:rPr>
          <w:rFonts w:ascii="Times New Roman" w:hAnsi="Times New Roman" w:cs="Times New Roman"/>
          <w:sz w:val="28"/>
          <w:szCs w:val="28"/>
          <w:lang w:eastAsia="ru-RU"/>
        </w:rPr>
        <w:t>акта</w:t>
      </w:r>
      <w:proofErr w:type="spellEnd"/>
      <w:r w:rsidRPr="00826735">
        <w:rPr>
          <w:rFonts w:ascii="Times New Roman" w:hAnsi="Times New Roman" w:cs="Times New Roman"/>
          <w:sz w:val="28"/>
          <w:szCs w:val="28"/>
          <w:lang w:eastAsia="ru-RU"/>
        </w:rPr>
        <w:t xml:space="preserve"> шляхом його оприлюднення;</w:t>
      </w:r>
    </w:p>
    <w:p w:rsidR="00D23B92" w:rsidRPr="00826735" w:rsidRDefault="00D23B92" w:rsidP="00D23B92">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 xml:space="preserve">надання методичної допомоги та консультацій суб’єктам господарювання, на яких поширюється дія регуляторного </w:t>
      </w:r>
      <w:proofErr w:type="spellStart"/>
      <w:r w:rsidRPr="00826735">
        <w:rPr>
          <w:rFonts w:ascii="Times New Roman" w:hAnsi="Times New Roman" w:cs="Times New Roman"/>
          <w:sz w:val="28"/>
          <w:szCs w:val="28"/>
          <w:lang w:eastAsia="ru-RU"/>
        </w:rPr>
        <w:t>акта</w:t>
      </w:r>
      <w:proofErr w:type="spellEnd"/>
      <w:r w:rsidR="00BA4F65">
        <w:rPr>
          <w:rFonts w:ascii="Times New Roman" w:hAnsi="Times New Roman" w:cs="Times New Roman"/>
          <w:sz w:val="28"/>
          <w:szCs w:val="28"/>
          <w:lang w:eastAsia="ru-RU"/>
        </w:rPr>
        <w:t>,</w:t>
      </w:r>
      <w:r w:rsidRPr="00826735">
        <w:rPr>
          <w:rFonts w:ascii="Times New Roman" w:hAnsi="Times New Roman" w:cs="Times New Roman"/>
          <w:sz w:val="28"/>
          <w:szCs w:val="28"/>
          <w:lang w:eastAsia="ru-RU"/>
        </w:rPr>
        <w:t xml:space="preserve"> та контроль за його виконанням суб’єктами господарювання.</w:t>
      </w:r>
    </w:p>
    <w:p w:rsidR="00D23B92" w:rsidRPr="00826735" w:rsidRDefault="00D23B92" w:rsidP="00D23B92">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 xml:space="preserve">Ризику впливу зовнішніх факторів на дію регуляторного </w:t>
      </w:r>
      <w:proofErr w:type="spellStart"/>
      <w:r w:rsidRPr="00826735">
        <w:rPr>
          <w:rFonts w:ascii="Times New Roman" w:hAnsi="Times New Roman" w:cs="Times New Roman"/>
          <w:sz w:val="28"/>
          <w:szCs w:val="28"/>
          <w:lang w:eastAsia="ru-RU"/>
        </w:rPr>
        <w:t>акта</w:t>
      </w:r>
      <w:proofErr w:type="spellEnd"/>
      <w:r w:rsidRPr="00826735">
        <w:rPr>
          <w:rFonts w:ascii="Times New Roman" w:hAnsi="Times New Roman" w:cs="Times New Roman"/>
          <w:sz w:val="28"/>
          <w:szCs w:val="28"/>
          <w:lang w:eastAsia="ru-RU"/>
        </w:rPr>
        <w:t xml:space="preserve"> немає.</w:t>
      </w:r>
    </w:p>
    <w:p w:rsidR="00D23B92" w:rsidRPr="00826735" w:rsidRDefault="00D23B92" w:rsidP="00D23B92">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Досягнення цілей не передбачає додаткових організаційних заходів.</w:t>
      </w:r>
    </w:p>
    <w:p w:rsidR="00C92499" w:rsidRPr="00826735" w:rsidRDefault="00C92499" w:rsidP="00F55E9A">
      <w:pPr>
        <w:spacing w:after="0" w:line="240" w:lineRule="auto"/>
        <w:ind w:firstLine="567"/>
        <w:jc w:val="center"/>
        <w:rPr>
          <w:rFonts w:ascii="Times New Roman" w:eastAsia="Times New Roman" w:hAnsi="Times New Roman" w:cs="Times New Roman"/>
          <w:sz w:val="28"/>
          <w:szCs w:val="28"/>
          <w:lang w:eastAsia="ru-RU"/>
        </w:rPr>
      </w:pPr>
    </w:p>
    <w:p w:rsidR="00C92499" w:rsidRPr="00826735" w:rsidRDefault="00C92499" w:rsidP="00636197">
      <w:pPr>
        <w:spacing w:after="0" w:line="240" w:lineRule="auto"/>
        <w:ind w:firstLine="567"/>
        <w:jc w:val="center"/>
        <w:outlineLvl w:val="0"/>
        <w:rPr>
          <w:rFonts w:ascii="Times New Roman" w:eastAsia="Times New Roman" w:hAnsi="Times New Roman" w:cs="Times New Roman"/>
          <w:b/>
          <w:sz w:val="28"/>
          <w:szCs w:val="28"/>
          <w:lang w:eastAsia="ru-RU"/>
        </w:rPr>
      </w:pPr>
      <w:r w:rsidRPr="00826735">
        <w:rPr>
          <w:rFonts w:ascii="Times New Roman" w:eastAsia="Times New Roman" w:hAnsi="Times New Roman" w:cs="Times New Roman"/>
          <w:b/>
          <w:sz w:val="28"/>
          <w:szCs w:val="28"/>
          <w:lang w:val="en-US" w:eastAsia="ru-RU"/>
        </w:rPr>
        <w:t>VI</w:t>
      </w:r>
      <w:r w:rsidRPr="00826735">
        <w:rPr>
          <w:rFonts w:ascii="Times New Roman" w:eastAsia="Times New Roman" w:hAnsi="Times New Roman" w:cs="Times New Roman"/>
          <w:b/>
          <w:sz w:val="28"/>
          <w:szCs w:val="28"/>
          <w:lang w:eastAsia="ru-RU"/>
        </w:rPr>
        <w:t xml:space="preserve">. Оцінка виконання вимог регуляторного </w:t>
      </w:r>
      <w:proofErr w:type="spellStart"/>
      <w:r w:rsidRPr="00826735">
        <w:rPr>
          <w:rFonts w:ascii="Times New Roman" w:eastAsia="Times New Roman" w:hAnsi="Times New Roman" w:cs="Times New Roman"/>
          <w:b/>
          <w:sz w:val="28"/>
          <w:szCs w:val="28"/>
          <w:lang w:eastAsia="ru-RU"/>
        </w:rPr>
        <w:t>акта</w:t>
      </w:r>
      <w:proofErr w:type="spellEnd"/>
      <w:r w:rsidRPr="00826735">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 </w:t>
      </w:r>
    </w:p>
    <w:p w:rsidR="00636197" w:rsidRPr="00826735" w:rsidRDefault="00636197" w:rsidP="00636197">
      <w:pPr>
        <w:spacing w:after="0" w:line="240" w:lineRule="auto"/>
        <w:ind w:firstLine="567"/>
        <w:jc w:val="center"/>
        <w:outlineLvl w:val="0"/>
        <w:rPr>
          <w:rFonts w:ascii="Times New Roman" w:eastAsia="Times New Roman" w:hAnsi="Times New Roman" w:cs="Times New Roman"/>
          <w:b/>
          <w:sz w:val="18"/>
          <w:szCs w:val="18"/>
          <w:lang w:eastAsia="ru-RU"/>
        </w:rPr>
      </w:pPr>
    </w:p>
    <w:p w:rsidR="0045521D" w:rsidRPr="00826735" w:rsidRDefault="0045521D" w:rsidP="00636197">
      <w:pPr>
        <w:pStyle w:val="a3"/>
        <w:spacing w:after="0" w:line="240" w:lineRule="auto"/>
        <w:ind w:left="0" w:firstLine="567"/>
        <w:jc w:val="both"/>
        <w:rPr>
          <w:rFonts w:ascii="Times New Roman" w:hAnsi="Times New Roman" w:cs="Times New Roman"/>
          <w:sz w:val="28"/>
          <w:szCs w:val="28"/>
          <w:lang w:eastAsia="ru-RU"/>
        </w:rPr>
      </w:pPr>
      <w:r w:rsidRPr="00826735">
        <w:rPr>
          <w:rFonts w:ascii="Times New Roman" w:hAnsi="Times New Roman" w:cs="Times New Roman"/>
          <w:sz w:val="28"/>
          <w:szCs w:val="28"/>
          <w:lang w:eastAsia="ru-RU"/>
        </w:rPr>
        <w:t xml:space="preserve">Реалізація регуляторного </w:t>
      </w:r>
      <w:proofErr w:type="spellStart"/>
      <w:r w:rsidRPr="00826735">
        <w:rPr>
          <w:rFonts w:ascii="Times New Roman" w:hAnsi="Times New Roman" w:cs="Times New Roman"/>
          <w:sz w:val="28"/>
          <w:szCs w:val="28"/>
          <w:lang w:eastAsia="ru-RU"/>
        </w:rPr>
        <w:t>акта</w:t>
      </w:r>
      <w:proofErr w:type="spellEnd"/>
      <w:r w:rsidRPr="00826735">
        <w:rPr>
          <w:rFonts w:ascii="Times New Roman" w:hAnsi="Times New Roman" w:cs="Times New Roman"/>
          <w:sz w:val="28"/>
          <w:szCs w:val="28"/>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w:t>
      </w:r>
      <w:r w:rsidR="00470027">
        <w:rPr>
          <w:rFonts w:ascii="Times New Roman" w:hAnsi="Times New Roman" w:cs="Times New Roman"/>
          <w:sz w:val="28"/>
          <w:szCs w:val="28"/>
          <w:lang w:eastAsia="ru-RU"/>
        </w:rPr>
        <w:t>Отже</w:t>
      </w:r>
      <w:r w:rsidRPr="00826735">
        <w:rPr>
          <w:rFonts w:ascii="Times New Roman" w:hAnsi="Times New Roman" w:cs="Times New Roman"/>
          <w:sz w:val="28"/>
          <w:szCs w:val="28"/>
          <w:lang w:eastAsia="ru-RU"/>
        </w:rPr>
        <w:t>, розрахунок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w:t>
      </w:r>
    </w:p>
    <w:p w:rsidR="0045521D" w:rsidRPr="00826735" w:rsidRDefault="0045521D" w:rsidP="00636197">
      <w:pPr>
        <w:pStyle w:val="a3"/>
        <w:spacing w:after="0" w:line="240" w:lineRule="auto"/>
        <w:ind w:left="0" w:firstLine="567"/>
        <w:jc w:val="both"/>
        <w:rPr>
          <w:rFonts w:ascii="Times New Roman" w:eastAsia="Arial" w:hAnsi="Times New Roman" w:cs="Times New Roman"/>
          <w:sz w:val="28"/>
          <w:szCs w:val="28"/>
          <w:lang w:eastAsia="uk-UA"/>
        </w:rPr>
      </w:pPr>
      <w:r w:rsidRPr="00826735">
        <w:rPr>
          <w:rFonts w:ascii="Times New Roman" w:hAnsi="Times New Roman" w:cs="Times New Roman"/>
          <w:sz w:val="28"/>
          <w:szCs w:val="28"/>
          <w:lang w:eastAsia="ru-RU"/>
        </w:rPr>
        <w:t xml:space="preserve">Здійснено розрахунки витрат, які виникатимуть внаслідок дії регуляторного </w:t>
      </w:r>
      <w:proofErr w:type="spellStart"/>
      <w:r w:rsidRPr="00826735">
        <w:rPr>
          <w:rFonts w:ascii="Times New Roman" w:hAnsi="Times New Roman" w:cs="Times New Roman"/>
          <w:sz w:val="28"/>
          <w:szCs w:val="28"/>
          <w:lang w:eastAsia="ru-RU"/>
        </w:rPr>
        <w:t>акта</w:t>
      </w:r>
      <w:proofErr w:type="spellEnd"/>
      <w:r w:rsidRPr="00826735">
        <w:rPr>
          <w:rFonts w:ascii="Times New Roman" w:hAnsi="Times New Roman" w:cs="Times New Roman"/>
          <w:sz w:val="28"/>
          <w:szCs w:val="28"/>
          <w:lang w:eastAsia="ru-RU"/>
        </w:rPr>
        <w:t xml:space="preserve"> для суб’єктів</w:t>
      </w:r>
      <w:r w:rsidRPr="00826735">
        <w:rPr>
          <w:rFonts w:ascii="Times New Roman" w:eastAsia="Arial" w:hAnsi="Times New Roman" w:cs="Times New Roman"/>
          <w:sz w:val="28"/>
          <w:szCs w:val="28"/>
          <w:lang w:eastAsia="uk-UA"/>
        </w:rPr>
        <w:t xml:space="preserve"> господарювання великого і середнього підприємництва (за формою згідно з додатком 2 до Методики проведення аналізу впливу регуляторного </w:t>
      </w:r>
      <w:proofErr w:type="spellStart"/>
      <w:r w:rsidRPr="00826735">
        <w:rPr>
          <w:rFonts w:ascii="Times New Roman" w:eastAsia="Arial" w:hAnsi="Times New Roman" w:cs="Times New Roman"/>
          <w:sz w:val="28"/>
          <w:szCs w:val="28"/>
          <w:lang w:eastAsia="uk-UA"/>
        </w:rPr>
        <w:t>акта</w:t>
      </w:r>
      <w:proofErr w:type="spellEnd"/>
      <w:r w:rsidRPr="00826735">
        <w:rPr>
          <w:rFonts w:ascii="Times New Roman" w:eastAsia="Arial" w:hAnsi="Times New Roman" w:cs="Times New Roman"/>
          <w:sz w:val="28"/>
          <w:szCs w:val="28"/>
          <w:lang w:eastAsia="uk-UA"/>
        </w:rPr>
        <w:t xml:space="preserve">), а також для суб’єктів малого підприємництва (за формою згідно з додатком 4 до Методики проведення аналізу впливу регуляторного </w:t>
      </w:r>
      <w:proofErr w:type="spellStart"/>
      <w:r w:rsidRPr="00826735">
        <w:rPr>
          <w:rFonts w:ascii="Times New Roman" w:eastAsia="Arial" w:hAnsi="Times New Roman" w:cs="Times New Roman"/>
          <w:sz w:val="28"/>
          <w:szCs w:val="28"/>
          <w:lang w:eastAsia="uk-UA"/>
        </w:rPr>
        <w:t>акта</w:t>
      </w:r>
      <w:proofErr w:type="spellEnd"/>
      <w:r w:rsidRPr="00826735">
        <w:rPr>
          <w:rFonts w:ascii="Times New Roman" w:eastAsia="Arial" w:hAnsi="Times New Roman" w:cs="Times New Roman"/>
          <w:sz w:val="28"/>
          <w:szCs w:val="28"/>
          <w:lang w:eastAsia="uk-UA"/>
        </w:rPr>
        <w:t xml:space="preserve"> (Тест малого підприємництва)).</w:t>
      </w:r>
    </w:p>
    <w:p w:rsidR="0045521D" w:rsidRPr="00826735" w:rsidRDefault="0045521D" w:rsidP="0045521D">
      <w:pPr>
        <w:shd w:val="clear" w:color="auto" w:fill="FFFFFF"/>
        <w:spacing w:after="0" w:line="240" w:lineRule="auto"/>
        <w:ind w:firstLine="567"/>
        <w:jc w:val="both"/>
        <w:rPr>
          <w:rFonts w:ascii="Times New Roman" w:eastAsia="Arial" w:hAnsi="Times New Roman" w:cs="Times New Roman"/>
          <w:sz w:val="28"/>
          <w:szCs w:val="28"/>
          <w:lang w:eastAsia="uk-UA"/>
        </w:rPr>
      </w:pPr>
      <w:r w:rsidRPr="00826735">
        <w:rPr>
          <w:rFonts w:ascii="Times New Roman" w:eastAsia="Arial" w:hAnsi="Times New Roman" w:cs="Times New Roman"/>
          <w:sz w:val="28"/>
          <w:szCs w:val="28"/>
          <w:lang w:eastAsia="uk-UA"/>
        </w:rPr>
        <w:t xml:space="preserve">Оцінка виконання вимог регулювання, а саме </w:t>
      </w:r>
      <w:proofErr w:type="spellStart"/>
      <w:r w:rsidRPr="00826735">
        <w:rPr>
          <w:rFonts w:ascii="Times New Roman" w:eastAsia="Arial" w:hAnsi="Times New Roman" w:cs="Times New Roman"/>
          <w:sz w:val="28"/>
          <w:szCs w:val="28"/>
          <w:lang w:eastAsia="uk-UA"/>
        </w:rPr>
        <w:t>вигод</w:t>
      </w:r>
      <w:proofErr w:type="spellEnd"/>
      <w:r w:rsidRPr="00826735">
        <w:rPr>
          <w:rFonts w:ascii="Times New Roman" w:eastAsia="Arial" w:hAnsi="Times New Roman" w:cs="Times New Roman"/>
          <w:sz w:val="28"/>
          <w:szCs w:val="28"/>
          <w:lang w:eastAsia="uk-UA"/>
        </w:rPr>
        <w:t xml:space="preserve"> і витрат суб’єктів господарювання та держави</w:t>
      </w:r>
      <w:r w:rsidR="003E4EF9">
        <w:rPr>
          <w:rFonts w:ascii="Times New Roman" w:eastAsia="Arial" w:hAnsi="Times New Roman" w:cs="Times New Roman"/>
          <w:sz w:val="28"/>
          <w:szCs w:val="28"/>
          <w:lang w:eastAsia="uk-UA"/>
        </w:rPr>
        <w:t>,</w:t>
      </w:r>
      <w:r w:rsidRPr="00826735">
        <w:rPr>
          <w:rFonts w:ascii="Times New Roman" w:eastAsia="Arial" w:hAnsi="Times New Roman" w:cs="Times New Roman"/>
          <w:sz w:val="28"/>
          <w:szCs w:val="28"/>
          <w:lang w:eastAsia="uk-UA"/>
        </w:rPr>
        <w:t xml:space="preserve"> здійснена в рамках розділу ІІІ цього аналізу (визначення та оцінка альтернативних способів досягнення цілей).</w:t>
      </w:r>
    </w:p>
    <w:p w:rsidR="0045521D" w:rsidRPr="00826735" w:rsidRDefault="0045521D" w:rsidP="0045521D">
      <w:pPr>
        <w:shd w:val="clear" w:color="auto" w:fill="FFFFFF"/>
        <w:spacing w:after="0" w:line="240" w:lineRule="auto"/>
        <w:ind w:firstLine="567"/>
        <w:jc w:val="both"/>
        <w:rPr>
          <w:rFonts w:ascii="Times New Roman" w:hAnsi="Times New Roman" w:cs="Times New Roman"/>
          <w:sz w:val="28"/>
          <w:szCs w:val="28"/>
        </w:rPr>
      </w:pPr>
      <w:r w:rsidRPr="00826735">
        <w:rPr>
          <w:rFonts w:ascii="Times New Roman" w:hAnsi="Times New Roman" w:cs="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rsidR="0045521D" w:rsidRDefault="0045521D" w:rsidP="00ED573B">
      <w:pPr>
        <w:spacing w:after="0" w:line="240" w:lineRule="auto"/>
        <w:ind w:firstLine="567"/>
        <w:jc w:val="both"/>
        <w:rPr>
          <w:rFonts w:ascii="Times New Roman" w:eastAsia="Times New Roman" w:hAnsi="Times New Roman" w:cs="Times New Roman"/>
          <w:sz w:val="28"/>
          <w:szCs w:val="28"/>
          <w:lang w:eastAsia="ru-RU"/>
        </w:rPr>
      </w:pPr>
    </w:p>
    <w:p w:rsidR="0001098A" w:rsidRPr="00A246C7" w:rsidRDefault="0001098A" w:rsidP="00447C49">
      <w:pPr>
        <w:spacing w:after="0" w:line="240" w:lineRule="auto"/>
        <w:ind w:firstLine="567"/>
        <w:jc w:val="center"/>
        <w:rPr>
          <w:rFonts w:ascii="Times New Roman" w:eastAsia="Times New Roman" w:hAnsi="Times New Roman" w:cs="Times New Roman"/>
          <w:bCs/>
          <w:sz w:val="28"/>
          <w:szCs w:val="28"/>
          <w:lang w:eastAsia="ru-RU"/>
        </w:rPr>
      </w:pPr>
    </w:p>
    <w:p w:rsidR="0001098A" w:rsidRPr="00A246C7" w:rsidRDefault="0001098A" w:rsidP="00447C49">
      <w:pPr>
        <w:spacing w:after="0" w:line="240" w:lineRule="auto"/>
        <w:ind w:firstLine="567"/>
        <w:jc w:val="center"/>
        <w:rPr>
          <w:rFonts w:ascii="Times New Roman" w:eastAsia="Times New Roman" w:hAnsi="Times New Roman" w:cs="Times New Roman"/>
          <w:bCs/>
          <w:sz w:val="28"/>
          <w:szCs w:val="28"/>
          <w:lang w:eastAsia="ru-RU"/>
        </w:rPr>
      </w:pPr>
    </w:p>
    <w:p w:rsidR="0001098A" w:rsidRPr="00A246C7" w:rsidRDefault="0001098A" w:rsidP="00447C49">
      <w:pPr>
        <w:spacing w:after="0" w:line="240" w:lineRule="auto"/>
        <w:ind w:firstLine="567"/>
        <w:jc w:val="center"/>
        <w:rPr>
          <w:rFonts w:ascii="Times New Roman" w:eastAsia="Times New Roman" w:hAnsi="Times New Roman" w:cs="Times New Roman"/>
          <w:bCs/>
          <w:sz w:val="28"/>
          <w:szCs w:val="28"/>
          <w:lang w:eastAsia="ru-RU"/>
        </w:rPr>
      </w:pPr>
    </w:p>
    <w:p w:rsidR="00C92499" w:rsidRDefault="00C92499" w:rsidP="00447C49">
      <w:pPr>
        <w:spacing w:after="0" w:line="240" w:lineRule="auto"/>
        <w:ind w:firstLine="567"/>
        <w:jc w:val="center"/>
        <w:rPr>
          <w:rFonts w:ascii="Times New Roman" w:eastAsia="Times New Roman" w:hAnsi="Times New Roman" w:cs="Times New Roman"/>
          <w:b/>
          <w:bCs/>
          <w:sz w:val="28"/>
          <w:szCs w:val="28"/>
          <w:lang w:eastAsia="ru-RU"/>
        </w:rPr>
      </w:pPr>
      <w:r w:rsidRPr="00826735">
        <w:rPr>
          <w:rFonts w:ascii="Times New Roman" w:eastAsia="Times New Roman" w:hAnsi="Times New Roman" w:cs="Times New Roman"/>
          <w:b/>
          <w:bCs/>
          <w:sz w:val="28"/>
          <w:szCs w:val="28"/>
          <w:lang w:eastAsia="ru-RU"/>
        </w:rPr>
        <w:lastRenderedPageBreak/>
        <w:t xml:space="preserve">VII. Обґрунтування запропонованого строку дії регуляторного </w:t>
      </w:r>
      <w:proofErr w:type="spellStart"/>
      <w:r w:rsidRPr="00826735">
        <w:rPr>
          <w:rFonts w:ascii="Times New Roman" w:eastAsia="Times New Roman" w:hAnsi="Times New Roman" w:cs="Times New Roman"/>
          <w:b/>
          <w:bCs/>
          <w:sz w:val="28"/>
          <w:szCs w:val="28"/>
          <w:lang w:eastAsia="ru-RU"/>
        </w:rPr>
        <w:t>акта</w:t>
      </w:r>
      <w:proofErr w:type="spellEnd"/>
    </w:p>
    <w:p w:rsidR="003E4EF9" w:rsidRPr="003E4EF9" w:rsidRDefault="003E4EF9" w:rsidP="00447C49">
      <w:pPr>
        <w:spacing w:after="0" w:line="240" w:lineRule="auto"/>
        <w:ind w:firstLine="567"/>
        <w:jc w:val="center"/>
        <w:rPr>
          <w:rFonts w:ascii="Times New Roman" w:eastAsia="Times New Roman" w:hAnsi="Times New Roman" w:cs="Times New Roman"/>
          <w:bCs/>
          <w:sz w:val="16"/>
          <w:szCs w:val="16"/>
          <w:lang w:eastAsia="ru-RU"/>
        </w:rPr>
      </w:pPr>
    </w:p>
    <w:p w:rsidR="00D13BA6" w:rsidRPr="00826735" w:rsidRDefault="00D13BA6" w:rsidP="00D13BA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 xml:space="preserve">Строк дії цього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встановлюється на необмежений термін</w:t>
      </w:r>
      <w:r w:rsidR="000B4F32">
        <w:rPr>
          <w:rFonts w:ascii="Times New Roman" w:eastAsia="Times New Roman" w:hAnsi="Times New Roman" w:cs="Times New Roman"/>
          <w:sz w:val="28"/>
          <w:szCs w:val="28"/>
          <w:lang w:eastAsia="ru-RU"/>
        </w:rPr>
        <w:t>,</w:t>
      </w:r>
      <w:r w:rsidRPr="00826735">
        <w:rPr>
          <w:rFonts w:ascii="Times New Roman" w:eastAsia="Times New Roman" w:hAnsi="Times New Roman" w:cs="Times New Roman"/>
          <w:sz w:val="28"/>
          <w:szCs w:val="28"/>
          <w:lang w:eastAsia="ru-RU"/>
        </w:rPr>
        <w:t xml:space="preserve"> оскіл</w:t>
      </w:r>
      <w:r w:rsidR="000B4F32">
        <w:rPr>
          <w:rFonts w:ascii="Times New Roman" w:eastAsia="Times New Roman" w:hAnsi="Times New Roman" w:cs="Times New Roman"/>
          <w:sz w:val="28"/>
          <w:szCs w:val="28"/>
          <w:lang w:eastAsia="ru-RU"/>
        </w:rPr>
        <w:t>ь</w:t>
      </w:r>
      <w:r w:rsidRPr="00826735">
        <w:rPr>
          <w:rFonts w:ascii="Times New Roman" w:eastAsia="Times New Roman" w:hAnsi="Times New Roman" w:cs="Times New Roman"/>
          <w:sz w:val="28"/>
          <w:szCs w:val="28"/>
          <w:lang w:eastAsia="ru-RU"/>
        </w:rPr>
        <w:t xml:space="preserve">ки він регулює відносини, які мають постійний характер. Зміна строку дії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можлива у разі виникнення потреби приведення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у відповідність до актів законодавства вищої юридичної сили.</w:t>
      </w:r>
    </w:p>
    <w:p w:rsidR="00D13BA6" w:rsidRPr="00826735" w:rsidRDefault="00D13BA6" w:rsidP="00D13BA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Термін набрання чинності регуляторним актом</w:t>
      </w:r>
      <w:r w:rsidR="00A246C7">
        <w:rPr>
          <w:rFonts w:ascii="Times New Roman" w:eastAsia="Times New Roman" w:hAnsi="Times New Roman" w:cs="Times New Roman"/>
          <w:sz w:val="28"/>
          <w:szCs w:val="28"/>
          <w:lang w:val="en-US" w:eastAsia="ru-RU"/>
        </w:rPr>
        <w:t> </w:t>
      </w:r>
      <w:r w:rsidRPr="00826735">
        <w:rPr>
          <w:rFonts w:ascii="Times New Roman" w:eastAsia="Times New Roman" w:hAnsi="Times New Roman" w:cs="Times New Roman"/>
          <w:sz w:val="28"/>
          <w:szCs w:val="28"/>
          <w:lang w:eastAsia="ru-RU"/>
        </w:rPr>
        <w:t>–</w:t>
      </w:r>
      <w:r w:rsidR="00A246C7">
        <w:rPr>
          <w:rFonts w:ascii="Times New Roman" w:eastAsia="Times New Roman" w:hAnsi="Times New Roman" w:cs="Times New Roman"/>
          <w:sz w:val="28"/>
          <w:szCs w:val="28"/>
          <w:lang w:val="en-US" w:eastAsia="ru-RU"/>
        </w:rPr>
        <w:t> </w:t>
      </w:r>
      <w:r w:rsidRPr="00826735">
        <w:rPr>
          <w:rFonts w:ascii="Times New Roman" w:eastAsia="Times New Roman" w:hAnsi="Times New Roman" w:cs="Times New Roman"/>
          <w:sz w:val="28"/>
          <w:szCs w:val="28"/>
          <w:lang w:eastAsia="ru-RU"/>
        </w:rPr>
        <w:t>з дня його офіційного опублікування.</w:t>
      </w:r>
    </w:p>
    <w:p w:rsidR="00C92499" w:rsidRPr="00826735" w:rsidRDefault="00C92499" w:rsidP="00F55E9A">
      <w:pPr>
        <w:spacing w:after="0" w:line="240" w:lineRule="auto"/>
        <w:ind w:firstLine="567"/>
        <w:jc w:val="center"/>
        <w:rPr>
          <w:rFonts w:ascii="Times New Roman" w:eastAsia="Times New Roman" w:hAnsi="Times New Roman" w:cs="Times New Roman"/>
          <w:sz w:val="28"/>
          <w:szCs w:val="28"/>
          <w:lang w:eastAsia="ru-RU"/>
        </w:rPr>
      </w:pPr>
    </w:p>
    <w:p w:rsidR="00C92499" w:rsidRPr="00826735" w:rsidRDefault="00C92499" w:rsidP="00447C49">
      <w:pPr>
        <w:spacing w:after="0" w:line="240" w:lineRule="auto"/>
        <w:ind w:firstLine="567"/>
        <w:jc w:val="center"/>
        <w:outlineLvl w:val="0"/>
        <w:rPr>
          <w:rFonts w:ascii="Times New Roman" w:eastAsia="Times New Roman" w:hAnsi="Times New Roman" w:cs="Times New Roman"/>
          <w:b/>
          <w:bCs/>
          <w:sz w:val="28"/>
          <w:szCs w:val="28"/>
          <w:lang w:eastAsia="ru-RU"/>
        </w:rPr>
      </w:pPr>
      <w:r w:rsidRPr="00826735">
        <w:rPr>
          <w:rFonts w:ascii="Times New Roman" w:eastAsia="Times New Roman" w:hAnsi="Times New Roman" w:cs="Times New Roman"/>
          <w:b/>
          <w:bCs/>
          <w:sz w:val="28"/>
          <w:szCs w:val="28"/>
          <w:lang w:eastAsia="ru-RU"/>
        </w:rPr>
        <w:t xml:space="preserve">VIII. Визначення показників результативності дії регуляторного </w:t>
      </w:r>
      <w:proofErr w:type="spellStart"/>
      <w:r w:rsidRPr="00826735">
        <w:rPr>
          <w:rFonts w:ascii="Times New Roman" w:eastAsia="Times New Roman" w:hAnsi="Times New Roman" w:cs="Times New Roman"/>
          <w:b/>
          <w:bCs/>
          <w:sz w:val="28"/>
          <w:szCs w:val="28"/>
          <w:lang w:eastAsia="ru-RU"/>
        </w:rPr>
        <w:t>акта</w:t>
      </w:r>
      <w:proofErr w:type="spellEnd"/>
    </w:p>
    <w:p w:rsidR="00C92499" w:rsidRPr="00826735" w:rsidRDefault="00C92499" w:rsidP="00447C49">
      <w:pPr>
        <w:spacing w:after="0" w:line="240" w:lineRule="auto"/>
        <w:ind w:firstLine="567"/>
        <w:jc w:val="center"/>
        <w:rPr>
          <w:rFonts w:ascii="Times New Roman" w:eastAsia="Times New Roman" w:hAnsi="Times New Roman" w:cs="Times New Roman"/>
          <w:b/>
          <w:bCs/>
          <w:sz w:val="18"/>
          <w:szCs w:val="18"/>
          <w:lang w:val="ru-RU" w:eastAsia="ru-RU"/>
        </w:rPr>
      </w:pP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1. Розмір надходжень до державного та місцевих бюджетів і державних цільових фондів, пов’язаних з дією </w:t>
      </w:r>
      <w:proofErr w:type="spellStart"/>
      <w:r w:rsidRPr="00826735">
        <w:rPr>
          <w:sz w:val="28"/>
          <w:szCs w:val="28"/>
          <w:lang w:val="uk-UA"/>
        </w:rPr>
        <w:t>акта</w:t>
      </w:r>
      <w:proofErr w:type="spellEnd"/>
      <w:r w:rsidRPr="00826735">
        <w:rPr>
          <w:sz w:val="28"/>
          <w:szCs w:val="28"/>
          <w:lang w:val="uk-UA"/>
        </w:rPr>
        <w:t xml:space="preserve"> – 0.</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2. Дія </w:t>
      </w:r>
      <w:proofErr w:type="spellStart"/>
      <w:r w:rsidRPr="00826735">
        <w:rPr>
          <w:sz w:val="28"/>
          <w:szCs w:val="28"/>
          <w:lang w:val="uk-UA"/>
        </w:rPr>
        <w:t>акта</w:t>
      </w:r>
      <w:proofErr w:type="spellEnd"/>
      <w:r w:rsidRPr="00826735">
        <w:rPr>
          <w:sz w:val="28"/>
          <w:szCs w:val="28"/>
          <w:lang w:val="uk-UA"/>
        </w:rPr>
        <w:t xml:space="preserve"> поширюється на 47 648 суб’єкт</w:t>
      </w:r>
      <w:r w:rsidR="000B4F32">
        <w:rPr>
          <w:sz w:val="28"/>
          <w:szCs w:val="28"/>
          <w:lang w:val="uk-UA"/>
        </w:rPr>
        <w:t>ів</w:t>
      </w:r>
      <w:r w:rsidRPr="00826735">
        <w:rPr>
          <w:sz w:val="28"/>
          <w:szCs w:val="28"/>
          <w:lang w:val="uk-UA"/>
        </w:rPr>
        <w:t xml:space="preserve"> господарювання, що здійснювали зовнішньоекономічну діяльність протягом 2024 року.</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3. Розмір коштів, що витрачатимуться суб’єктами господарювання, пов’язаними з виконанням вимог </w:t>
      </w:r>
      <w:proofErr w:type="spellStart"/>
      <w:r w:rsidRPr="00826735">
        <w:rPr>
          <w:sz w:val="28"/>
          <w:szCs w:val="28"/>
          <w:lang w:val="uk-UA"/>
        </w:rPr>
        <w:t>акта</w:t>
      </w:r>
      <w:proofErr w:type="spellEnd"/>
      <w:r w:rsidRPr="00826735">
        <w:rPr>
          <w:sz w:val="28"/>
          <w:szCs w:val="28"/>
          <w:lang w:val="uk-UA"/>
        </w:rPr>
        <w:t>:</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суб’єктами господарювання великого і середнього підприємництва витрачатимуться </w:t>
      </w:r>
      <w:r w:rsidR="008930EE" w:rsidRPr="00826735">
        <w:rPr>
          <w:sz w:val="28"/>
          <w:szCs w:val="28"/>
          <w:lang w:val="uk-UA"/>
        </w:rPr>
        <w:t>48</w:t>
      </w:r>
      <w:r w:rsidRPr="00826735">
        <w:rPr>
          <w:sz w:val="28"/>
          <w:szCs w:val="28"/>
          <w:lang w:val="uk-UA"/>
        </w:rPr>
        <w:t>,</w:t>
      </w:r>
      <w:r w:rsidRPr="00826735">
        <w:rPr>
          <w:sz w:val="28"/>
          <w:szCs w:val="28"/>
          <w:lang w:val="ru-RU"/>
        </w:rPr>
        <w:t>00</w:t>
      </w:r>
      <w:r w:rsidRPr="00826735">
        <w:rPr>
          <w:sz w:val="28"/>
          <w:szCs w:val="28"/>
          <w:lang w:val="uk-UA"/>
        </w:rPr>
        <w:t xml:space="preserve"> грн (для 1 особи);</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суб’єктами малого підприємництва витрачатимуться </w:t>
      </w:r>
      <w:r w:rsidR="008930EE" w:rsidRPr="00826735">
        <w:rPr>
          <w:sz w:val="28"/>
          <w:szCs w:val="28"/>
          <w:lang w:val="uk-UA"/>
        </w:rPr>
        <w:t>48</w:t>
      </w:r>
      <w:r w:rsidRPr="00826735">
        <w:rPr>
          <w:sz w:val="28"/>
          <w:szCs w:val="28"/>
          <w:lang w:val="uk-UA"/>
        </w:rPr>
        <w:t>,00 грн (для 1 особи).</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4. Рівень поінформованості суб’єктів господарювання з основних положень </w:t>
      </w:r>
      <w:proofErr w:type="spellStart"/>
      <w:r w:rsidRPr="00826735">
        <w:rPr>
          <w:sz w:val="28"/>
          <w:szCs w:val="28"/>
          <w:lang w:val="uk-UA"/>
        </w:rPr>
        <w:t>акта</w:t>
      </w:r>
      <w:proofErr w:type="spellEnd"/>
      <w:r w:rsidR="000B4F32">
        <w:rPr>
          <w:sz w:val="28"/>
          <w:szCs w:val="28"/>
          <w:lang w:val="uk-UA"/>
        </w:rPr>
        <w:t> </w:t>
      </w:r>
      <w:r w:rsidRPr="00826735">
        <w:rPr>
          <w:sz w:val="28"/>
          <w:szCs w:val="28"/>
          <w:lang w:val="uk-UA"/>
        </w:rPr>
        <w:t>–</w:t>
      </w:r>
      <w:r w:rsidR="000B4F32">
        <w:rPr>
          <w:sz w:val="28"/>
          <w:szCs w:val="28"/>
          <w:lang w:val="uk-UA"/>
        </w:rPr>
        <w:t> </w:t>
      </w:r>
      <w:r w:rsidRPr="00826735">
        <w:rPr>
          <w:sz w:val="28"/>
          <w:szCs w:val="28"/>
          <w:lang w:val="uk-UA"/>
        </w:rPr>
        <w:t xml:space="preserve">100 </w:t>
      </w:r>
      <w:r w:rsidR="000B4F32">
        <w:rPr>
          <w:sz w:val="28"/>
          <w:szCs w:val="28"/>
          <w:lang w:val="uk-UA"/>
        </w:rPr>
        <w:t>відсотків</w:t>
      </w:r>
      <w:r w:rsidRPr="00826735">
        <w:rPr>
          <w:sz w:val="28"/>
          <w:szCs w:val="28"/>
          <w:lang w:val="uk-UA"/>
        </w:rPr>
        <w:t xml:space="preserve">, оскільки </w:t>
      </w:r>
      <w:proofErr w:type="spellStart"/>
      <w:r w:rsidRPr="00826735">
        <w:rPr>
          <w:sz w:val="28"/>
          <w:szCs w:val="28"/>
          <w:lang w:val="uk-UA"/>
        </w:rPr>
        <w:t>проєкт</w:t>
      </w:r>
      <w:proofErr w:type="spellEnd"/>
      <w:r w:rsidRPr="00826735">
        <w:rPr>
          <w:sz w:val="28"/>
          <w:szCs w:val="28"/>
          <w:lang w:val="uk-UA"/>
        </w:rPr>
        <w:t xml:space="preserve"> регуляторного </w:t>
      </w:r>
      <w:proofErr w:type="spellStart"/>
      <w:r w:rsidRPr="00826735">
        <w:rPr>
          <w:sz w:val="28"/>
          <w:szCs w:val="28"/>
          <w:lang w:val="uk-UA"/>
        </w:rPr>
        <w:t>акта</w:t>
      </w:r>
      <w:proofErr w:type="spellEnd"/>
      <w:r w:rsidRPr="00826735">
        <w:rPr>
          <w:sz w:val="28"/>
          <w:szCs w:val="28"/>
          <w:lang w:val="uk-UA"/>
        </w:rPr>
        <w:t xml:space="preserve"> оприлюднено на офіційному </w:t>
      </w:r>
      <w:proofErr w:type="spellStart"/>
      <w:r w:rsidRPr="00826735">
        <w:rPr>
          <w:sz w:val="28"/>
          <w:szCs w:val="28"/>
          <w:lang w:val="uk-UA"/>
        </w:rPr>
        <w:t>вебсайті</w:t>
      </w:r>
      <w:proofErr w:type="spellEnd"/>
      <w:r w:rsidRPr="00826735">
        <w:rPr>
          <w:sz w:val="28"/>
          <w:szCs w:val="28"/>
          <w:lang w:val="uk-UA"/>
        </w:rPr>
        <w:t xml:space="preserve"> Мінфіну.</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Додаткові показники результативності:</w:t>
      </w:r>
    </w:p>
    <w:p w:rsidR="00BE774B" w:rsidRPr="00826735" w:rsidRDefault="007F1981" w:rsidP="007F1981">
      <w:pPr>
        <w:pStyle w:val="StyleZakonu"/>
        <w:spacing w:after="0" w:line="240" w:lineRule="auto"/>
        <w:ind w:firstLine="567"/>
        <w:rPr>
          <w:sz w:val="28"/>
          <w:szCs w:val="28"/>
          <w:lang w:val="uk-UA"/>
        </w:rPr>
      </w:pPr>
      <w:r w:rsidRPr="00826735">
        <w:rPr>
          <w:sz w:val="28"/>
          <w:szCs w:val="28"/>
          <w:lang w:val="uk-UA"/>
        </w:rPr>
        <w:t xml:space="preserve">кількість </w:t>
      </w:r>
      <w:r w:rsidR="00BE774B" w:rsidRPr="00826735">
        <w:rPr>
          <w:sz w:val="28"/>
          <w:szCs w:val="28"/>
          <w:lang w:val="uk-UA"/>
        </w:rPr>
        <w:t xml:space="preserve">місць доставки, відкритих з дня офіційного опублікування </w:t>
      </w:r>
      <w:r w:rsidR="00965DB8" w:rsidRPr="00826735">
        <w:rPr>
          <w:sz w:val="28"/>
          <w:szCs w:val="28"/>
          <w:lang w:val="uk-UA"/>
        </w:rPr>
        <w:t>цього регуляторного</w:t>
      </w:r>
      <w:r w:rsidR="00BE774B" w:rsidRPr="00826735">
        <w:rPr>
          <w:sz w:val="28"/>
          <w:szCs w:val="28"/>
          <w:lang w:val="uk-UA"/>
        </w:rPr>
        <w:t xml:space="preserve"> </w:t>
      </w:r>
      <w:proofErr w:type="spellStart"/>
      <w:r w:rsidR="00BE774B" w:rsidRPr="00826735">
        <w:rPr>
          <w:sz w:val="28"/>
          <w:szCs w:val="28"/>
          <w:lang w:val="uk-UA"/>
        </w:rPr>
        <w:t>акт</w:t>
      </w:r>
      <w:r w:rsidR="00965DB8" w:rsidRPr="00826735">
        <w:rPr>
          <w:sz w:val="28"/>
          <w:szCs w:val="28"/>
          <w:lang w:val="uk-UA"/>
        </w:rPr>
        <w:t>а</w:t>
      </w:r>
      <w:proofErr w:type="spellEnd"/>
      <w:r w:rsidR="00BE774B" w:rsidRPr="00826735">
        <w:rPr>
          <w:sz w:val="28"/>
          <w:szCs w:val="28"/>
          <w:lang w:val="uk-UA"/>
        </w:rPr>
        <w:t>;</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кількість звернень</w:t>
      </w:r>
      <w:r w:rsidRPr="00826735">
        <w:t xml:space="preserve"> </w:t>
      </w:r>
      <w:r w:rsidRPr="00826735">
        <w:rPr>
          <w:sz w:val="28"/>
          <w:szCs w:val="28"/>
          <w:lang w:val="uk-UA"/>
        </w:rPr>
        <w:t xml:space="preserve">суб’єктів господарювання до </w:t>
      </w:r>
      <w:r w:rsidR="009D3B09" w:rsidRPr="00826735">
        <w:rPr>
          <w:sz w:val="28"/>
          <w:szCs w:val="28"/>
          <w:lang w:val="uk-UA"/>
        </w:rPr>
        <w:t xml:space="preserve">Держмитслужби </w:t>
      </w:r>
      <w:r w:rsidRPr="00826735">
        <w:rPr>
          <w:sz w:val="28"/>
          <w:szCs w:val="28"/>
          <w:lang w:val="uk-UA"/>
        </w:rPr>
        <w:t xml:space="preserve">щодо роз’яснення вимог </w:t>
      </w:r>
      <w:proofErr w:type="spellStart"/>
      <w:r w:rsidRPr="00826735">
        <w:rPr>
          <w:sz w:val="28"/>
          <w:szCs w:val="28"/>
          <w:lang w:val="uk-UA"/>
        </w:rPr>
        <w:t>акта</w:t>
      </w:r>
      <w:proofErr w:type="spellEnd"/>
      <w:r w:rsidRPr="00826735">
        <w:rPr>
          <w:sz w:val="28"/>
          <w:szCs w:val="28"/>
          <w:lang w:val="uk-UA"/>
        </w:rPr>
        <w:t>;</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кількість скарг</w:t>
      </w:r>
      <w:r w:rsidRPr="00826735">
        <w:t xml:space="preserve"> </w:t>
      </w:r>
      <w:r w:rsidRPr="00826735">
        <w:rPr>
          <w:sz w:val="28"/>
          <w:szCs w:val="28"/>
          <w:lang w:val="uk-UA"/>
        </w:rPr>
        <w:t xml:space="preserve">суб’єктів господарювання на дії митних органів щодо реалізації норм </w:t>
      </w:r>
      <w:proofErr w:type="spellStart"/>
      <w:r w:rsidRPr="00826735">
        <w:rPr>
          <w:sz w:val="28"/>
          <w:szCs w:val="28"/>
          <w:lang w:val="uk-UA"/>
        </w:rPr>
        <w:t>акт</w:t>
      </w:r>
      <w:r w:rsidR="009A6B6D">
        <w:rPr>
          <w:sz w:val="28"/>
          <w:szCs w:val="28"/>
          <w:lang w:val="uk-UA"/>
        </w:rPr>
        <w:t>а</w:t>
      </w:r>
      <w:proofErr w:type="spellEnd"/>
      <w:r w:rsidRPr="00826735">
        <w:rPr>
          <w:sz w:val="28"/>
          <w:szCs w:val="28"/>
          <w:lang w:val="uk-UA"/>
        </w:rPr>
        <w:t>.</w:t>
      </w:r>
    </w:p>
    <w:p w:rsidR="007F1981" w:rsidRPr="00826735" w:rsidRDefault="007F1981" w:rsidP="007F1981">
      <w:pPr>
        <w:pStyle w:val="StyleZakonu"/>
        <w:spacing w:after="0" w:line="240" w:lineRule="auto"/>
        <w:ind w:firstLine="567"/>
        <w:rPr>
          <w:sz w:val="28"/>
          <w:szCs w:val="28"/>
          <w:lang w:val="uk-UA"/>
        </w:rPr>
      </w:pPr>
      <w:r w:rsidRPr="00826735">
        <w:rPr>
          <w:sz w:val="28"/>
          <w:szCs w:val="28"/>
          <w:lang w:val="uk-UA"/>
        </w:rPr>
        <w:t>Числові значення додаткових показників результативності буде визначено під час проведення базового відстеження статистичним методом.</w:t>
      </w:r>
    </w:p>
    <w:p w:rsidR="002B1992" w:rsidRPr="00826735" w:rsidRDefault="002B1992" w:rsidP="00447C49">
      <w:pPr>
        <w:tabs>
          <w:tab w:val="left" w:pos="851"/>
        </w:tabs>
        <w:spacing w:after="0" w:line="240" w:lineRule="auto"/>
        <w:ind w:firstLine="567"/>
        <w:jc w:val="both"/>
        <w:rPr>
          <w:rFonts w:ascii="Times New Roman" w:eastAsia="Times New Roman" w:hAnsi="Times New Roman" w:cs="Times New Roman"/>
          <w:bCs/>
          <w:sz w:val="28"/>
          <w:szCs w:val="28"/>
          <w:lang w:eastAsia="ru-RU"/>
        </w:rPr>
      </w:pPr>
    </w:p>
    <w:p w:rsidR="00C92499" w:rsidRPr="00826735" w:rsidRDefault="00C92499" w:rsidP="00447C49">
      <w:pPr>
        <w:spacing w:after="0" w:line="240" w:lineRule="auto"/>
        <w:ind w:firstLine="567"/>
        <w:jc w:val="center"/>
        <w:outlineLvl w:val="0"/>
        <w:rPr>
          <w:rFonts w:ascii="Times New Roman" w:eastAsia="Times New Roman" w:hAnsi="Times New Roman" w:cs="Times New Roman"/>
          <w:b/>
          <w:bCs/>
          <w:sz w:val="28"/>
          <w:szCs w:val="28"/>
          <w:lang w:eastAsia="ru-RU"/>
        </w:rPr>
      </w:pPr>
      <w:r w:rsidRPr="00826735">
        <w:rPr>
          <w:rFonts w:ascii="Times New Roman" w:eastAsia="Times New Roman" w:hAnsi="Times New Roman" w:cs="Times New Roman"/>
          <w:b/>
          <w:bCs/>
          <w:sz w:val="28"/>
          <w:szCs w:val="28"/>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826735">
        <w:rPr>
          <w:rFonts w:ascii="Times New Roman" w:eastAsia="Times New Roman" w:hAnsi="Times New Roman" w:cs="Times New Roman"/>
          <w:b/>
          <w:bCs/>
          <w:sz w:val="28"/>
          <w:szCs w:val="28"/>
          <w:lang w:eastAsia="ru-RU"/>
        </w:rPr>
        <w:t>акта</w:t>
      </w:r>
      <w:proofErr w:type="spellEnd"/>
    </w:p>
    <w:p w:rsidR="00C54ED7" w:rsidRPr="00826735" w:rsidRDefault="00C54ED7" w:rsidP="00447C49">
      <w:pPr>
        <w:widowControl w:val="0"/>
        <w:spacing w:after="0" w:line="240" w:lineRule="auto"/>
        <w:ind w:firstLine="567"/>
        <w:jc w:val="both"/>
        <w:rPr>
          <w:rFonts w:ascii="Times New Roman" w:eastAsia="Times New Roman" w:hAnsi="Times New Roman" w:cs="Times New Roman"/>
          <w:sz w:val="18"/>
          <w:szCs w:val="18"/>
          <w:lang w:eastAsia="ru-RU"/>
        </w:rPr>
      </w:pPr>
    </w:p>
    <w:p w:rsidR="00CE75CE" w:rsidRPr="00826735" w:rsidRDefault="00CE75CE" w:rsidP="00CE75CE">
      <w:pPr>
        <w:widowControl w:val="0"/>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 xml:space="preserve">Відповідно до статті 10 Закону України «Про засади державної регуляторної політики у сфері господарської діяльності» стосовно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буде здійснюватися базове, повторне та періодичне відстеження.</w:t>
      </w:r>
    </w:p>
    <w:p w:rsidR="00CE75CE" w:rsidRPr="00826735" w:rsidRDefault="00CE75CE" w:rsidP="00CE75CE">
      <w:pPr>
        <w:widowControl w:val="0"/>
        <w:spacing w:after="0" w:line="240" w:lineRule="auto"/>
        <w:ind w:firstLine="567"/>
        <w:jc w:val="both"/>
        <w:rPr>
          <w:rFonts w:ascii="Times New Roman" w:eastAsia="Times New Roman" w:hAnsi="Times New Roman" w:cs="Times New Roman"/>
          <w:sz w:val="28"/>
          <w:szCs w:val="28"/>
          <w:lang w:eastAsia="ru-RU"/>
        </w:rPr>
      </w:pPr>
      <w:r w:rsidRPr="00826735">
        <w:rPr>
          <w:rFonts w:ascii="Times New Roman" w:eastAsia="Times New Roman" w:hAnsi="Times New Roman" w:cs="Times New Roman"/>
          <w:sz w:val="28"/>
          <w:szCs w:val="28"/>
          <w:lang w:eastAsia="ru-RU"/>
        </w:rPr>
        <w:t xml:space="preserve">Відстеження результативності дії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здійснюватиме Державна митна служба України шляхом аналізу статистичних даних показників результативності регуляторного </w:t>
      </w:r>
      <w:proofErr w:type="spellStart"/>
      <w:r w:rsidRPr="00826735">
        <w:rPr>
          <w:rFonts w:ascii="Times New Roman" w:eastAsia="Times New Roman" w:hAnsi="Times New Roman" w:cs="Times New Roman"/>
          <w:sz w:val="28"/>
          <w:szCs w:val="28"/>
          <w:lang w:eastAsia="ru-RU"/>
        </w:rPr>
        <w:t>акта</w:t>
      </w:r>
      <w:proofErr w:type="spellEnd"/>
      <w:r w:rsidRPr="00826735">
        <w:rPr>
          <w:rFonts w:ascii="Times New Roman" w:eastAsia="Times New Roman" w:hAnsi="Times New Roman" w:cs="Times New Roman"/>
          <w:sz w:val="28"/>
          <w:szCs w:val="28"/>
          <w:lang w:eastAsia="ru-RU"/>
        </w:rPr>
        <w:t xml:space="preserve"> за допомогою інформаційних </w:t>
      </w:r>
      <w:r w:rsidRPr="00826735">
        <w:rPr>
          <w:rFonts w:ascii="Times New Roman" w:eastAsia="Times New Roman" w:hAnsi="Times New Roman" w:cs="Times New Roman"/>
          <w:sz w:val="28"/>
          <w:szCs w:val="28"/>
          <w:lang w:eastAsia="ru-RU"/>
        </w:rPr>
        <w:lastRenderedPageBreak/>
        <w:t>систем Держмитслужби.</w:t>
      </w:r>
    </w:p>
    <w:p w:rsidR="00C54ED7" w:rsidRPr="00826735" w:rsidRDefault="00C54ED7" w:rsidP="00C54ED7">
      <w:pPr>
        <w:pStyle w:val="StyleZakonu"/>
        <w:spacing w:after="0" w:line="240" w:lineRule="auto"/>
        <w:ind w:firstLine="567"/>
        <w:rPr>
          <w:sz w:val="28"/>
          <w:szCs w:val="28"/>
          <w:lang w:val="uk-UA"/>
        </w:rPr>
      </w:pPr>
      <w:r w:rsidRPr="00826735">
        <w:rPr>
          <w:sz w:val="28"/>
          <w:szCs w:val="28"/>
          <w:lang w:val="uk-UA"/>
        </w:rPr>
        <w:t xml:space="preserve">Базове відстеження результативності цього регуляторного </w:t>
      </w:r>
      <w:proofErr w:type="spellStart"/>
      <w:r w:rsidRPr="00826735">
        <w:rPr>
          <w:sz w:val="28"/>
          <w:szCs w:val="28"/>
          <w:lang w:val="uk-UA"/>
        </w:rPr>
        <w:t>акта</w:t>
      </w:r>
      <w:proofErr w:type="spellEnd"/>
      <w:r w:rsidRPr="00826735">
        <w:rPr>
          <w:sz w:val="28"/>
          <w:szCs w:val="28"/>
          <w:lang w:val="uk-UA"/>
        </w:rPr>
        <w:t xml:space="preserve"> здійснюватиметься у I</w:t>
      </w:r>
      <w:r w:rsidR="009275BE" w:rsidRPr="00826735">
        <w:rPr>
          <w:sz w:val="28"/>
          <w:szCs w:val="28"/>
          <w:lang w:val="en-US"/>
        </w:rPr>
        <w:t>V</w:t>
      </w:r>
      <w:r w:rsidRPr="00826735">
        <w:rPr>
          <w:sz w:val="28"/>
          <w:szCs w:val="28"/>
          <w:lang w:val="uk-UA"/>
        </w:rPr>
        <w:t xml:space="preserve"> кварталі</w:t>
      </w:r>
      <w:r w:rsidR="00F62E01" w:rsidRPr="00F62E01">
        <w:rPr>
          <w:sz w:val="28"/>
          <w:szCs w:val="28"/>
          <w:lang w:val="ru-RU"/>
        </w:rPr>
        <w:t xml:space="preserve"> 2025</w:t>
      </w:r>
      <w:r w:rsidRPr="00826735">
        <w:rPr>
          <w:sz w:val="28"/>
          <w:szCs w:val="28"/>
          <w:lang w:val="uk-UA"/>
        </w:rPr>
        <w:t xml:space="preserve"> року після дня набрання ним чинності, оскільки для цього використовуватимуться виключно статистичні показники.</w:t>
      </w:r>
    </w:p>
    <w:p w:rsidR="00C54ED7" w:rsidRPr="00826735" w:rsidRDefault="00C54ED7" w:rsidP="00C54ED7">
      <w:pPr>
        <w:pStyle w:val="StyleZakonu"/>
        <w:spacing w:after="0" w:line="240" w:lineRule="auto"/>
        <w:ind w:firstLine="567"/>
        <w:rPr>
          <w:sz w:val="28"/>
          <w:szCs w:val="28"/>
          <w:lang w:val="uk-UA"/>
        </w:rPr>
      </w:pPr>
      <w:r w:rsidRPr="00826735">
        <w:rPr>
          <w:sz w:val="28"/>
          <w:szCs w:val="28"/>
          <w:lang w:val="uk-UA"/>
        </w:rPr>
        <w:t xml:space="preserve">Повторне відстеження результативності регуляторного </w:t>
      </w:r>
      <w:proofErr w:type="spellStart"/>
      <w:r w:rsidRPr="00826735">
        <w:rPr>
          <w:sz w:val="28"/>
          <w:szCs w:val="28"/>
          <w:lang w:val="uk-UA"/>
        </w:rPr>
        <w:t>акта</w:t>
      </w:r>
      <w:proofErr w:type="spellEnd"/>
      <w:r w:rsidRPr="00826735">
        <w:rPr>
          <w:sz w:val="28"/>
          <w:szCs w:val="28"/>
          <w:lang w:val="uk-UA"/>
        </w:rPr>
        <w:t xml:space="preserve"> здійснюватиметься через рік після виконання заходів з базового відстеження.</w:t>
      </w:r>
    </w:p>
    <w:p w:rsidR="00C54ED7" w:rsidRPr="00826735" w:rsidRDefault="00C54ED7" w:rsidP="00C54ED7">
      <w:pPr>
        <w:pStyle w:val="StyleZakonu"/>
        <w:spacing w:after="0" w:line="240" w:lineRule="auto"/>
        <w:ind w:firstLine="567"/>
        <w:rPr>
          <w:sz w:val="28"/>
          <w:szCs w:val="28"/>
          <w:lang w:val="uk-UA"/>
        </w:rPr>
      </w:pPr>
      <w:r w:rsidRPr="00826735">
        <w:rPr>
          <w:sz w:val="28"/>
          <w:szCs w:val="28"/>
          <w:lang w:val="uk-UA"/>
        </w:rPr>
        <w:t xml:space="preserve">Періодичне відстеження результативності </w:t>
      </w:r>
      <w:proofErr w:type="spellStart"/>
      <w:r w:rsidRPr="00826735">
        <w:rPr>
          <w:sz w:val="28"/>
          <w:szCs w:val="28"/>
          <w:lang w:val="uk-UA"/>
        </w:rPr>
        <w:t>акта</w:t>
      </w:r>
      <w:proofErr w:type="spellEnd"/>
      <w:r w:rsidRPr="00826735">
        <w:rPr>
          <w:sz w:val="28"/>
          <w:szCs w:val="28"/>
          <w:lang w:val="uk-UA"/>
        </w:rPr>
        <w:t xml:space="preserve"> буде здійснюватися раз на кожні три роки</w:t>
      </w:r>
      <w:r w:rsidR="00F62E01">
        <w:rPr>
          <w:sz w:val="28"/>
          <w:szCs w:val="28"/>
          <w:lang w:val="uk-UA"/>
        </w:rPr>
        <w:t>,</w:t>
      </w:r>
      <w:r w:rsidRPr="00826735">
        <w:rPr>
          <w:sz w:val="28"/>
          <w:szCs w:val="28"/>
          <w:lang w:val="uk-UA"/>
        </w:rPr>
        <w:t xml:space="preserve"> починаючи з дня закінчення заходів з повторного відстеження результативності цього </w:t>
      </w:r>
      <w:proofErr w:type="spellStart"/>
      <w:r w:rsidRPr="00826735">
        <w:rPr>
          <w:sz w:val="28"/>
          <w:szCs w:val="28"/>
          <w:lang w:val="uk-UA"/>
        </w:rPr>
        <w:t>акта</w:t>
      </w:r>
      <w:proofErr w:type="spellEnd"/>
      <w:r w:rsidRPr="00826735">
        <w:rPr>
          <w:sz w:val="28"/>
          <w:szCs w:val="28"/>
          <w:lang w:val="uk-UA"/>
        </w:rPr>
        <w:t>.</w:t>
      </w:r>
    </w:p>
    <w:p w:rsidR="00C54ED7" w:rsidRPr="00826735" w:rsidRDefault="00C54ED7" w:rsidP="00C54ED7">
      <w:pPr>
        <w:pStyle w:val="StyleZakonu"/>
        <w:spacing w:after="0" w:line="240" w:lineRule="auto"/>
        <w:ind w:firstLine="567"/>
        <w:rPr>
          <w:sz w:val="28"/>
          <w:szCs w:val="28"/>
          <w:lang w:val="uk-UA"/>
        </w:rPr>
      </w:pPr>
      <w:r w:rsidRPr="00826735">
        <w:rPr>
          <w:sz w:val="28"/>
          <w:szCs w:val="28"/>
          <w:lang w:val="uk-UA"/>
        </w:rPr>
        <w:t>Метод проведення відстеження результативності – статистичний.</w:t>
      </w:r>
    </w:p>
    <w:p w:rsidR="00C54ED7" w:rsidRPr="00826735" w:rsidRDefault="00C54ED7" w:rsidP="00C54ED7">
      <w:pPr>
        <w:pStyle w:val="StyleZakonu"/>
        <w:spacing w:after="0" w:line="240" w:lineRule="auto"/>
        <w:ind w:firstLine="567"/>
        <w:rPr>
          <w:sz w:val="28"/>
          <w:szCs w:val="28"/>
          <w:lang w:val="uk-UA"/>
        </w:rPr>
      </w:pPr>
      <w:r w:rsidRPr="00826735">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C92499" w:rsidRPr="00826735" w:rsidRDefault="00C92499" w:rsidP="00F55E9A">
      <w:pPr>
        <w:spacing w:after="0" w:line="240" w:lineRule="auto"/>
        <w:ind w:left="-113" w:right="-113"/>
        <w:rPr>
          <w:rFonts w:ascii="Times New Roman" w:eastAsia="Times New Roman" w:hAnsi="Times New Roman" w:cs="Times New Roman"/>
          <w:sz w:val="28"/>
          <w:szCs w:val="28"/>
          <w:lang w:eastAsia="ru-RU"/>
        </w:rPr>
      </w:pPr>
    </w:p>
    <w:tbl>
      <w:tblPr>
        <w:tblpPr w:leftFromText="180" w:rightFromText="180" w:vertAnchor="text" w:horzAnchor="margin" w:tblpY="160"/>
        <w:tblW w:w="0" w:type="auto"/>
        <w:tblLook w:val="04A0" w:firstRow="1" w:lastRow="0" w:firstColumn="1" w:lastColumn="0" w:noHBand="0" w:noVBand="1"/>
      </w:tblPr>
      <w:tblGrid>
        <w:gridCol w:w="4657"/>
        <w:gridCol w:w="4838"/>
      </w:tblGrid>
      <w:tr w:rsidR="00F55E9A" w:rsidRPr="00826735" w:rsidTr="00F55E9A">
        <w:tc>
          <w:tcPr>
            <w:tcW w:w="4730" w:type="dxa"/>
            <w:shd w:val="clear" w:color="auto" w:fill="auto"/>
          </w:tcPr>
          <w:p w:rsidR="00F55E9A" w:rsidRPr="00826735" w:rsidRDefault="00F55E9A" w:rsidP="00F55E9A">
            <w:pPr>
              <w:widowControl w:val="0"/>
              <w:spacing w:after="0" w:line="240" w:lineRule="auto"/>
              <w:ind w:left="-59" w:right="-59"/>
              <w:jc w:val="both"/>
              <w:rPr>
                <w:rFonts w:ascii="Times New Roman" w:eastAsia="Times New Roman" w:hAnsi="Times New Roman" w:cs="Times New Roman"/>
                <w:b/>
                <w:sz w:val="28"/>
                <w:szCs w:val="28"/>
                <w:lang w:eastAsia="ru-RU"/>
              </w:rPr>
            </w:pPr>
            <w:r w:rsidRPr="00826735">
              <w:rPr>
                <w:rFonts w:ascii="Times New Roman" w:eastAsia="Times New Roman" w:hAnsi="Times New Roman" w:cs="Times New Roman"/>
                <w:b/>
                <w:sz w:val="28"/>
                <w:szCs w:val="28"/>
                <w:lang w:eastAsia="ru-RU"/>
              </w:rPr>
              <w:t xml:space="preserve">В. о. Голови </w:t>
            </w:r>
          </w:p>
          <w:p w:rsidR="00F55E9A" w:rsidRPr="00826735" w:rsidRDefault="00F55E9A" w:rsidP="00F55E9A">
            <w:pPr>
              <w:widowControl w:val="0"/>
              <w:spacing w:after="0" w:line="240" w:lineRule="auto"/>
              <w:ind w:left="-59" w:right="-59"/>
              <w:rPr>
                <w:rFonts w:ascii="Times New Roman" w:eastAsia="Times New Roman" w:hAnsi="Times New Roman" w:cs="Times New Roman"/>
                <w:sz w:val="28"/>
                <w:szCs w:val="28"/>
                <w:lang w:eastAsia="ru-RU"/>
              </w:rPr>
            </w:pPr>
            <w:r w:rsidRPr="00826735">
              <w:rPr>
                <w:rFonts w:ascii="Times New Roman" w:eastAsia="Times New Roman" w:hAnsi="Times New Roman" w:cs="Times New Roman"/>
                <w:b/>
                <w:sz w:val="28"/>
                <w:szCs w:val="28"/>
                <w:lang w:eastAsia="ru-RU"/>
              </w:rPr>
              <w:t>Державної митної служби України</w:t>
            </w:r>
          </w:p>
        </w:tc>
        <w:tc>
          <w:tcPr>
            <w:tcW w:w="4908" w:type="dxa"/>
            <w:shd w:val="clear" w:color="auto" w:fill="auto"/>
          </w:tcPr>
          <w:p w:rsidR="00F55E9A" w:rsidRPr="00826735" w:rsidRDefault="00F55E9A" w:rsidP="00F55E9A">
            <w:pPr>
              <w:widowControl w:val="0"/>
              <w:spacing w:after="0" w:line="240" w:lineRule="auto"/>
              <w:ind w:left="-59" w:right="-59"/>
              <w:jc w:val="right"/>
              <w:rPr>
                <w:rFonts w:ascii="Times New Roman" w:eastAsia="Calibri" w:hAnsi="Times New Roman" w:cs="Times New Roman"/>
                <w:b/>
                <w:sz w:val="28"/>
                <w:szCs w:val="28"/>
              </w:rPr>
            </w:pPr>
          </w:p>
          <w:p w:rsidR="00F55E9A" w:rsidRPr="00826735" w:rsidRDefault="00F55E9A" w:rsidP="00F55E9A">
            <w:pPr>
              <w:widowControl w:val="0"/>
              <w:spacing w:after="0" w:line="240" w:lineRule="auto"/>
              <w:ind w:left="-30" w:right="-30"/>
              <w:jc w:val="right"/>
              <w:rPr>
                <w:rFonts w:ascii="Times New Roman" w:eastAsia="Times New Roman" w:hAnsi="Times New Roman" w:cs="Times New Roman"/>
                <w:b/>
                <w:sz w:val="28"/>
                <w:szCs w:val="28"/>
                <w:lang w:eastAsia="ru-RU"/>
              </w:rPr>
            </w:pPr>
            <w:r w:rsidRPr="00826735">
              <w:rPr>
                <w:rFonts w:ascii="Times New Roman" w:eastAsia="Calibri" w:hAnsi="Times New Roman" w:cs="Times New Roman"/>
                <w:b/>
                <w:sz w:val="28"/>
                <w:szCs w:val="28"/>
              </w:rPr>
              <w:t>Сергій ЗВЯГІНЦЕВ</w:t>
            </w:r>
          </w:p>
        </w:tc>
      </w:tr>
    </w:tbl>
    <w:p w:rsidR="00C92499" w:rsidRPr="00826735" w:rsidRDefault="00C92499" w:rsidP="00C92499">
      <w:pPr>
        <w:spacing w:after="0" w:line="240" w:lineRule="auto"/>
        <w:jc w:val="both"/>
        <w:rPr>
          <w:rFonts w:ascii="Times New Roman" w:eastAsia="Times New Roman" w:hAnsi="Times New Roman" w:cs="Times New Roman"/>
          <w:b/>
          <w:sz w:val="27"/>
          <w:szCs w:val="27"/>
          <w:lang w:eastAsia="ru-RU"/>
        </w:rPr>
      </w:pPr>
    </w:p>
    <w:p w:rsidR="00C92499" w:rsidRPr="00826735" w:rsidRDefault="00C92499" w:rsidP="00C92499">
      <w:pPr>
        <w:spacing w:after="0" w:line="240" w:lineRule="auto"/>
        <w:jc w:val="both"/>
        <w:rPr>
          <w:rFonts w:ascii="Times New Roman" w:eastAsia="Times New Roman" w:hAnsi="Times New Roman" w:cs="Times New Roman"/>
          <w:b/>
          <w:sz w:val="28"/>
          <w:szCs w:val="28"/>
          <w:lang w:eastAsia="ru-RU"/>
        </w:rPr>
      </w:pPr>
      <w:r w:rsidRPr="00826735">
        <w:rPr>
          <w:rFonts w:ascii="Times New Roman" w:eastAsia="Times New Roman" w:hAnsi="Times New Roman" w:cs="Times New Roman"/>
          <w:b/>
          <w:sz w:val="27"/>
          <w:szCs w:val="27"/>
          <w:lang w:eastAsia="ru-RU"/>
        </w:rPr>
        <w:t>___ _____________</w:t>
      </w:r>
      <w:r w:rsidRPr="00826735">
        <w:rPr>
          <w:rFonts w:ascii="Times New Roman" w:eastAsia="Times New Roman" w:hAnsi="Times New Roman" w:cs="Times New Roman"/>
          <w:sz w:val="27"/>
          <w:szCs w:val="27"/>
          <w:lang w:eastAsia="ru-RU"/>
        </w:rPr>
        <w:t xml:space="preserve"> 202</w:t>
      </w:r>
      <w:r w:rsidR="002F47B7" w:rsidRPr="00826735">
        <w:rPr>
          <w:rFonts w:ascii="Times New Roman" w:eastAsia="Times New Roman" w:hAnsi="Times New Roman" w:cs="Times New Roman"/>
          <w:sz w:val="27"/>
          <w:szCs w:val="27"/>
          <w:lang w:eastAsia="ru-RU"/>
        </w:rPr>
        <w:t>5</w:t>
      </w:r>
      <w:r w:rsidRPr="00826735">
        <w:rPr>
          <w:rFonts w:ascii="Times New Roman" w:eastAsia="Times New Roman" w:hAnsi="Times New Roman" w:cs="Times New Roman"/>
          <w:sz w:val="27"/>
          <w:szCs w:val="27"/>
          <w:lang w:eastAsia="ru-RU"/>
        </w:rPr>
        <w:t xml:space="preserve"> р.</w:t>
      </w:r>
      <w:r w:rsidRPr="00826735">
        <w:rPr>
          <w:rFonts w:ascii="Times New Roman" w:eastAsia="Times New Roman" w:hAnsi="Times New Roman" w:cs="Times New Roman"/>
          <w:b/>
          <w:sz w:val="28"/>
          <w:szCs w:val="28"/>
          <w:lang w:eastAsia="ru-RU"/>
        </w:rPr>
        <w:t xml:space="preserve"> </w:t>
      </w:r>
    </w:p>
    <w:p w:rsidR="00975DDD" w:rsidRDefault="003318FE">
      <w:pPr>
        <w:rPr>
          <w:rFonts w:ascii="Times New Roman" w:eastAsia="Times New Roman" w:hAnsi="Times New Roman" w:cs="Times New Roman"/>
          <w:b/>
          <w:sz w:val="28"/>
          <w:szCs w:val="28"/>
          <w:lang w:eastAsia="ru-RU"/>
        </w:rPr>
        <w:sectPr w:rsidR="00975DDD" w:rsidSect="00D6672C">
          <w:headerReference w:type="default" r:id="rId8"/>
          <w:pgSz w:w="11906" w:h="16838"/>
          <w:pgMar w:top="1134" w:right="709" w:bottom="1560" w:left="1702" w:header="709" w:footer="709" w:gutter="0"/>
          <w:pgNumType w:start="1"/>
          <w:cols w:space="708"/>
          <w:titlePg/>
          <w:docGrid w:linePitch="360"/>
        </w:sectPr>
      </w:pPr>
      <w:r w:rsidRPr="00826735">
        <w:rPr>
          <w:rFonts w:ascii="Times New Roman" w:eastAsia="Times New Roman" w:hAnsi="Times New Roman" w:cs="Times New Roman"/>
          <w:b/>
          <w:sz w:val="28"/>
          <w:szCs w:val="28"/>
          <w:lang w:eastAsia="ru-RU"/>
        </w:rPr>
        <w:br w:type="page"/>
      </w:r>
    </w:p>
    <w:p w:rsidR="0072588D" w:rsidRPr="00826735" w:rsidRDefault="0072588D" w:rsidP="0072588D">
      <w:pPr>
        <w:spacing w:after="0" w:line="240" w:lineRule="auto"/>
        <w:ind w:left="6096"/>
        <w:jc w:val="both"/>
        <w:rPr>
          <w:rFonts w:ascii="Times New Roman" w:eastAsia="Times New Roman" w:hAnsi="Times New Roman" w:cs="Times New Roman"/>
          <w:bCs/>
          <w:sz w:val="24"/>
          <w:szCs w:val="28"/>
          <w:lang w:eastAsia="uk-UA"/>
        </w:rPr>
      </w:pPr>
      <w:r w:rsidRPr="00826735">
        <w:rPr>
          <w:rFonts w:ascii="Times New Roman" w:eastAsia="Times New Roman" w:hAnsi="Times New Roman" w:cs="Times New Roman"/>
          <w:bCs/>
          <w:sz w:val="24"/>
          <w:szCs w:val="28"/>
          <w:lang w:eastAsia="uk-UA"/>
        </w:rPr>
        <w:lastRenderedPageBreak/>
        <w:t>Додаток 1</w:t>
      </w:r>
    </w:p>
    <w:p w:rsidR="0072588D" w:rsidRPr="00826735" w:rsidRDefault="0072588D" w:rsidP="0072588D">
      <w:pPr>
        <w:spacing w:after="0" w:line="240" w:lineRule="auto"/>
        <w:ind w:left="6096"/>
        <w:jc w:val="both"/>
        <w:rPr>
          <w:rFonts w:ascii="Times New Roman" w:eastAsia="Times New Roman" w:hAnsi="Times New Roman" w:cs="Times New Roman"/>
          <w:bCs/>
          <w:sz w:val="24"/>
          <w:szCs w:val="28"/>
          <w:lang w:eastAsia="uk-UA"/>
        </w:rPr>
      </w:pPr>
      <w:r w:rsidRPr="00826735">
        <w:rPr>
          <w:rFonts w:ascii="Times New Roman" w:eastAsia="Times New Roman" w:hAnsi="Times New Roman" w:cs="Times New Roman"/>
          <w:bCs/>
          <w:sz w:val="24"/>
          <w:szCs w:val="28"/>
          <w:lang w:eastAsia="uk-UA"/>
        </w:rPr>
        <w:t>до аналізу регуляторного впливу</w:t>
      </w:r>
    </w:p>
    <w:p w:rsidR="0072588D" w:rsidRPr="00826735" w:rsidRDefault="0072588D" w:rsidP="0072588D">
      <w:pPr>
        <w:spacing w:after="0" w:line="240" w:lineRule="auto"/>
        <w:ind w:left="4253"/>
        <w:jc w:val="both"/>
        <w:rPr>
          <w:rFonts w:ascii="Times New Roman" w:eastAsia="Times New Roman" w:hAnsi="Times New Roman" w:cs="Times New Roman"/>
          <w:bCs/>
          <w:sz w:val="24"/>
          <w:szCs w:val="28"/>
          <w:lang w:eastAsia="uk-UA"/>
        </w:rPr>
      </w:pPr>
    </w:p>
    <w:p w:rsidR="0072588D" w:rsidRPr="00826735" w:rsidRDefault="0072588D" w:rsidP="0072588D">
      <w:pPr>
        <w:spacing w:after="0" w:line="240" w:lineRule="auto"/>
        <w:jc w:val="center"/>
        <w:rPr>
          <w:rFonts w:ascii="Times New Roman" w:eastAsia="Times New Roman" w:hAnsi="Times New Roman" w:cs="Times New Roman"/>
          <w:b/>
          <w:bCs/>
          <w:sz w:val="28"/>
          <w:szCs w:val="28"/>
          <w:lang w:eastAsia="uk-UA"/>
        </w:rPr>
      </w:pPr>
      <w:r w:rsidRPr="00826735">
        <w:rPr>
          <w:rFonts w:ascii="Times New Roman" w:eastAsia="Times New Roman" w:hAnsi="Times New Roman" w:cs="Times New Roman"/>
          <w:b/>
          <w:bCs/>
          <w:sz w:val="28"/>
          <w:szCs w:val="28"/>
          <w:lang w:eastAsia="uk-UA"/>
        </w:rPr>
        <w:t>ВИТРАТИ</w:t>
      </w:r>
      <w:r w:rsidRPr="00826735">
        <w:rPr>
          <w:rFonts w:ascii="Times New Roman" w:eastAsia="Times New Roman" w:hAnsi="Times New Roman" w:cs="Times New Roman"/>
          <w:sz w:val="24"/>
          <w:szCs w:val="24"/>
          <w:lang w:eastAsia="uk-UA"/>
        </w:rPr>
        <w:br/>
      </w:r>
      <w:r w:rsidRPr="00826735">
        <w:rPr>
          <w:rFonts w:ascii="Times New Roman" w:eastAsia="Times New Roman" w:hAnsi="Times New Roman" w:cs="Times New Roman"/>
          <w:b/>
          <w:bCs/>
          <w:sz w:val="28"/>
          <w:szCs w:val="28"/>
          <w:lang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826735">
        <w:rPr>
          <w:rFonts w:ascii="Times New Roman" w:eastAsia="Times New Roman" w:hAnsi="Times New Roman" w:cs="Times New Roman"/>
          <w:b/>
          <w:bCs/>
          <w:sz w:val="28"/>
          <w:szCs w:val="28"/>
          <w:lang w:eastAsia="uk-UA"/>
        </w:rPr>
        <w:t>акта</w:t>
      </w:r>
      <w:proofErr w:type="spellEnd"/>
    </w:p>
    <w:p w:rsidR="0072588D" w:rsidRPr="00826735" w:rsidRDefault="0072588D" w:rsidP="0072588D">
      <w:pPr>
        <w:spacing w:after="0" w:line="240" w:lineRule="auto"/>
        <w:jc w:val="center"/>
        <w:rPr>
          <w:rFonts w:ascii="Times New Roman" w:eastAsia="Times New Roman" w:hAnsi="Times New Roman" w:cs="Times New Roman"/>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6"/>
        <w:gridCol w:w="4558"/>
        <w:gridCol w:w="1043"/>
        <w:gridCol w:w="1036"/>
        <w:gridCol w:w="1104"/>
        <w:gridCol w:w="1055"/>
        <w:gridCol w:w="13"/>
      </w:tblGrid>
      <w:tr w:rsidR="0072588D" w:rsidRPr="00826735" w:rsidTr="00667BE0">
        <w:trPr>
          <w:trHeight w:val="587"/>
          <w:jc w:val="center"/>
        </w:trPr>
        <w:tc>
          <w:tcPr>
            <w:tcW w:w="356" w:type="pct"/>
            <w:vMerge w:val="restart"/>
            <w:textDirection w:val="btLr"/>
            <w:vAlign w:val="center"/>
            <w:hideMark/>
          </w:tcPr>
          <w:p w:rsidR="0072588D" w:rsidRPr="00826735" w:rsidRDefault="0072588D" w:rsidP="00667BE0">
            <w:pPr>
              <w:spacing w:after="0" w:line="240" w:lineRule="auto"/>
              <w:ind w:left="59" w:right="59"/>
              <w:jc w:val="center"/>
              <w:rPr>
                <w:rFonts w:ascii="Times New Roman" w:eastAsia="Times New Roman" w:hAnsi="Times New Roman" w:cs="Times New Roman"/>
                <w:sz w:val="24"/>
                <w:szCs w:val="24"/>
                <w:lang w:eastAsia="uk-UA"/>
              </w:rPr>
            </w:pPr>
            <w:bookmarkStart w:id="1" w:name="n178"/>
            <w:bookmarkEnd w:id="1"/>
            <w:r w:rsidRPr="00826735">
              <w:rPr>
                <w:rFonts w:ascii="Times New Roman" w:eastAsia="Times New Roman" w:hAnsi="Times New Roman" w:cs="Times New Roman"/>
                <w:sz w:val="24"/>
                <w:szCs w:val="24"/>
                <w:lang w:eastAsia="uk-UA"/>
              </w:rPr>
              <w:t>Порядковий номер</w:t>
            </w:r>
          </w:p>
        </w:tc>
        <w:tc>
          <w:tcPr>
            <w:tcW w:w="2403" w:type="pct"/>
            <w:vMerge w:val="restart"/>
            <w:vAlign w:val="center"/>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w:t>
            </w:r>
          </w:p>
        </w:tc>
        <w:tc>
          <w:tcPr>
            <w:tcW w:w="1096" w:type="pct"/>
            <w:gridSpan w:val="2"/>
            <w:vAlign w:val="center"/>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перший рік</w:t>
            </w:r>
          </w:p>
        </w:tc>
        <w:tc>
          <w:tcPr>
            <w:tcW w:w="1145" w:type="pct"/>
            <w:gridSpan w:val="3"/>
            <w:vAlign w:val="center"/>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п’ять років</w:t>
            </w:r>
          </w:p>
        </w:tc>
      </w:tr>
      <w:tr w:rsidR="0072588D" w:rsidRPr="00826735" w:rsidTr="00667BE0">
        <w:trPr>
          <w:gridAfter w:val="1"/>
          <w:wAfter w:w="7" w:type="pct"/>
          <w:cantSplit/>
          <w:trHeight w:val="1857"/>
          <w:jc w:val="center"/>
        </w:trPr>
        <w:tc>
          <w:tcPr>
            <w:tcW w:w="356" w:type="pct"/>
            <w:vMerge/>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p>
        </w:tc>
        <w:tc>
          <w:tcPr>
            <w:tcW w:w="2403" w:type="pct"/>
            <w:vMerge/>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p>
        </w:tc>
        <w:tc>
          <w:tcPr>
            <w:tcW w:w="550" w:type="pct"/>
            <w:textDirection w:val="btLr"/>
          </w:tcPr>
          <w:p w:rsidR="0072588D" w:rsidRPr="00826735" w:rsidRDefault="0072588D" w:rsidP="00667BE0">
            <w:pPr>
              <w:spacing w:after="0" w:line="240" w:lineRule="auto"/>
              <w:ind w:left="59" w:right="59"/>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Альтернативою 1</w:t>
            </w:r>
          </w:p>
        </w:tc>
        <w:tc>
          <w:tcPr>
            <w:tcW w:w="546" w:type="pct"/>
            <w:textDirection w:val="btLr"/>
          </w:tcPr>
          <w:p w:rsidR="0072588D" w:rsidRPr="00826735" w:rsidRDefault="0072588D" w:rsidP="00667BE0">
            <w:pPr>
              <w:spacing w:after="0" w:line="240" w:lineRule="auto"/>
              <w:ind w:left="59" w:right="59"/>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Альтернативою 2</w:t>
            </w:r>
          </w:p>
        </w:tc>
        <w:tc>
          <w:tcPr>
            <w:tcW w:w="582" w:type="pct"/>
            <w:textDirection w:val="btLr"/>
          </w:tcPr>
          <w:p w:rsidR="0072588D" w:rsidRPr="00826735" w:rsidRDefault="0072588D" w:rsidP="00667BE0">
            <w:pPr>
              <w:spacing w:after="0" w:line="240" w:lineRule="auto"/>
              <w:ind w:left="59" w:right="59"/>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Альтернативою 1</w:t>
            </w:r>
          </w:p>
        </w:tc>
        <w:tc>
          <w:tcPr>
            <w:tcW w:w="556" w:type="pct"/>
            <w:textDirection w:val="btLr"/>
          </w:tcPr>
          <w:p w:rsidR="0072588D" w:rsidRPr="00826735" w:rsidRDefault="0072588D" w:rsidP="00667BE0">
            <w:pPr>
              <w:spacing w:after="0" w:line="240" w:lineRule="auto"/>
              <w:ind w:left="59" w:right="59"/>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за Альтернативою 2</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1</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2</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3</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 пов’язані із веденням обліку, підготовкою та поданням звітності державним органам,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4</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5</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6</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Витрати на оборотні активи (матеріали, канцелярські товари тощо),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trHeight w:val="492"/>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7</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 xml:space="preserve">Витрати, пов’язані із </w:t>
            </w:r>
            <w:proofErr w:type="spellStart"/>
            <w:r w:rsidRPr="00826735">
              <w:rPr>
                <w:rFonts w:ascii="Times New Roman" w:eastAsia="Times New Roman" w:hAnsi="Times New Roman" w:cs="Times New Roman"/>
                <w:sz w:val="24"/>
                <w:szCs w:val="24"/>
                <w:lang w:eastAsia="uk-UA"/>
              </w:rPr>
              <w:t>наймом</w:t>
            </w:r>
            <w:proofErr w:type="spellEnd"/>
            <w:r w:rsidRPr="00826735">
              <w:rPr>
                <w:rFonts w:ascii="Times New Roman" w:eastAsia="Times New Roman" w:hAnsi="Times New Roman" w:cs="Times New Roman"/>
                <w:sz w:val="24"/>
                <w:szCs w:val="24"/>
                <w:lang w:eastAsia="uk-UA"/>
              </w:rPr>
              <w:t xml:space="preserve"> додаткового персоналу,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8</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Інше (уточнити), гривень</w:t>
            </w:r>
          </w:p>
          <w:p w:rsidR="0072588D" w:rsidRPr="00826735" w:rsidRDefault="0072588D" w:rsidP="00667BE0">
            <w:pPr>
              <w:spacing w:after="0" w:line="240" w:lineRule="auto"/>
              <w:jc w:val="both"/>
              <w:rPr>
                <w:rFonts w:ascii="Times New Roman" w:eastAsia="Times New Roman" w:hAnsi="Times New Roman" w:cs="Times New Roman"/>
                <w:i/>
                <w:sz w:val="24"/>
                <w:szCs w:val="24"/>
                <w:lang w:eastAsia="uk-UA"/>
              </w:rPr>
            </w:pPr>
            <w:r w:rsidRPr="00826735">
              <w:rPr>
                <w:rFonts w:ascii="Times New Roman" w:eastAsia="Times New Roman" w:hAnsi="Times New Roman" w:cs="Times New Roman"/>
                <w:i/>
                <w:sz w:val="24"/>
                <w:szCs w:val="24"/>
                <w:lang w:eastAsia="uk-UA"/>
              </w:rPr>
              <w:t xml:space="preserve">Припускаємо, що для ознайомлення із вимогами регуляторного </w:t>
            </w:r>
            <w:proofErr w:type="spellStart"/>
            <w:r w:rsidRPr="00826735">
              <w:rPr>
                <w:rFonts w:ascii="Times New Roman" w:eastAsia="Times New Roman" w:hAnsi="Times New Roman" w:cs="Times New Roman"/>
                <w:i/>
                <w:sz w:val="24"/>
                <w:szCs w:val="24"/>
                <w:lang w:eastAsia="uk-UA"/>
              </w:rPr>
              <w:t>акта</w:t>
            </w:r>
            <w:proofErr w:type="spellEnd"/>
            <w:r w:rsidRPr="00826735">
              <w:rPr>
                <w:rFonts w:ascii="Times New Roman" w:eastAsia="Times New Roman" w:hAnsi="Times New Roman" w:cs="Times New Roman"/>
                <w:i/>
                <w:sz w:val="24"/>
                <w:szCs w:val="24"/>
                <w:lang w:eastAsia="uk-UA"/>
              </w:rPr>
              <w:t xml:space="preserve"> суб’єкту господарювання необхідно </w:t>
            </w:r>
            <w:proofErr w:type="spellStart"/>
            <w:r w:rsidRPr="00826735">
              <w:rPr>
                <w:rFonts w:ascii="Times New Roman" w:eastAsia="Times New Roman" w:hAnsi="Times New Roman" w:cs="Times New Roman"/>
                <w:i/>
                <w:sz w:val="24"/>
                <w:szCs w:val="24"/>
                <w:lang w:eastAsia="uk-UA"/>
              </w:rPr>
              <w:t>разово</w:t>
            </w:r>
            <w:proofErr w:type="spellEnd"/>
            <w:r w:rsidRPr="00826735">
              <w:rPr>
                <w:rFonts w:ascii="Times New Roman" w:eastAsia="Times New Roman" w:hAnsi="Times New Roman" w:cs="Times New Roman"/>
                <w:i/>
                <w:sz w:val="24"/>
                <w:szCs w:val="24"/>
                <w:lang w:eastAsia="uk-UA"/>
              </w:rPr>
              <w:t xml:space="preserve"> витратити 1 годину.</w:t>
            </w:r>
          </w:p>
          <w:p w:rsidR="0072588D" w:rsidRPr="00826735" w:rsidRDefault="0072588D" w:rsidP="004F5879">
            <w:pPr>
              <w:spacing w:after="0" w:line="240" w:lineRule="auto"/>
              <w:jc w:val="both"/>
              <w:rPr>
                <w:rFonts w:ascii="Times New Roman" w:eastAsia="Times New Roman" w:hAnsi="Times New Roman" w:cs="Times New Roman"/>
                <w:i/>
                <w:sz w:val="24"/>
                <w:szCs w:val="24"/>
                <w:lang w:eastAsia="uk-UA"/>
              </w:rPr>
            </w:pPr>
            <w:r w:rsidRPr="00826735">
              <w:rPr>
                <w:rFonts w:ascii="Times New Roman" w:eastAsia="Times New Roman" w:hAnsi="Times New Roman" w:cs="Times New Roman"/>
                <w:i/>
                <w:sz w:val="24"/>
                <w:szCs w:val="24"/>
                <w:lang w:eastAsia="uk-UA"/>
              </w:rPr>
              <w:t xml:space="preserve">Витрати в грошовому еквіваленті визначено з урахуванням розміру мінімальної погодинної заробітної плати в </w:t>
            </w:r>
            <w:r w:rsidRPr="00826735">
              <w:rPr>
                <w:rFonts w:ascii="Times New Roman" w:eastAsia="Times New Roman" w:hAnsi="Times New Roman" w:cs="Times New Roman"/>
                <w:i/>
                <w:sz w:val="24"/>
                <w:szCs w:val="24"/>
                <w:lang w:eastAsia="uk-UA"/>
              </w:rPr>
              <w:lastRenderedPageBreak/>
              <w:t xml:space="preserve">Україні станом на 01.04.2025, яка становила 48,00 грн/год. </w:t>
            </w:r>
            <w:r w:rsidR="00932245">
              <w:rPr>
                <w:rFonts w:ascii="Times New Roman" w:eastAsia="Times New Roman" w:hAnsi="Times New Roman" w:cs="Times New Roman"/>
                <w:i/>
                <w:sz w:val="24"/>
                <w:szCs w:val="24"/>
                <w:lang w:eastAsia="uk-UA"/>
              </w:rPr>
              <w:t>Отже,</w:t>
            </w:r>
            <w:r w:rsidRPr="00826735">
              <w:rPr>
                <w:rFonts w:ascii="Times New Roman" w:eastAsia="Times New Roman" w:hAnsi="Times New Roman" w:cs="Times New Roman"/>
                <w:i/>
                <w:sz w:val="24"/>
                <w:szCs w:val="24"/>
                <w:lang w:eastAsia="uk-UA"/>
              </w:rPr>
              <w:t xml:space="preserve"> розмір витрат становитиме 48</w:t>
            </w:r>
            <w:r w:rsidR="006C15CE">
              <w:rPr>
                <w:rFonts w:ascii="Times New Roman" w:eastAsia="Times New Roman" w:hAnsi="Times New Roman" w:cs="Times New Roman"/>
                <w:i/>
                <w:sz w:val="24"/>
                <w:szCs w:val="24"/>
                <w:lang w:eastAsia="uk-UA"/>
              </w:rPr>
              <w:t>,00</w:t>
            </w:r>
            <w:r w:rsidRPr="00826735">
              <w:rPr>
                <w:rFonts w:ascii="Times New Roman" w:eastAsia="Times New Roman" w:hAnsi="Times New Roman" w:cs="Times New Roman"/>
                <w:i/>
                <w:sz w:val="24"/>
                <w:szCs w:val="24"/>
                <w:lang w:eastAsia="uk-UA"/>
              </w:rPr>
              <w:t xml:space="preserve"> гривень</w:t>
            </w:r>
          </w:p>
        </w:tc>
        <w:tc>
          <w:tcPr>
            <w:tcW w:w="550" w:type="pct"/>
          </w:tcPr>
          <w:p w:rsidR="0072588D" w:rsidRPr="00826735" w:rsidRDefault="0072588D" w:rsidP="00667BE0">
            <w:pPr>
              <w:tabs>
                <w:tab w:val="left" w:pos="190"/>
                <w:tab w:val="center" w:pos="222"/>
              </w:tabs>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lastRenderedPageBreak/>
              <w:t>0,00</w:t>
            </w:r>
          </w:p>
        </w:tc>
        <w:tc>
          <w:tcPr>
            <w:tcW w:w="546" w:type="pct"/>
          </w:tcPr>
          <w:p w:rsidR="0072588D" w:rsidRPr="00826735" w:rsidRDefault="003D4B7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48</w:t>
            </w:r>
            <w:r w:rsidR="0072588D" w:rsidRPr="00826735">
              <w:rPr>
                <w:rFonts w:ascii="Times New Roman" w:eastAsia="Times New Roman" w:hAnsi="Times New Roman" w:cs="Times New Roman"/>
                <w:sz w:val="24"/>
                <w:szCs w:val="24"/>
                <w:lang w:eastAsia="uk-UA"/>
              </w:rPr>
              <w:t>,00</w:t>
            </w:r>
          </w:p>
        </w:tc>
        <w:tc>
          <w:tcPr>
            <w:tcW w:w="582"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0,00</w:t>
            </w:r>
          </w:p>
        </w:tc>
        <w:tc>
          <w:tcPr>
            <w:tcW w:w="556" w:type="pct"/>
          </w:tcPr>
          <w:p w:rsidR="0072588D" w:rsidRPr="00826735" w:rsidRDefault="003D4B7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48</w:t>
            </w:r>
            <w:r w:rsidR="0072588D" w:rsidRPr="00826735">
              <w:rPr>
                <w:rFonts w:ascii="Times New Roman" w:eastAsia="Times New Roman" w:hAnsi="Times New Roman" w:cs="Times New Roman"/>
                <w:sz w:val="24"/>
                <w:szCs w:val="24"/>
                <w:lang w:eastAsia="uk-UA"/>
              </w:rPr>
              <w:t>,00</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lastRenderedPageBreak/>
              <w:t>9</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РАЗОМ (сума рядків: 1 + 2 + 3 + 4 + 5 + 6 + 7 + 8), гривень</w:t>
            </w:r>
          </w:p>
        </w:tc>
        <w:tc>
          <w:tcPr>
            <w:tcW w:w="550"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0,00</w:t>
            </w:r>
          </w:p>
        </w:tc>
        <w:tc>
          <w:tcPr>
            <w:tcW w:w="546" w:type="pct"/>
          </w:tcPr>
          <w:p w:rsidR="0072588D" w:rsidRPr="00826735" w:rsidRDefault="00773B09"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48</w:t>
            </w:r>
            <w:r w:rsidR="0072588D" w:rsidRPr="00826735">
              <w:rPr>
                <w:rFonts w:ascii="Times New Roman" w:eastAsia="Times New Roman" w:hAnsi="Times New Roman" w:cs="Times New Roman"/>
                <w:sz w:val="24"/>
                <w:szCs w:val="24"/>
                <w:lang w:eastAsia="uk-UA"/>
              </w:rPr>
              <w:t>,00</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0,00</w:t>
            </w:r>
          </w:p>
        </w:tc>
        <w:tc>
          <w:tcPr>
            <w:tcW w:w="556" w:type="pct"/>
          </w:tcPr>
          <w:p w:rsidR="0072588D" w:rsidRPr="00826735" w:rsidRDefault="00773B09"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48</w:t>
            </w:r>
            <w:r w:rsidR="0072588D" w:rsidRPr="00826735">
              <w:rPr>
                <w:rFonts w:ascii="Times New Roman" w:eastAsia="Times New Roman" w:hAnsi="Times New Roman" w:cs="Times New Roman"/>
                <w:sz w:val="24"/>
                <w:szCs w:val="24"/>
                <w:lang w:eastAsia="uk-UA"/>
              </w:rPr>
              <w:t>,00</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10</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2 259</w:t>
            </w:r>
          </w:p>
        </w:tc>
        <w:tc>
          <w:tcPr>
            <w:tcW w:w="54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2 259</w:t>
            </w:r>
          </w:p>
        </w:tc>
        <w:tc>
          <w:tcPr>
            <w:tcW w:w="582"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2 259</w:t>
            </w:r>
          </w:p>
        </w:tc>
        <w:tc>
          <w:tcPr>
            <w:tcW w:w="556" w:type="pct"/>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2 259</w:t>
            </w:r>
          </w:p>
        </w:tc>
      </w:tr>
      <w:tr w:rsidR="0072588D" w:rsidRPr="00826735" w:rsidTr="00667BE0">
        <w:trPr>
          <w:gridAfter w:val="1"/>
          <w:wAfter w:w="7" w:type="pct"/>
          <w:jc w:val="center"/>
        </w:trPr>
        <w:tc>
          <w:tcPr>
            <w:tcW w:w="356"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11</w:t>
            </w:r>
          </w:p>
        </w:tc>
        <w:tc>
          <w:tcPr>
            <w:tcW w:w="2403" w:type="pct"/>
            <w:hideMark/>
          </w:tcPr>
          <w:p w:rsidR="0072588D" w:rsidRPr="00826735" w:rsidRDefault="0072588D" w:rsidP="00667BE0">
            <w:pPr>
              <w:spacing w:after="0" w:line="240" w:lineRule="auto"/>
              <w:jc w:val="both"/>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50"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0,00</w:t>
            </w:r>
          </w:p>
        </w:tc>
        <w:tc>
          <w:tcPr>
            <w:tcW w:w="546" w:type="pct"/>
          </w:tcPr>
          <w:p w:rsidR="0072588D" w:rsidRPr="00826735" w:rsidRDefault="00773B09"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108</w:t>
            </w:r>
            <w:r w:rsidR="0072588D" w:rsidRPr="00826735">
              <w:rPr>
                <w:rFonts w:ascii="Times New Roman" w:eastAsia="Times New Roman" w:hAnsi="Times New Roman" w:cs="Times New Roman"/>
                <w:sz w:val="24"/>
                <w:szCs w:val="24"/>
                <w:lang w:eastAsia="uk-UA"/>
              </w:rPr>
              <w:t> </w:t>
            </w:r>
            <w:r w:rsidRPr="00826735">
              <w:rPr>
                <w:rFonts w:ascii="Times New Roman" w:eastAsia="Times New Roman" w:hAnsi="Times New Roman" w:cs="Times New Roman"/>
                <w:sz w:val="24"/>
                <w:szCs w:val="24"/>
                <w:lang w:eastAsia="uk-UA"/>
              </w:rPr>
              <w:t>432</w:t>
            </w:r>
            <w:r w:rsidR="0072588D" w:rsidRPr="00826735">
              <w:rPr>
                <w:rFonts w:ascii="Times New Roman" w:eastAsia="Times New Roman" w:hAnsi="Times New Roman" w:cs="Times New Roman"/>
                <w:sz w:val="24"/>
                <w:szCs w:val="24"/>
                <w:lang w:eastAsia="uk-UA"/>
              </w:rPr>
              <w:t>,00</w:t>
            </w:r>
          </w:p>
        </w:tc>
        <w:tc>
          <w:tcPr>
            <w:tcW w:w="582" w:type="pct"/>
            <w:hideMark/>
          </w:tcPr>
          <w:p w:rsidR="0072588D" w:rsidRPr="00826735" w:rsidRDefault="0072588D"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0,00</w:t>
            </w:r>
          </w:p>
        </w:tc>
        <w:tc>
          <w:tcPr>
            <w:tcW w:w="556" w:type="pct"/>
          </w:tcPr>
          <w:p w:rsidR="0072588D" w:rsidRPr="00826735" w:rsidRDefault="00773B09" w:rsidP="00667BE0">
            <w:pPr>
              <w:spacing w:after="0" w:line="240" w:lineRule="auto"/>
              <w:jc w:val="center"/>
              <w:rPr>
                <w:rFonts w:ascii="Times New Roman" w:eastAsia="Times New Roman" w:hAnsi="Times New Roman" w:cs="Times New Roman"/>
                <w:sz w:val="24"/>
                <w:szCs w:val="24"/>
                <w:lang w:eastAsia="uk-UA"/>
              </w:rPr>
            </w:pPr>
            <w:r w:rsidRPr="00826735">
              <w:rPr>
                <w:rFonts w:ascii="Times New Roman" w:eastAsia="Times New Roman" w:hAnsi="Times New Roman" w:cs="Times New Roman"/>
                <w:sz w:val="24"/>
                <w:szCs w:val="24"/>
                <w:lang w:eastAsia="uk-UA"/>
              </w:rPr>
              <w:t>108 432,00</w:t>
            </w:r>
          </w:p>
        </w:tc>
      </w:tr>
    </w:tbl>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bookmarkStart w:id="2" w:name="n179"/>
      <w:bookmarkEnd w:id="2"/>
    </w:p>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Розрахунок відповідних витрат на одного суб’єкта господарювання</w:t>
      </w:r>
    </w:p>
    <w:tbl>
      <w:tblPr>
        <w:tblW w:w="5000" w:type="pct"/>
        <w:tblCellMar>
          <w:top w:w="15" w:type="dxa"/>
          <w:left w:w="15" w:type="dxa"/>
          <w:bottom w:w="15" w:type="dxa"/>
          <w:right w:w="15" w:type="dxa"/>
        </w:tblCellMar>
        <w:tblLook w:val="04A0" w:firstRow="1" w:lastRow="0" w:firstColumn="1" w:lastColumn="0" w:noHBand="0" w:noVBand="1"/>
      </w:tblPr>
      <w:tblGrid>
        <w:gridCol w:w="4451"/>
        <w:gridCol w:w="101"/>
        <w:gridCol w:w="1645"/>
        <w:gridCol w:w="1546"/>
        <w:gridCol w:w="99"/>
        <w:gridCol w:w="1643"/>
      </w:tblGrid>
      <w:tr w:rsidR="0072588D" w:rsidRPr="00826735" w:rsidTr="00667BE0">
        <w:tc>
          <w:tcPr>
            <w:tcW w:w="2400" w:type="pct"/>
            <w:gridSpan w:val="2"/>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bookmarkStart w:id="3" w:name="n180"/>
            <w:bookmarkEnd w:id="3"/>
            <w:r w:rsidRPr="00826735">
              <w:rPr>
                <w:rFonts w:ascii="Times New Roman" w:eastAsia="Arial" w:hAnsi="Times New Roman" w:cs="Times New Roman"/>
                <w:sz w:val="24"/>
                <w:szCs w:val="24"/>
                <w:lang w:eastAsia="uk-UA"/>
              </w:rPr>
              <w:t>Вид витрат</w:t>
            </w:r>
          </w:p>
        </w:tc>
        <w:tc>
          <w:tcPr>
            <w:tcW w:w="867" w:type="pct"/>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У перший рік</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Періодичні (за рік)</w:t>
            </w:r>
          </w:p>
        </w:tc>
        <w:tc>
          <w:tcPr>
            <w:tcW w:w="866" w:type="pct"/>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2400" w:type="pct"/>
            <w:gridSpan w:val="2"/>
            <w:tcBorders>
              <w:top w:val="single" w:sz="4" w:space="0" w:color="auto"/>
              <w:left w:val="single" w:sz="4" w:space="0" w:color="auto"/>
              <w:bottom w:val="single" w:sz="4" w:space="0" w:color="auto"/>
              <w:right w:val="single" w:sz="4" w:space="0" w:color="auto"/>
            </w:tcBorders>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866" w:type="pct"/>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c>
          <w:tcPr>
            <w:tcW w:w="2400" w:type="pct"/>
            <w:gridSpan w:val="2"/>
            <w:tcBorders>
              <w:bottom w:val="single" w:sz="4" w:space="0" w:color="auto"/>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867" w:type="pct"/>
            <w:tcBorders>
              <w:bottom w:val="single" w:sz="4" w:space="0" w:color="auto"/>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867" w:type="pct"/>
            <w:gridSpan w:val="2"/>
            <w:tcBorders>
              <w:bottom w:val="single" w:sz="4" w:space="0" w:color="auto"/>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866" w:type="pct"/>
            <w:tcBorders>
              <w:bottom w:val="single" w:sz="4" w:space="0" w:color="auto"/>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r>
      <w:tr w:rsidR="0072588D" w:rsidRPr="00826735" w:rsidTr="00667BE0">
        <w:tc>
          <w:tcPr>
            <w:tcW w:w="2347" w:type="pct"/>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bookmarkStart w:id="4" w:name="n181"/>
            <w:bookmarkEnd w:id="4"/>
            <w:r w:rsidRPr="00826735">
              <w:rPr>
                <w:rFonts w:ascii="Times New Roman" w:eastAsia="Arial" w:hAnsi="Times New Roman" w:cs="Times New Roman"/>
                <w:sz w:val="24"/>
                <w:szCs w:val="24"/>
                <w:lang w:eastAsia="uk-UA"/>
              </w:rPr>
              <w:t>Вид витрат</w:t>
            </w:r>
          </w:p>
        </w:tc>
        <w:tc>
          <w:tcPr>
            <w:tcW w:w="1735" w:type="pct"/>
            <w:gridSpan w:val="3"/>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сплату податків та зборів (змінених/нововведених)</w:t>
            </w:r>
          </w:p>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(за рік)</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2347" w:type="pct"/>
            <w:tcBorders>
              <w:top w:val="single" w:sz="4" w:space="0" w:color="auto"/>
              <w:left w:val="single" w:sz="4" w:space="0" w:color="auto"/>
              <w:bottom w:val="single" w:sz="4" w:space="0" w:color="auto"/>
              <w:right w:val="single" w:sz="4" w:space="0" w:color="auto"/>
            </w:tcBorders>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Податки та збори (зміна розміру податків/зборів, виникнення необхідності у сплаті податків/зборів)</w:t>
            </w:r>
          </w:p>
        </w:tc>
        <w:tc>
          <w:tcPr>
            <w:tcW w:w="1735" w:type="pct"/>
            <w:gridSpan w:val="3"/>
            <w:tcBorders>
              <w:top w:val="single" w:sz="4" w:space="0" w:color="auto"/>
              <w:left w:val="single" w:sz="4" w:space="0" w:color="auto"/>
              <w:bottom w:val="single" w:sz="4" w:space="0" w:color="auto"/>
              <w:right w:val="single" w:sz="4" w:space="0" w:color="auto"/>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c>
          <w:tcPr>
            <w:tcW w:w="2347" w:type="pct"/>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1735" w:type="pct"/>
            <w:gridSpan w:val="3"/>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918" w:type="pct"/>
            <w:gridSpan w:val="2"/>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r>
    </w:tbl>
    <w:p w:rsidR="0072588D" w:rsidRPr="00826735" w:rsidRDefault="0072588D" w:rsidP="0072588D">
      <w:pPr>
        <w:shd w:val="clear" w:color="auto" w:fill="FFFFFF"/>
        <w:spacing w:after="0" w:line="240" w:lineRule="auto"/>
        <w:rPr>
          <w:rFonts w:ascii="Times New Roman" w:eastAsia="Arial" w:hAnsi="Times New Roman" w:cs="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5"/>
        <w:gridCol w:w="1742"/>
        <w:gridCol w:w="1742"/>
        <w:gridCol w:w="1645"/>
        <w:gridCol w:w="1451"/>
      </w:tblGrid>
      <w:tr w:rsidR="0072588D" w:rsidRPr="00826735" w:rsidTr="00667BE0">
        <w:tc>
          <w:tcPr>
            <w:tcW w:w="15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Вид витрат</w:t>
            </w:r>
          </w:p>
        </w:tc>
        <w:tc>
          <w:tcPr>
            <w:tcW w:w="9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ведення обліку, підготовку та подання звітності (за рік)</w:t>
            </w:r>
          </w:p>
        </w:tc>
        <w:tc>
          <w:tcPr>
            <w:tcW w:w="9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оплату штрафних санкцій за рік</w:t>
            </w:r>
          </w:p>
        </w:tc>
        <w:tc>
          <w:tcPr>
            <w:tcW w:w="8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Разом за рік</w:t>
            </w:r>
          </w:p>
        </w:tc>
        <w:tc>
          <w:tcPr>
            <w:tcW w:w="7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1500" w:type="pct"/>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пов’язані із веденням обліку, підготовкою та поданням звітності державним органам (витрати часу персоналу)</w:t>
            </w:r>
          </w:p>
        </w:tc>
        <w:tc>
          <w:tcPr>
            <w:tcW w:w="9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9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8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7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bl>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p>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2"/>
        <w:gridCol w:w="2322"/>
        <w:gridCol w:w="1645"/>
        <w:gridCol w:w="1258"/>
        <w:gridCol w:w="1258"/>
      </w:tblGrid>
      <w:tr w:rsidR="0072588D" w:rsidRPr="00826735" w:rsidTr="00667BE0">
        <w:tc>
          <w:tcPr>
            <w:tcW w:w="15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bookmarkStart w:id="5" w:name="n184"/>
            <w:bookmarkEnd w:id="5"/>
            <w:r w:rsidRPr="00826735">
              <w:rPr>
                <w:rFonts w:ascii="Times New Roman" w:eastAsia="Arial" w:hAnsi="Times New Roman" w:cs="Times New Roman"/>
                <w:sz w:val="24"/>
                <w:szCs w:val="24"/>
                <w:lang w:eastAsia="uk-UA"/>
              </w:rPr>
              <w:t>Вид витрат</w:t>
            </w:r>
          </w:p>
        </w:tc>
        <w:tc>
          <w:tcPr>
            <w:tcW w:w="12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xml:space="preserve">Витрати* на адміністрування заходів державного </w:t>
            </w:r>
            <w:r w:rsidRPr="00826735">
              <w:rPr>
                <w:rFonts w:ascii="Times New Roman" w:eastAsia="Arial" w:hAnsi="Times New Roman" w:cs="Times New Roman"/>
                <w:sz w:val="24"/>
                <w:szCs w:val="24"/>
                <w:lang w:eastAsia="uk-UA"/>
              </w:rPr>
              <w:lastRenderedPageBreak/>
              <w:t>нагляду (контролю) (за рік)</w:t>
            </w:r>
          </w:p>
        </w:tc>
        <w:tc>
          <w:tcPr>
            <w:tcW w:w="8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 xml:space="preserve">Витрати на оплату штрафних </w:t>
            </w:r>
            <w:r w:rsidRPr="00826735">
              <w:rPr>
                <w:rFonts w:ascii="Times New Roman" w:eastAsia="Arial" w:hAnsi="Times New Roman" w:cs="Times New Roman"/>
                <w:sz w:val="24"/>
                <w:szCs w:val="24"/>
                <w:lang w:eastAsia="uk-UA"/>
              </w:rPr>
              <w:lastRenderedPageBreak/>
              <w:t>санкцій та усунення виявлених порушень (за рік)</w:t>
            </w:r>
          </w:p>
        </w:tc>
        <w:tc>
          <w:tcPr>
            <w:tcW w:w="6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Разом за рік</w:t>
            </w:r>
          </w:p>
        </w:tc>
        <w:tc>
          <w:tcPr>
            <w:tcW w:w="6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1550" w:type="pct"/>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8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6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6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bl>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bookmarkStart w:id="6" w:name="n185"/>
      <w:bookmarkEnd w:id="6"/>
      <w:r w:rsidRPr="00826735">
        <w:rPr>
          <w:rFonts w:ascii="Times New Roman" w:eastAsia="Arial" w:hAnsi="Times New Roman" w:cs="Times New Roman"/>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72588D" w:rsidRPr="00826735" w:rsidRDefault="0072588D" w:rsidP="0072588D">
      <w:pPr>
        <w:shd w:val="clear" w:color="auto" w:fill="FFFFFF"/>
        <w:spacing w:after="0" w:line="240" w:lineRule="auto"/>
        <w:rPr>
          <w:rFonts w:ascii="Times New Roman" w:eastAsia="Arial"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2"/>
        <w:gridCol w:w="679"/>
        <w:gridCol w:w="1064"/>
        <w:gridCol w:w="873"/>
        <w:gridCol w:w="1062"/>
        <w:gridCol w:w="969"/>
        <w:gridCol w:w="675"/>
        <w:gridCol w:w="1161"/>
      </w:tblGrid>
      <w:tr w:rsidR="0072588D" w:rsidRPr="00826735" w:rsidTr="00667BE0">
        <w:tc>
          <w:tcPr>
            <w:tcW w:w="1582" w:type="pct"/>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bookmarkStart w:id="7" w:name="n186"/>
            <w:bookmarkEnd w:id="7"/>
            <w:r w:rsidRPr="00826735">
              <w:rPr>
                <w:rFonts w:ascii="Times New Roman" w:eastAsia="Arial" w:hAnsi="Times New Roman" w:cs="Times New Roman"/>
                <w:sz w:val="24"/>
                <w:szCs w:val="24"/>
                <w:lang w:eastAsia="uk-UA"/>
              </w:rPr>
              <w:t>Вид витрат</w:t>
            </w:r>
          </w:p>
        </w:tc>
        <w:tc>
          <w:tcPr>
            <w:tcW w:w="919"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проходження відповідних процедур (витрати часу, витрати на експертизи, тощо)</w:t>
            </w:r>
          </w:p>
        </w:tc>
        <w:tc>
          <w:tcPr>
            <w:tcW w:w="1020"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безпосередньо на дозволи, ліцензії, сертифікати, страхові поліси (за рік - стартовий)</w:t>
            </w:r>
          </w:p>
        </w:tc>
        <w:tc>
          <w:tcPr>
            <w:tcW w:w="867"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Разом за рік (стартовий)</w:t>
            </w:r>
          </w:p>
        </w:tc>
        <w:tc>
          <w:tcPr>
            <w:tcW w:w="612" w:type="pct"/>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1582" w:type="pct"/>
            <w:tcBorders>
              <w:bottom w:val="single" w:sz="4" w:space="0" w:color="auto"/>
            </w:tcBorders>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020"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867"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612" w:type="pct"/>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c>
          <w:tcPr>
            <w:tcW w:w="1582" w:type="pct"/>
            <w:tcBorders>
              <w:top w:val="single" w:sz="4" w:space="0" w:color="auto"/>
              <w:left w:val="nil"/>
              <w:bottom w:val="single" w:sz="4" w:space="0" w:color="auto"/>
              <w:right w:val="nil"/>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919" w:type="pct"/>
            <w:gridSpan w:val="2"/>
            <w:tcBorders>
              <w:top w:val="single" w:sz="4" w:space="0" w:color="auto"/>
              <w:left w:val="nil"/>
              <w:bottom w:val="single" w:sz="4" w:space="0" w:color="auto"/>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c>
          <w:tcPr>
            <w:tcW w:w="1020" w:type="pct"/>
            <w:gridSpan w:val="2"/>
            <w:tcBorders>
              <w:top w:val="single" w:sz="4" w:space="0" w:color="auto"/>
              <w:left w:val="nil"/>
              <w:bottom w:val="single" w:sz="4" w:space="0" w:color="auto"/>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c>
          <w:tcPr>
            <w:tcW w:w="867" w:type="pct"/>
            <w:gridSpan w:val="2"/>
            <w:tcBorders>
              <w:top w:val="single" w:sz="4" w:space="0" w:color="auto"/>
              <w:left w:val="nil"/>
              <w:bottom w:val="single" w:sz="4" w:space="0" w:color="auto"/>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c>
          <w:tcPr>
            <w:tcW w:w="612" w:type="pct"/>
            <w:tcBorders>
              <w:top w:val="single" w:sz="4" w:space="0" w:color="auto"/>
              <w:left w:val="nil"/>
              <w:bottom w:val="single" w:sz="4" w:space="0" w:color="auto"/>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r>
      <w:tr w:rsidR="0072588D" w:rsidRPr="00826735" w:rsidTr="00667BE0">
        <w:tc>
          <w:tcPr>
            <w:tcW w:w="1940" w:type="pct"/>
            <w:gridSpan w:val="2"/>
            <w:tcBorders>
              <w:top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Вид витрат</w:t>
            </w:r>
          </w:p>
        </w:tc>
        <w:tc>
          <w:tcPr>
            <w:tcW w:w="1021" w:type="pct"/>
            <w:gridSpan w:val="2"/>
            <w:tcBorders>
              <w:top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За рік (стартовий)</w:t>
            </w:r>
          </w:p>
        </w:tc>
        <w:tc>
          <w:tcPr>
            <w:tcW w:w="1071" w:type="pct"/>
            <w:gridSpan w:val="2"/>
            <w:tcBorders>
              <w:top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Періодичні</w:t>
            </w:r>
            <w:r w:rsidRPr="00826735">
              <w:rPr>
                <w:rFonts w:ascii="Times New Roman" w:eastAsia="Arial" w:hAnsi="Times New Roman" w:cs="Times New Roman"/>
                <w:sz w:val="24"/>
                <w:szCs w:val="24"/>
                <w:lang w:eastAsia="uk-UA"/>
              </w:rPr>
              <w:br/>
              <w:t>(за наступний рік)</w:t>
            </w:r>
          </w:p>
        </w:tc>
        <w:tc>
          <w:tcPr>
            <w:tcW w:w="968" w:type="pct"/>
            <w:gridSpan w:val="2"/>
            <w:tcBorders>
              <w:top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1940" w:type="pct"/>
            <w:gridSpan w:val="2"/>
            <w:tcBorders>
              <w:bottom w:val="single" w:sz="4" w:space="0" w:color="auto"/>
            </w:tcBorders>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оборотні активи (матеріали, канцелярські товари тощо)</w:t>
            </w:r>
          </w:p>
        </w:tc>
        <w:tc>
          <w:tcPr>
            <w:tcW w:w="1021"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071"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968" w:type="pct"/>
            <w:gridSpan w:val="2"/>
            <w:tcBorders>
              <w:bottom w:val="single" w:sz="4" w:space="0" w:color="auto"/>
            </w:tcBorders>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c>
          <w:tcPr>
            <w:tcW w:w="1940" w:type="pct"/>
            <w:gridSpan w:val="2"/>
            <w:tcBorders>
              <w:top w:val="nil"/>
              <w:left w:val="nil"/>
              <w:bottom w:val="nil"/>
              <w:right w:val="nil"/>
            </w:tcBorders>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p>
        </w:tc>
        <w:tc>
          <w:tcPr>
            <w:tcW w:w="1021" w:type="pct"/>
            <w:gridSpan w:val="2"/>
            <w:tcBorders>
              <w:top w:val="nil"/>
              <w:left w:val="nil"/>
              <w:bottom w:val="nil"/>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c>
          <w:tcPr>
            <w:tcW w:w="1071" w:type="pct"/>
            <w:gridSpan w:val="2"/>
            <w:tcBorders>
              <w:top w:val="nil"/>
              <w:left w:val="nil"/>
              <w:bottom w:val="nil"/>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c>
          <w:tcPr>
            <w:tcW w:w="968" w:type="pct"/>
            <w:gridSpan w:val="2"/>
            <w:tcBorders>
              <w:top w:val="nil"/>
              <w:left w:val="nil"/>
              <w:bottom w:val="nil"/>
              <w:right w:val="nil"/>
            </w:tcBorders>
            <w:vAlign w:val="center"/>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p>
        </w:tc>
      </w:tr>
    </w:tbl>
    <w:p w:rsidR="0072588D" w:rsidRPr="00826735" w:rsidRDefault="0072588D" w:rsidP="0072588D">
      <w:pPr>
        <w:shd w:val="clear" w:color="auto" w:fill="FFFFFF"/>
        <w:spacing w:after="0" w:line="240" w:lineRule="auto"/>
        <w:rPr>
          <w:rFonts w:ascii="Times New Roman" w:eastAsia="Arial" w:hAnsi="Times New Roman" w:cs="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5"/>
        <w:gridCol w:w="3969"/>
        <w:gridCol w:w="1741"/>
      </w:tblGrid>
      <w:tr w:rsidR="0072588D" w:rsidRPr="00826735" w:rsidTr="00667BE0">
        <w:tc>
          <w:tcPr>
            <w:tcW w:w="19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Вид витрат</w:t>
            </w:r>
          </w:p>
        </w:tc>
        <w:tc>
          <w:tcPr>
            <w:tcW w:w="20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на оплату праці додатково найманого персоналу (за рік)</w:t>
            </w:r>
          </w:p>
        </w:tc>
        <w:tc>
          <w:tcPr>
            <w:tcW w:w="90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w:t>
            </w:r>
            <w:r w:rsidRPr="00826735">
              <w:rPr>
                <w:rFonts w:ascii="Times New Roman" w:eastAsia="Arial" w:hAnsi="Times New Roman" w:cs="Times New Roman"/>
                <w:sz w:val="24"/>
                <w:szCs w:val="24"/>
                <w:lang w:eastAsia="uk-UA"/>
              </w:rPr>
              <w:br/>
              <w:t>п’ять років</w:t>
            </w:r>
          </w:p>
        </w:tc>
      </w:tr>
      <w:tr w:rsidR="0072588D" w:rsidRPr="00826735" w:rsidTr="00667BE0">
        <w:tc>
          <w:tcPr>
            <w:tcW w:w="1950" w:type="pct"/>
            <w:hideMark/>
          </w:tcPr>
          <w:p w:rsidR="0072588D" w:rsidRPr="00826735" w:rsidRDefault="0072588D" w:rsidP="00667BE0">
            <w:pPr>
              <w:shd w:val="clear" w:color="auto" w:fill="FFFFFF"/>
              <w:spacing w:after="0" w:line="240" w:lineRule="auto"/>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xml:space="preserve">Витрати, пов’язані із </w:t>
            </w:r>
            <w:proofErr w:type="spellStart"/>
            <w:r w:rsidRPr="00826735">
              <w:rPr>
                <w:rFonts w:ascii="Times New Roman" w:eastAsia="Arial" w:hAnsi="Times New Roman" w:cs="Times New Roman"/>
                <w:sz w:val="24"/>
                <w:szCs w:val="24"/>
                <w:lang w:eastAsia="uk-UA"/>
              </w:rPr>
              <w:t>наймом</w:t>
            </w:r>
            <w:proofErr w:type="spellEnd"/>
            <w:r w:rsidRPr="00826735">
              <w:rPr>
                <w:rFonts w:ascii="Times New Roman" w:eastAsia="Arial" w:hAnsi="Times New Roman" w:cs="Times New Roman"/>
                <w:sz w:val="24"/>
                <w:szCs w:val="24"/>
                <w:lang w:eastAsia="uk-UA"/>
              </w:rPr>
              <w:t xml:space="preserve"> додаткового персоналу</w:t>
            </w:r>
          </w:p>
        </w:tc>
        <w:tc>
          <w:tcPr>
            <w:tcW w:w="2050" w:type="pct"/>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0" w:type="auto"/>
            <w:vAlign w:val="center"/>
            <w:hideMark/>
          </w:tcPr>
          <w:p w:rsidR="0072588D" w:rsidRPr="00826735" w:rsidRDefault="0072588D" w:rsidP="00667BE0">
            <w:pPr>
              <w:shd w:val="clear" w:color="auto" w:fill="FFFFFF"/>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bl>
    <w:p w:rsidR="007822CE" w:rsidRDefault="007822CE" w:rsidP="00124555">
      <w:pPr>
        <w:shd w:val="clear" w:color="auto" w:fill="FFFFFF"/>
        <w:spacing w:after="0" w:line="240" w:lineRule="auto"/>
        <w:rPr>
          <w:rFonts w:ascii="Times New Roman" w:hAnsi="Times New Roman" w:cs="Times New Roman"/>
          <w:sz w:val="24"/>
          <w:szCs w:val="24"/>
        </w:rPr>
        <w:sectPr w:rsidR="007822CE" w:rsidSect="00D6672C">
          <w:pgSz w:w="11906" w:h="16838"/>
          <w:pgMar w:top="1134" w:right="709" w:bottom="1560" w:left="1702" w:header="709" w:footer="709" w:gutter="0"/>
          <w:pgNumType w:start="1"/>
          <w:cols w:space="708"/>
          <w:titlePg/>
          <w:docGrid w:linePitch="360"/>
        </w:sectPr>
      </w:pPr>
    </w:p>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72588D" w:rsidRPr="00826735" w:rsidTr="00667BE0">
        <w:tc>
          <w:tcPr>
            <w:tcW w:w="4649" w:type="dxa"/>
            <w:tcBorders>
              <w:top w:val="nil"/>
              <w:left w:val="nil"/>
              <w:bottom w:val="nil"/>
              <w:right w:val="nil"/>
            </w:tcBorders>
          </w:tcPr>
          <w:p w:rsidR="0072588D" w:rsidRPr="00826735" w:rsidRDefault="0072588D" w:rsidP="00667BE0">
            <w:pPr>
              <w:spacing w:after="0" w:line="240" w:lineRule="auto"/>
              <w:ind w:left="246"/>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Додаток 2</w:t>
            </w:r>
          </w:p>
          <w:p w:rsidR="0072588D" w:rsidRPr="00826735" w:rsidRDefault="0072588D" w:rsidP="00667BE0">
            <w:pPr>
              <w:spacing w:after="0" w:line="240" w:lineRule="auto"/>
              <w:ind w:left="246"/>
              <w:rPr>
                <w:rFonts w:ascii="Times New Roman" w:eastAsia="Arial" w:hAnsi="Times New Roman" w:cs="Times New Roman"/>
                <w:sz w:val="28"/>
                <w:szCs w:val="28"/>
                <w:lang w:eastAsia="uk-UA"/>
              </w:rPr>
            </w:pPr>
            <w:r w:rsidRPr="00826735">
              <w:rPr>
                <w:rFonts w:ascii="Times New Roman" w:eastAsia="Arial" w:hAnsi="Times New Roman" w:cs="Times New Roman"/>
                <w:sz w:val="24"/>
                <w:szCs w:val="24"/>
                <w:lang w:eastAsia="uk-UA"/>
              </w:rPr>
              <w:t>до аналізу регуляторного впливу</w:t>
            </w:r>
            <w:r w:rsidRPr="00826735">
              <w:rPr>
                <w:rFonts w:ascii="Times New Roman" w:eastAsia="Arial" w:hAnsi="Times New Roman" w:cs="Times New Roman"/>
                <w:sz w:val="28"/>
                <w:szCs w:val="28"/>
                <w:lang w:eastAsia="uk-UA"/>
              </w:rPr>
              <w:t xml:space="preserve"> </w:t>
            </w:r>
          </w:p>
        </w:tc>
      </w:tr>
    </w:tbl>
    <w:p w:rsidR="0072588D" w:rsidRPr="00826735" w:rsidRDefault="0072588D" w:rsidP="0072588D">
      <w:pPr>
        <w:spacing w:after="0" w:line="240" w:lineRule="auto"/>
        <w:rPr>
          <w:rFonts w:ascii="Times New Roman" w:eastAsia="Arial" w:hAnsi="Times New Roman" w:cs="Times New Roman"/>
          <w:sz w:val="24"/>
          <w:szCs w:val="24"/>
          <w:lang w:eastAsia="uk-UA"/>
        </w:rPr>
      </w:pPr>
    </w:p>
    <w:p w:rsidR="0072588D" w:rsidRPr="00826735" w:rsidRDefault="0072588D" w:rsidP="0072588D">
      <w:pPr>
        <w:spacing w:after="0" w:line="240" w:lineRule="auto"/>
        <w:jc w:val="center"/>
        <w:rPr>
          <w:rFonts w:ascii="Times New Roman" w:eastAsia="Arial" w:hAnsi="Times New Roman" w:cs="Times New Roman"/>
          <w:b/>
          <w:sz w:val="28"/>
          <w:szCs w:val="24"/>
          <w:lang w:eastAsia="uk-UA"/>
        </w:rPr>
      </w:pPr>
      <w:r w:rsidRPr="00826735">
        <w:rPr>
          <w:rFonts w:ascii="Times New Roman" w:eastAsia="Arial" w:hAnsi="Times New Roman" w:cs="Times New Roman"/>
          <w:b/>
          <w:sz w:val="28"/>
          <w:szCs w:val="24"/>
          <w:lang w:eastAsia="uk-UA"/>
        </w:rPr>
        <w:t>ТЕСТ</w:t>
      </w:r>
    </w:p>
    <w:p w:rsidR="0072588D" w:rsidRPr="00826735" w:rsidRDefault="0072588D" w:rsidP="0072588D">
      <w:pPr>
        <w:spacing w:after="0" w:line="240" w:lineRule="auto"/>
        <w:jc w:val="center"/>
        <w:rPr>
          <w:rFonts w:ascii="Times New Roman" w:eastAsia="Arial" w:hAnsi="Times New Roman" w:cs="Times New Roman"/>
          <w:b/>
          <w:sz w:val="28"/>
          <w:szCs w:val="24"/>
          <w:lang w:eastAsia="uk-UA"/>
        </w:rPr>
      </w:pPr>
      <w:r w:rsidRPr="00826735">
        <w:rPr>
          <w:rFonts w:ascii="Times New Roman" w:eastAsia="Arial" w:hAnsi="Times New Roman" w:cs="Times New Roman"/>
          <w:b/>
          <w:sz w:val="28"/>
          <w:szCs w:val="24"/>
          <w:lang w:eastAsia="uk-UA"/>
        </w:rPr>
        <w:t>малого підприємництва (М-Тест)</w:t>
      </w:r>
    </w:p>
    <w:p w:rsidR="0072588D" w:rsidRPr="00826735" w:rsidRDefault="0072588D" w:rsidP="0072588D">
      <w:pPr>
        <w:spacing w:after="0" w:line="240" w:lineRule="auto"/>
        <w:jc w:val="center"/>
        <w:rPr>
          <w:rFonts w:ascii="Times New Roman" w:eastAsia="Arial" w:hAnsi="Times New Roman" w:cs="Times New Roman"/>
          <w:b/>
          <w:sz w:val="24"/>
          <w:szCs w:val="24"/>
          <w:lang w:eastAsia="uk-UA"/>
        </w:rPr>
      </w:pPr>
    </w:p>
    <w:p w:rsidR="0072588D" w:rsidRPr="00826735" w:rsidRDefault="0072588D" w:rsidP="008C2C25">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w:t>
      </w:r>
      <w:r w:rsidR="00A870B8">
        <w:rPr>
          <w:rFonts w:ascii="Times New Roman" w:eastAsia="Arial" w:hAnsi="Times New Roman" w:cs="Times New Roman"/>
          <w:sz w:val="24"/>
          <w:szCs w:val="24"/>
          <w:lang w:eastAsia="uk-UA"/>
        </w:rPr>
        <w:t> </w:t>
      </w:r>
      <w:r w:rsidRPr="00826735">
        <w:rPr>
          <w:rFonts w:ascii="Times New Roman" w:eastAsia="Arial" w:hAnsi="Times New Roman" w:cs="Times New Roman"/>
          <w:sz w:val="24"/>
          <w:szCs w:val="24"/>
          <w:lang w:eastAsia="uk-UA"/>
        </w:rPr>
        <w:t>Консультації з представниками мікро- та малого підприємництва щодо оцінки впливу регулювання не проводились.</w:t>
      </w:r>
    </w:p>
    <w:p w:rsidR="0072588D" w:rsidRPr="00826735" w:rsidRDefault="0072588D" w:rsidP="008C2C25">
      <w:pPr>
        <w:spacing w:after="0" w:line="240" w:lineRule="auto"/>
        <w:ind w:firstLine="426"/>
        <w:jc w:val="both"/>
        <w:rPr>
          <w:rFonts w:ascii="Times New Roman" w:eastAsia="Arial" w:hAnsi="Times New Roman" w:cs="Times New Roman"/>
          <w:sz w:val="24"/>
          <w:szCs w:val="24"/>
          <w:lang w:eastAsia="uk-UA"/>
        </w:rPr>
      </w:pPr>
    </w:p>
    <w:p w:rsidR="0072588D" w:rsidRPr="00826735" w:rsidRDefault="0072588D" w:rsidP="008C2C25">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w:t>
      </w:r>
      <w:r w:rsidR="00A870B8">
        <w:rPr>
          <w:rFonts w:ascii="Times New Roman" w:eastAsia="Arial" w:hAnsi="Times New Roman" w:cs="Times New Roman"/>
          <w:sz w:val="24"/>
          <w:szCs w:val="24"/>
          <w:lang w:eastAsia="uk-UA"/>
        </w:rPr>
        <w:t> </w:t>
      </w:r>
      <w:r w:rsidRPr="00826735">
        <w:rPr>
          <w:rFonts w:ascii="Times New Roman" w:eastAsia="Arial" w:hAnsi="Times New Roman" w:cs="Times New Roman"/>
          <w:sz w:val="24"/>
          <w:szCs w:val="24"/>
          <w:lang w:eastAsia="uk-UA"/>
        </w:rPr>
        <w:t xml:space="preserve">Вимірювання впливу регулювання на суб’єктів малого підприємництва (мікро- </w:t>
      </w:r>
      <w:r w:rsidRPr="00826735">
        <w:rPr>
          <w:rFonts w:ascii="Times New Roman" w:eastAsia="Arial" w:hAnsi="Times New Roman" w:cs="Times New Roman"/>
          <w:sz w:val="24"/>
          <w:szCs w:val="24"/>
          <w:lang w:eastAsia="uk-UA"/>
        </w:rPr>
        <w:br/>
        <w:t>та малі):</w:t>
      </w:r>
    </w:p>
    <w:p w:rsidR="0072588D" w:rsidRPr="00826735" w:rsidRDefault="0072588D" w:rsidP="008C2C25">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xml:space="preserve">кількість суб’єктів малого підприємництва, на яких поширюється регулювання: 45 389, у тому числі малого підприємництва 5 927 та </w:t>
      </w:r>
      <w:proofErr w:type="spellStart"/>
      <w:r w:rsidRPr="00826735">
        <w:rPr>
          <w:rFonts w:ascii="Times New Roman" w:eastAsia="Arial" w:hAnsi="Times New Roman" w:cs="Times New Roman"/>
          <w:sz w:val="24"/>
          <w:szCs w:val="24"/>
          <w:lang w:eastAsia="uk-UA"/>
        </w:rPr>
        <w:t>мікропідприємництва</w:t>
      </w:r>
      <w:proofErr w:type="spellEnd"/>
      <w:r w:rsidRPr="00826735">
        <w:rPr>
          <w:rFonts w:ascii="Times New Roman" w:eastAsia="Arial" w:hAnsi="Times New Roman" w:cs="Times New Roman"/>
          <w:sz w:val="24"/>
          <w:szCs w:val="24"/>
          <w:lang w:eastAsia="uk-UA"/>
        </w:rPr>
        <w:t xml:space="preserve"> 39 462;</w:t>
      </w:r>
    </w:p>
    <w:p w:rsidR="0072588D" w:rsidRPr="00826735" w:rsidRDefault="0072588D" w:rsidP="008C2C25">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xml:space="preserve">питома вага суб’єктів малого підприємництва у загальній кількості суб’єктів господарювання, на яких проблема справляє вплив 95,26 відсотка (відповідно до таблиці «Оцінка впливу на сферу інтересів суб’єктів господарювання» розділу ІІІ аналізу регуляторного впливу </w:t>
      </w:r>
      <w:proofErr w:type="spellStart"/>
      <w:r w:rsidRPr="00826735">
        <w:rPr>
          <w:rFonts w:ascii="Times New Roman" w:eastAsia="Arial" w:hAnsi="Times New Roman" w:cs="Times New Roman"/>
          <w:sz w:val="24"/>
          <w:szCs w:val="24"/>
          <w:lang w:eastAsia="uk-UA"/>
        </w:rPr>
        <w:t>проєкту</w:t>
      </w:r>
      <w:proofErr w:type="spellEnd"/>
      <w:r w:rsidRPr="00826735">
        <w:rPr>
          <w:rFonts w:ascii="Times New Roman" w:eastAsia="Arial" w:hAnsi="Times New Roman" w:cs="Times New Roman"/>
          <w:sz w:val="24"/>
          <w:szCs w:val="24"/>
          <w:lang w:eastAsia="uk-UA"/>
        </w:rPr>
        <w:t xml:space="preserve"> наказу Міністерства фінансів України «</w:t>
      </w:r>
      <w:r w:rsidR="006E0B9D" w:rsidRPr="00826735">
        <w:rPr>
          <w:rFonts w:ascii="Times New Roman" w:eastAsia="Arial" w:hAnsi="Times New Roman" w:cs="Times New Roman"/>
          <w:sz w:val="24"/>
          <w:szCs w:val="24"/>
          <w:lang w:eastAsia="uk-UA"/>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826735">
        <w:rPr>
          <w:rFonts w:ascii="Times New Roman" w:eastAsia="Arial" w:hAnsi="Times New Roman" w:cs="Times New Roman"/>
          <w:sz w:val="24"/>
          <w:szCs w:val="24"/>
          <w:lang w:eastAsia="uk-UA"/>
        </w:rPr>
        <w:t>»).</w:t>
      </w:r>
    </w:p>
    <w:p w:rsidR="0072588D" w:rsidRPr="00826735" w:rsidRDefault="0072588D" w:rsidP="0072588D">
      <w:pPr>
        <w:spacing w:after="0" w:line="240" w:lineRule="auto"/>
        <w:ind w:firstLine="567"/>
        <w:jc w:val="both"/>
        <w:rPr>
          <w:rFonts w:ascii="Times New Roman" w:eastAsia="Arial" w:hAnsi="Times New Roman" w:cs="Times New Roman"/>
          <w:sz w:val="24"/>
          <w:szCs w:val="24"/>
          <w:lang w:eastAsia="uk-UA"/>
        </w:rPr>
      </w:pPr>
    </w:p>
    <w:p w:rsidR="0072588D" w:rsidRPr="00826735" w:rsidRDefault="0072588D" w:rsidP="00410DDE">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3.</w:t>
      </w:r>
      <w:r w:rsidR="00410DDE">
        <w:rPr>
          <w:rFonts w:ascii="Times New Roman" w:eastAsia="Arial" w:hAnsi="Times New Roman" w:cs="Times New Roman"/>
          <w:sz w:val="24"/>
          <w:szCs w:val="24"/>
          <w:lang w:eastAsia="uk-UA"/>
        </w:rPr>
        <w:t> </w:t>
      </w:r>
      <w:r w:rsidRPr="00826735">
        <w:rPr>
          <w:rFonts w:ascii="Times New Roman" w:eastAsia="Arial" w:hAnsi="Times New Roman" w:cs="Times New Roman"/>
          <w:sz w:val="24"/>
          <w:szCs w:val="24"/>
          <w:lang w:eastAsia="uk-UA"/>
        </w:rPr>
        <w:t>Розрахунок витрат суб’єктів малого підприємництва на виконання вимог регулювання.</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0"/>
        <w:gridCol w:w="1701"/>
        <w:gridCol w:w="1418"/>
        <w:gridCol w:w="1701"/>
        <w:gridCol w:w="58"/>
      </w:tblGrid>
      <w:tr w:rsidR="0072588D" w:rsidRPr="00826735" w:rsidTr="00667BE0">
        <w:trPr>
          <w:gridAfter w:val="1"/>
          <w:wAfter w:w="58" w:type="dxa"/>
        </w:trPr>
        <w:tc>
          <w:tcPr>
            <w:tcW w:w="846"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Порядковий номер</w:t>
            </w:r>
          </w:p>
        </w:tc>
        <w:tc>
          <w:tcPr>
            <w:tcW w:w="4110"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Найменування оцінки</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У перший рік (стартовий рік впровадження регулювання)</w:t>
            </w:r>
          </w:p>
        </w:tc>
        <w:tc>
          <w:tcPr>
            <w:tcW w:w="1418"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Періодичні (за наступний рік)</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Витрати за п’ять років</w:t>
            </w:r>
          </w:p>
        </w:tc>
      </w:tr>
      <w:tr w:rsidR="0072588D" w:rsidRPr="00826735" w:rsidTr="00667BE0">
        <w:tc>
          <w:tcPr>
            <w:tcW w:w="9834" w:type="dxa"/>
            <w:gridSpan w:val="6"/>
          </w:tcPr>
          <w:p w:rsidR="0072588D" w:rsidRPr="00826735" w:rsidRDefault="00660741" w:rsidP="00667BE0">
            <w:pPr>
              <w:spacing w:after="0" w:line="240" w:lineRule="auto"/>
              <w:jc w:val="center"/>
              <w:rPr>
                <w:rFonts w:ascii="Times New Roman" w:eastAsia="Arial" w:hAnsi="Times New Roman" w:cs="Times New Roman"/>
                <w:sz w:val="24"/>
                <w:szCs w:val="24"/>
                <w:lang w:eastAsia="uk-UA"/>
              </w:rPr>
            </w:pPr>
            <w:r>
              <w:rPr>
                <w:rFonts w:ascii="Times New Roman" w:eastAsia="Arial" w:hAnsi="Times New Roman" w:cs="Times New Roman"/>
                <w:sz w:val="24"/>
                <w:szCs w:val="24"/>
                <w:lang w:eastAsia="uk-UA"/>
              </w:rPr>
              <w:t>О</w:t>
            </w:r>
            <w:r w:rsidR="0072588D" w:rsidRPr="00826735">
              <w:rPr>
                <w:rFonts w:ascii="Times New Roman" w:eastAsia="Arial" w:hAnsi="Times New Roman" w:cs="Times New Roman"/>
                <w:sz w:val="24"/>
                <w:szCs w:val="24"/>
                <w:lang w:eastAsia="uk-UA"/>
              </w:rPr>
              <w:t>цінка «прямих» витрат суб’єктів малого підприємництва на виконання регулювання</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Придбання необхідного обладнання (пристроїв, машин, механізмів)</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3</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експлуатації обладнання (експлуатаційні витрати – витратні матеріали)</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обслуговування обладнання (технічне обслуговування)</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5</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Інші процедури (уточнити)</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6</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Разом, гривень</w:t>
            </w:r>
          </w:p>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i/>
                <w:sz w:val="24"/>
                <w:szCs w:val="24"/>
                <w:lang w:eastAsia="uk-UA"/>
              </w:rPr>
              <w:t>Формула: (сума рядків 1 + 2 + 3 + 4 + 5)</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418" w:type="dxa"/>
            <w:vAlign w:val="center"/>
          </w:tcPr>
          <w:p w:rsidR="0072588D" w:rsidRPr="00826735" w:rsidRDefault="0072588D" w:rsidP="00667BE0">
            <w:pPr>
              <w:tabs>
                <w:tab w:val="left" w:pos="294"/>
                <w:tab w:val="center" w:pos="468"/>
              </w:tabs>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7</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Кількість суб’єктів господарювання, які мають виконати вимоги регулювання, одиниць</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418"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8</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Сумарно, гривень</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t>Формула:</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lastRenderedPageBreak/>
              <w:t>(рядок 6 Х рядок 7)</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w:t>
            </w:r>
          </w:p>
        </w:tc>
        <w:tc>
          <w:tcPr>
            <w:tcW w:w="1418"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c>
          <w:tcPr>
            <w:tcW w:w="9834" w:type="dxa"/>
            <w:gridSpan w:val="6"/>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Оцінка вартості адміністративних процедур суб’єктів малого підприємництва щодо виконання регулювання та звітування</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9</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val="ru-RU" w:eastAsia="uk-UA"/>
              </w:rPr>
            </w:pPr>
            <w:r w:rsidRPr="00826735">
              <w:rPr>
                <w:rFonts w:ascii="Times New Roman" w:eastAsia="Arial" w:hAnsi="Times New Roman" w:cs="Times New Roman"/>
                <w:sz w:val="24"/>
                <w:szCs w:val="24"/>
                <w:lang w:eastAsia="uk-UA"/>
              </w:rPr>
              <w:t>Процедури отримання первинної інформації про вимоги регулювання</w:t>
            </w:r>
            <w:r w:rsidRPr="00826735">
              <w:rPr>
                <w:rFonts w:ascii="Times New Roman" w:eastAsia="Arial" w:hAnsi="Times New Roman" w:cs="Times New Roman"/>
                <w:sz w:val="24"/>
                <w:szCs w:val="24"/>
                <w:lang w:val="ru-RU" w:eastAsia="uk-UA"/>
              </w:rPr>
              <w:t>*</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t>Формула:</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rsidR="0072588D" w:rsidRPr="00826735" w:rsidRDefault="0072588D" w:rsidP="00943ED6">
            <w:pPr>
              <w:spacing w:after="0" w:line="240" w:lineRule="auto"/>
              <w:jc w:val="both"/>
              <w:rPr>
                <w:rFonts w:ascii="Times New Roman" w:eastAsia="Arial" w:hAnsi="Times New Roman" w:cs="Times New Roman"/>
                <w:i/>
                <w:sz w:val="24"/>
                <w:szCs w:val="24"/>
                <w:lang w:eastAsia="uk-UA"/>
              </w:rPr>
            </w:pPr>
            <w:r w:rsidRPr="00826735">
              <w:rPr>
                <w:rFonts w:ascii="Times New Roman" w:eastAsia="Times New Roman" w:hAnsi="Times New Roman" w:cs="Times New Roman"/>
                <w:i/>
                <w:sz w:val="24"/>
                <w:szCs w:val="24"/>
                <w:lang w:eastAsia="uk-UA"/>
              </w:rPr>
              <w:t xml:space="preserve">Припускаємо, що для ознайомлення із вимогами регуляторного </w:t>
            </w:r>
            <w:proofErr w:type="spellStart"/>
            <w:r w:rsidRPr="00826735">
              <w:rPr>
                <w:rFonts w:ascii="Times New Roman" w:eastAsia="Times New Roman" w:hAnsi="Times New Roman" w:cs="Times New Roman"/>
                <w:i/>
                <w:sz w:val="24"/>
                <w:szCs w:val="24"/>
                <w:lang w:eastAsia="uk-UA"/>
              </w:rPr>
              <w:t>акта</w:t>
            </w:r>
            <w:proofErr w:type="spellEnd"/>
            <w:r w:rsidRPr="00826735">
              <w:rPr>
                <w:rFonts w:ascii="Times New Roman" w:eastAsia="Times New Roman" w:hAnsi="Times New Roman" w:cs="Times New Roman"/>
                <w:i/>
                <w:sz w:val="24"/>
                <w:szCs w:val="24"/>
                <w:lang w:eastAsia="uk-UA"/>
              </w:rPr>
              <w:t xml:space="preserve"> суб’єкту господарювання необхідно </w:t>
            </w:r>
            <w:proofErr w:type="spellStart"/>
            <w:r w:rsidRPr="00826735">
              <w:rPr>
                <w:rFonts w:ascii="Times New Roman" w:eastAsia="Times New Roman" w:hAnsi="Times New Roman" w:cs="Times New Roman"/>
                <w:i/>
                <w:sz w:val="24"/>
                <w:szCs w:val="24"/>
                <w:lang w:eastAsia="uk-UA"/>
              </w:rPr>
              <w:t>разово</w:t>
            </w:r>
            <w:proofErr w:type="spellEnd"/>
            <w:r w:rsidRPr="00826735">
              <w:rPr>
                <w:rFonts w:ascii="Times New Roman" w:eastAsia="Times New Roman" w:hAnsi="Times New Roman" w:cs="Times New Roman"/>
                <w:i/>
                <w:sz w:val="24"/>
                <w:szCs w:val="24"/>
                <w:lang w:eastAsia="uk-UA"/>
              </w:rPr>
              <w:t xml:space="preserve"> витратити 1 год</w:t>
            </w:r>
            <w:r w:rsidR="00CB1D4A" w:rsidRPr="00826735">
              <w:rPr>
                <w:rFonts w:ascii="Times New Roman" w:eastAsia="Times New Roman" w:hAnsi="Times New Roman" w:cs="Times New Roman"/>
                <w:i/>
                <w:sz w:val="24"/>
                <w:szCs w:val="24"/>
                <w:lang w:eastAsia="uk-UA"/>
              </w:rPr>
              <w:t>ину</w:t>
            </w:r>
            <w:r w:rsidRPr="00826735">
              <w:rPr>
                <w:rFonts w:ascii="Times New Roman" w:eastAsia="Times New Roman" w:hAnsi="Times New Roman" w:cs="Times New Roman"/>
                <w:i/>
                <w:sz w:val="24"/>
                <w:szCs w:val="24"/>
                <w:lang w:eastAsia="uk-UA"/>
              </w:rPr>
              <w:t xml:space="preserve">. Витрати в грошовому еквіваленті визначено з урахуванням розміру мінімальної погодинної заробітної плати в Україні станом на 01.04.2025, яка становила 48,00 грн/год. </w:t>
            </w:r>
            <w:r w:rsidR="00943ED6">
              <w:rPr>
                <w:rFonts w:ascii="Times New Roman" w:eastAsia="Times New Roman" w:hAnsi="Times New Roman" w:cs="Times New Roman"/>
                <w:i/>
                <w:sz w:val="24"/>
                <w:szCs w:val="24"/>
                <w:lang w:eastAsia="uk-UA"/>
              </w:rPr>
              <w:t>Отже,</w:t>
            </w:r>
            <w:r w:rsidRPr="00826735">
              <w:rPr>
                <w:rFonts w:ascii="Times New Roman" w:eastAsia="Times New Roman" w:hAnsi="Times New Roman" w:cs="Times New Roman"/>
                <w:i/>
                <w:sz w:val="24"/>
                <w:szCs w:val="24"/>
                <w:lang w:eastAsia="uk-UA"/>
              </w:rPr>
              <w:t xml:space="preserve"> розмір витрат становитиме 48,00 гривень</w:t>
            </w:r>
          </w:p>
        </w:tc>
        <w:tc>
          <w:tcPr>
            <w:tcW w:w="1701" w:type="dxa"/>
            <w:vAlign w:val="center"/>
          </w:tcPr>
          <w:p w:rsidR="0072588D" w:rsidRPr="00826735" w:rsidRDefault="00CB1D4A"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48</w:t>
            </w:r>
            <w:r w:rsidR="0072588D" w:rsidRPr="00826735">
              <w:rPr>
                <w:rFonts w:ascii="Times New Roman" w:eastAsia="Arial" w:hAnsi="Times New Roman" w:cs="Times New Roman"/>
                <w:sz w:val="24"/>
                <w:szCs w:val="24"/>
                <w:lang w:eastAsia="uk-UA"/>
              </w:rPr>
              <w:t>,00</w:t>
            </w:r>
          </w:p>
        </w:tc>
        <w:tc>
          <w:tcPr>
            <w:tcW w:w="1418"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vAlign w:val="center"/>
          </w:tcPr>
          <w:p w:rsidR="0072588D" w:rsidRPr="00826735" w:rsidRDefault="00CB1D4A" w:rsidP="00667BE0">
            <w:pPr>
              <w:spacing w:after="0"/>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48</w:t>
            </w:r>
            <w:r w:rsidR="0072588D" w:rsidRPr="00826735">
              <w:rPr>
                <w:rFonts w:ascii="Times New Roman" w:eastAsia="Arial" w:hAnsi="Times New Roman" w:cs="Times New Roman"/>
                <w:sz w:val="24"/>
                <w:szCs w:val="24"/>
                <w:lang w:eastAsia="uk-UA"/>
              </w:rPr>
              <w:t>,00</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10</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організації виконання вимог регулювання</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41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11</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офіційного звітування</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12</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Процедури щодо забезпечення процесу перевірок</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418"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c>
          <w:tcPr>
            <w:tcW w:w="1701"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13</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Інші процедури (уточнити)</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p>
        </w:tc>
        <w:tc>
          <w:tcPr>
            <w:tcW w:w="141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p w:rsidR="0072588D" w:rsidRPr="00826735" w:rsidRDefault="0072588D" w:rsidP="00667BE0">
            <w:pPr>
              <w:spacing w:after="0" w:line="240" w:lineRule="auto"/>
              <w:jc w:val="center"/>
              <w:rPr>
                <w:rFonts w:ascii="Times New Roman" w:eastAsia="Arial" w:hAnsi="Times New Roman" w:cs="Times New Roman"/>
                <w:sz w:val="24"/>
                <w:szCs w:val="24"/>
                <w:lang w:eastAsia="uk-UA"/>
              </w:rPr>
            </w:pP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14</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Разом, гривень</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t>Формула:</w:t>
            </w:r>
          </w:p>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i/>
                <w:sz w:val="24"/>
                <w:szCs w:val="24"/>
                <w:lang w:eastAsia="uk-UA"/>
              </w:rPr>
              <w:t>(сума рядків 9 + 10 + 11 + 12 + 13)</w:t>
            </w:r>
          </w:p>
        </w:tc>
        <w:tc>
          <w:tcPr>
            <w:tcW w:w="1701" w:type="dxa"/>
          </w:tcPr>
          <w:p w:rsidR="0072588D" w:rsidRPr="00826735" w:rsidRDefault="0087217B"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48</w:t>
            </w:r>
            <w:r w:rsidR="0072588D" w:rsidRPr="00826735">
              <w:rPr>
                <w:rFonts w:ascii="Times New Roman" w:eastAsia="Arial" w:hAnsi="Times New Roman" w:cs="Times New Roman"/>
                <w:sz w:val="24"/>
                <w:szCs w:val="24"/>
                <w:lang w:eastAsia="uk-UA"/>
              </w:rPr>
              <w:t>,00</w:t>
            </w:r>
          </w:p>
        </w:tc>
        <w:tc>
          <w:tcPr>
            <w:tcW w:w="141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tcPr>
          <w:p w:rsidR="0072588D" w:rsidRPr="00826735" w:rsidRDefault="0087217B"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48</w:t>
            </w:r>
            <w:r w:rsidR="0072588D" w:rsidRPr="00826735">
              <w:rPr>
                <w:rFonts w:ascii="Times New Roman" w:eastAsia="Arial" w:hAnsi="Times New Roman" w:cs="Times New Roman"/>
                <w:sz w:val="24"/>
                <w:szCs w:val="24"/>
                <w:lang w:eastAsia="uk-UA"/>
              </w:rPr>
              <w:t>,00</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15</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Кількість суб’єктів малого підприємництва, які мають виконати вимоги регулювання, одиниць</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45 389</w:t>
            </w:r>
          </w:p>
        </w:tc>
        <w:tc>
          <w:tcPr>
            <w:tcW w:w="141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45 389</w:t>
            </w:r>
          </w:p>
        </w:tc>
      </w:tr>
      <w:tr w:rsidR="0072588D" w:rsidRPr="00826735" w:rsidTr="00667BE0">
        <w:trPr>
          <w:gridAfter w:val="1"/>
          <w:wAfter w:w="58" w:type="dxa"/>
        </w:trPr>
        <w:tc>
          <w:tcPr>
            <w:tcW w:w="84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16</w:t>
            </w:r>
          </w:p>
        </w:tc>
        <w:tc>
          <w:tcPr>
            <w:tcW w:w="4110"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Сумарно, гривень</w:t>
            </w:r>
          </w:p>
          <w:p w:rsidR="0072588D" w:rsidRPr="00826735" w:rsidRDefault="0072588D" w:rsidP="00667BE0">
            <w:pPr>
              <w:spacing w:after="0" w:line="240" w:lineRule="auto"/>
              <w:jc w:val="both"/>
              <w:rPr>
                <w:rFonts w:ascii="Times New Roman" w:eastAsia="Arial" w:hAnsi="Times New Roman" w:cs="Times New Roman"/>
                <w:i/>
                <w:sz w:val="24"/>
                <w:szCs w:val="24"/>
                <w:lang w:eastAsia="uk-UA"/>
              </w:rPr>
            </w:pPr>
            <w:r w:rsidRPr="00826735">
              <w:rPr>
                <w:rFonts w:ascii="Times New Roman" w:eastAsia="Arial" w:hAnsi="Times New Roman" w:cs="Times New Roman"/>
                <w:i/>
                <w:sz w:val="24"/>
                <w:szCs w:val="24"/>
                <w:lang w:eastAsia="uk-UA"/>
              </w:rPr>
              <w:t>Формула:</w:t>
            </w:r>
          </w:p>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i/>
                <w:sz w:val="24"/>
                <w:szCs w:val="24"/>
                <w:lang w:eastAsia="uk-UA"/>
              </w:rPr>
              <w:t>(рядок 14 Х рядок 15</w:t>
            </w:r>
            <w:r w:rsidRPr="00826735">
              <w:rPr>
                <w:rFonts w:ascii="Times New Roman" w:eastAsia="Arial" w:hAnsi="Times New Roman" w:cs="Times New Roman"/>
                <w:sz w:val="24"/>
                <w:szCs w:val="24"/>
                <w:lang w:eastAsia="uk-UA"/>
              </w:rPr>
              <w:t>)</w:t>
            </w:r>
          </w:p>
        </w:tc>
        <w:tc>
          <w:tcPr>
            <w:tcW w:w="1701" w:type="dxa"/>
          </w:tcPr>
          <w:p w:rsidR="0072588D" w:rsidRPr="00826735" w:rsidRDefault="00D44C41"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w:t>
            </w:r>
            <w:r w:rsidR="0072588D" w:rsidRPr="00826735">
              <w:rPr>
                <w:rFonts w:ascii="Times New Roman" w:eastAsia="Arial" w:hAnsi="Times New Roman" w:cs="Times New Roman"/>
                <w:sz w:val="24"/>
                <w:szCs w:val="24"/>
                <w:lang w:eastAsia="uk-UA"/>
              </w:rPr>
              <w:t> 6</w:t>
            </w:r>
            <w:r w:rsidRPr="00826735">
              <w:rPr>
                <w:rFonts w:ascii="Times New Roman" w:eastAsia="Arial" w:hAnsi="Times New Roman" w:cs="Times New Roman"/>
                <w:sz w:val="24"/>
                <w:szCs w:val="24"/>
                <w:lang w:eastAsia="uk-UA"/>
              </w:rPr>
              <w:t>72</w:t>
            </w:r>
            <w:r w:rsidR="0072588D" w:rsidRPr="00826735">
              <w:rPr>
                <w:rFonts w:ascii="Times New Roman" w:eastAsia="Arial" w:hAnsi="Times New Roman" w:cs="Times New Roman"/>
                <w:sz w:val="24"/>
                <w:szCs w:val="24"/>
                <w:lang w:eastAsia="uk-UA"/>
              </w:rPr>
              <w:t>,00</w:t>
            </w:r>
          </w:p>
        </w:tc>
        <w:tc>
          <w:tcPr>
            <w:tcW w:w="141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w:t>
            </w:r>
          </w:p>
        </w:tc>
        <w:tc>
          <w:tcPr>
            <w:tcW w:w="1701"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r>
    </w:tbl>
    <w:p w:rsidR="0072588D" w:rsidRPr="00826735" w:rsidRDefault="0072588D" w:rsidP="0072588D">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 xml:space="preserve">* Розраховано, </w:t>
      </w:r>
      <w:r w:rsidR="00D04C94">
        <w:rPr>
          <w:rFonts w:ascii="Times New Roman" w:eastAsia="Arial" w:hAnsi="Times New Roman" w:cs="Times New Roman"/>
          <w:sz w:val="24"/>
          <w:szCs w:val="24"/>
          <w:lang w:eastAsia="uk-UA"/>
        </w:rPr>
        <w:t>з урахуванням</w:t>
      </w:r>
      <w:r w:rsidRPr="00826735">
        <w:rPr>
          <w:rFonts w:ascii="Times New Roman" w:eastAsia="Arial" w:hAnsi="Times New Roman" w:cs="Times New Roman"/>
          <w:sz w:val="24"/>
          <w:szCs w:val="24"/>
          <w:lang w:eastAsia="uk-UA"/>
        </w:rPr>
        <w:t xml:space="preserve"> розміру мінімальної заробітної плати, установленої Законом України «Про Державний бюджет України на 2025 рік».</w:t>
      </w:r>
    </w:p>
    <w:p w:rsidR="0072588D" w:rsidRPr="00826735" w:rsidRDefault="0072588D" w:rsidP="0072588D">
      <w:pPr>
        <w:spacing w:after="0" w:line="240" w:lineRule="auto"/>
        <w:jc w:val="both"/>
        <w:rPr>
          <w:rFonts w:ascii="Times New Roman" w:eastAsia="Arial" w:hAnsi="Times New Roman" w:cs="Times New Roman"/>
          <w:sz w:val="24"/>
          <w:szCs w:val="24"/>
          <w:lang w:eastAsia="uk-UA"/>
        </w:rPr>
      </w:pPr>
    </w:p>
    <w:p w:rsidR="0072588D" w:rsidRPr="00826735" w:rsidRDefault="0072588D" w:rsidP="00485275">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 Розрахунок сумарних витрат суб’єктів малого підприємництва, що виникають на виконання вимог регулювання.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72588D" w:rsidRPr="00826735" w:rsidTr="00667BE0">
        <w:tc>
          <w:tcPr>
            <w:tcW w:w="1526"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Порядковий номер</w:t>
            </w:r>
          </w:p>
        </w:tc>
        <w:tc>
          <w:tcPr>
            <w:tcW w:w="3969"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Показник</w:t>
            </w:r>
          </w:p>
        </w:tc>
        <w:tc>
          <w:tcPr>
            <w:tcW w:w="2126"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Перший рік регулювання (стартовий)</w:t>
            </w:r>
          </w:p>
        </w:tc>
        <w:tc>
          <w:tcPr>
            <w:tcW w:w="2268" w:type="dxa"/>
            <w:vAlign w:val="center"/>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За п’ять років</w:t>
            </w:r>
          </w:p>
        </w:tc>
      </w:tr>
      <w:tr w:rsidR="0072588D" w:rsidRPr="00826735" w:rsidTr="00667BE0">
        <w:tc>
          <w:tcPr>
            <w:tcW w:w="15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lastRenderedPageBreak/>
              <w:t>1</w:t>
            </w:r>
          </w:p>
        </w:tc>
        <w:tc>
          <w:tcPr>
            <w:tcW w:w="3969"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Оцінка «прямих» витрат суб’єктів малого підприємництва на виконання регулювання</w:t>
            </w:r>
          </w:p>
        </w:tc>
        <w:tc>
          <w:tcPr>
            <w:tcW w:w="21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0,00</w:t>
            </w:r>
          </w:p>
        </w:tc>
        <w:tc>
          <w:tcPr>
            <w:tcW w:w="226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0,00</w:t>
            </w:r>
          </w:p>
        </w:tc>
      </w:tr>
      <w:tr w:rsidR="0072588D" w:rsidRPr="00826735" w:rsidTr="00667BE0">
        <w:tc>
          <w:tcPr>
            <w:tcW w:w="15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w:t>
            </w:r>
          </w:p>
        </w:tc>
        <w:tc>
          <w:tcPr>
            <w:tcW w:w="3969"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c>
          <w:tcPr>
            <w:tcW w:w="2268"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r>
      <w:tr w:rsidR="0072588D" w:rsidRPr="00826735" w:rsidTr="00667BE0">
        <w:tc>
          <w:tcPr>
            <w:tcW w:w="15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3</w:t>
            </w:r>
          </w:p>
        </w:tc>
        <w:tc>
          <w:tcPr>
            <w:tcW w:w="3969"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Сумарні витрати малого підприємництва на виконання запланованого регулювання</w:t>
            </w:r>
          </w:p>
        </w:tc>
        <w:tc>
          <w:tcPr>
            <w:tcW w:w="2126"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c>
          <w:tcPr>
            <w:tcW w:w="2268"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r>
      <w:tr w:rsidR="0072588D" w:rsidRPr="00826735" w:rsidTr="00667BE0">
        <w:tc>
          <w:tcPr>
            <w:tcW w:w="15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4</w:t>
            </w:r>
          </w:p>
        </w:tc>
        <w:tc>
          <w:tcPr>
            <w:tcW w:w="3969"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Бюджетні витрати на адміністрування регулювання суб’єктів малого підприємництва</w:t>
            </w:r>
          </w:p>
        </w:tc>
        <w:tc>
          <w:tcPr>
            <w:tcW w:w="21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0,00</w:t>
            </w:r>
          </w:p>
        </w:tc>
        <w:tc>
          <w:tcPr>
            <w:tcW w:w="2268"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0,00</w:t>
            </w:r>
          </w:p>
        </w:tc>
      </w:tr>
      <w:tr w:rsidR="0072588D" w:rsidRPr="00826735" w:rsidTr="00667BE0">
        <w:tc>
          <w:tcPr>
            <w:tcW w:w="1526" w:type="dxa"/>
          </w:tcPr>
          <w:p w:rsidR="0072588D" w:rsidRPr="00826735" w:rsidRDefault="0072588D"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5</w:t>
            </w:r>
          </w:p>
        </w:tc>
        <w:tc>
          <w:tcPr>
            <w:tcW w:w="3969" w:type="dxa"/>
          </w:tcPr>
          <w:p w:rsidR="0072588D" w:rsidRPr="00826735" w:rsidRDefault="0072588D" w:rsidP="00667BE0">
            <w:pPr>
              <w:spacing w:after="0" w:line="240" w:lineRule="auto"/>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Сумарні витрати на виконання запланованого регулювання</w:t>
            </w:r>
          </w:p>
        </w:tc>
        <w:tc>
          <w:tcPr>
            <w:tcW w:w="2126"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c>
          <w:tcPr>
            <w:tcW w:w="2268" w:type="dxa"/>
          </w:tcPr>
          <w:p w:rsidR="0072588D" w:rsidRPr="00826735" w:rsidRDefault="00073C60" w:rsidP="00667BE0">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2 178 672,00</w:t>
            </w:r>
          </w:p>
        </w:tc>
      </w:tr>
    </w:tbl>
    <w:p w:rsidR="0072588D" w:rsidRPr="00826735" w:rsidRDefault="0072588D" w:rsidP="0072588D">
      <w:pPr>
        <w:spacing w:after="0" w:line="240" w:lineRule="auto"/>
        <w:jc w:val="both"/>
        <w:rPr>
          <w:rFonts w:ascii="Times New Roman" w:eastAsia="Arial" w:hAnsi="Times New Roman" w:cs="Times New Roman"/>
          <w:sz w:val="24"/>
          <w:szCs w:val="24"/>
          <w:lang w:eastAsia="uk-UA"/>
        </w:rPr>
      </w:pPr>
    </w:p>
    <w:p w:rsidR="0072588D" w:rsidRPr="00826735" w:rsidRDefault="0072588D" w:rsidP="007A7B2A">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5. Розроблення коригуючих (пом’якшувальних) заходів для малого підприємництва щодо запропонованого регулювання.</w:t>
      </w:r>
    </w:p>
    <w:p w:rsidR="0072588D" w:rsidRPr="00826735" w:rsidRDefault="0072588D" w:rsidP="007A7B2A">
      <w:pPr>
        <w:spacing w:after="0" w:line="240" w:lineRule="auto"/>
        <w:ind w:firstLine="426"/>
        <w:jc w:val="both"/>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p>
    <w:p w:rsidR="0072588D" w:rsidRPr="00826735" w:rsidRDefault="0072588D" w:rsidP="0072588D">
      <w:pPr>
        <w:spacing w:after="0" w:line="240" w:lineRule="auto"/>
        <w:jc w:val="center"/>
        <w:rPr>
          <w:rFonts w:ascii="Times New Roman" w:eastAsia="Arial" w:hAnsi="Times New Roman" w:cs="Times New Roman"/>
          <w:sz w:val="24"/>
          <w:szCs w:val="24"/>
          <w:lang w:eastAsia="uk-UA"/>
        </w:rPr>
      </w:pPr>
      <w:r w:rsidRPr="00826735">
        <w:rPr>
          <w:rFonts w:ascii="Times New Roman" w:eastAsia="Arial" w:hAnsi="Times New Roman" w:cs="Times New Roman"/>
          <w:sz w:val="24"/>
          <w:szCs w:val="24"/>
          <w:lang w:eastAsia="uk-UA"/>
        </w:rPr>
        <w:t>_____________________</w:t>
      </w:r>
    </w:p>
    <w:p w:rsidR="0072588D" w:rsidRPr="00826735" w:rsidRDefault="0072588D" w:rsidP="0072588D">
      <w:pPr>
        <w:spacing w:after="0" w:line="240" w:lineRule="auto"/>
        <w:ind w:firstLine="567"/>
        <w:jc w:val="both"/>
        <w:rPr>
          <w:rFonts w:ascii="Times New Roman" w:eastAsia="Arial" w:hAnsi="Times New Roman" w:cs="Times New Roman"/>
          <w:sz w:val="24"/>
          <w:szCs w:val="24"/>
          <w:lang w:eastAsia="uk-UA"/>
        </w:rPr>
      </w:pPr>
    </w:p>
    <w:p w:rsidR="0072588D" w:rsidRPr="00826735" w:rsidRDefault="0072588D" w:rsidP="0072588D">
      <w:pPr>
        <w:pStyle w:val="StyleZakonu"/>
        <w:spacing w:after="0" w:line="240" w:lineRule="auto"/>
        <w:ind w:firstLine="0"/>
        <w:rPr>
          <w:sz w:val="28"/>
          <w:szCs w:val="28"/>
          <w:lang w:val="uk-UA"/>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Pr="00826735"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sectPr w:rsidR="0072588D" w:rsidRPr="00826735" w:rsidSect="00D6672C">
      <w:pgSz w:w="11906" w:h="16838"/>
      <w:pgMar w:top="1134" w:right="709" w:bottom="1560" w:left="170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6F" w:rsidRDefault="00A1016F" w:rsidP="00DB5C51">
      <w:pPr>
        <w:spacing w:after="0" w:line="240" w:lineRule="auto"/>
      </w:pPr>
      <w:r>
        <w:separator/>
      </w:r>
    </w:p>
  </w:endnote>
  <w:endnote w:type="continuationSeparator" w:id="0">
    <w:p w:rsidR="00A1016F" w:rsidRDefault="00A1016F" w:rsidP="00DB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6F" w:rsidRDefault="00A1016F" w:rsidP="00DB5C51">
      <w:pPr>
        <w:spacing w:after="0" w:line="240" w:lineRule="auto"/>
      </w:pPr>
      <w:r>
        <w:separator/>
      </w:r>
    </w:p>
  </w:footnote>
  <w:footnote w:type="continuationSeparator" w:id="0">
    <w:p w:rsidR="00A1016F" w:rsidRDefault="00A1016F" w:rsidP="00DB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50977542"/>
      <w:docPartObj>
        <w:docPartGallery w:val="Page Numbers (Top of Page)"/>
        <w:docPartUnique/>
      </w:docPartObj>
    </w:sdtPr>
    <w:sdtEndPr/>
    <w:sdtContent>
      <w:p w:rsidR="00047B3A" w:rsidRPr="00656032" w:rsidRDefault="00047B3A">
        <w:pPr>
          <w:pStyle w:val="a7"/>
          <w:jc w:val="center"/>
          <w:rPr>
            <w:rFonts w:ascii="Times New Roman" w:hAnsi="Times New Roman" w:cs="Times New Roman"/>
          </w:rPr>
        </w:pPr>
        <w:r w:rsidRPr="00656032">
          <w:rPr>
            <w:rFonts w:ascii="Times New Roman" w:hAnsi="Times New Roman" w:cs="Times New Roman"/>
          </w:rPr>
          <w:fldChar w:fldCharType="begin"/>
        </w:r>
        <w:r w:rsidRPr="00656032">
          <w:rPr>
            <w:rFonts w:ascii="Times New Roman" w:hAnsi="Times New Roman" w:cs="Times New Roman"/>
          </w:rPr>
          <w:instrText>PAGE   \* MERGEFORMAT</w:instrText>
        </w:r>
        <w:r w:rsidRPr="00656032">
          <w:rPr>
            <w:rFonts w:ascii="Times New Roman" w:hAnsi="Times New Roman" w:cs="Times New Roman"/>
          </w:rPr>
          <w:fldChar w:fldCharType="separate"/>
        </w:r>
        <w:r w:rsidR="00FB05E0">
          <w:rPr>
            <w:rFonts w:ascii="Times New Roman" w:hAnsi="Times New Roman" w:cs="Times New Roman"/>
            <w:noProof/>
          </w:rPr>
          <w:t>2</w:t>
        </w:r>
        <w:r w:rsidRPr="0065603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9BE"/>
    <w:multiLevelType w:val="hybridMultilevel"/>
    <w:tmpl w:val="B6509B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B42902"/>
    <w:multiLevelType w:val="hybridMultilevel"/>
    <w:tmpl w:val="FD569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B95373"/>
    <w:multiLevelType w:val="hybridMultilevel"/>
    <w:tmpl w:val="EDD49550"/>
    <w:lvl w:ilvl="0" w:tplc="1C86BC30">
      <w:start w:val="2"/>
      <w:numFmt w:val="decimal"/>
      <w:lvlText w:val="%1."/>
      <w:lvlJc w:val="left"/>
      <w:pPr>
        <w:ind w:left="587" w:hanging="36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3" w15:restartNumberingAfterBreak="0">
    <w:nsid w:val="17315E90"/>
    <w:multiLevelType w:val="hybridMultilevel"/>
    <w:tmpl w:val="8F0AE8DC"/>
    <w:lvl w:ilvl="0" w:tplc="275AF1F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1C4A01C2"/>
    <w:multiLevelType w:val="hybridMultilevel"/>
    <w:tmpl w:val="96D056A4"/>
    <w:lvl w:ilvl="0" w:tplc="F89E864C">
      <w:start w:val="1"/>
      <w:numFmt w:val="decimal"/>
      <w:lvlText w:val="%1)"/>
      <w:lvlJc w:val="left"/>
      <w:pPr>
        <w:ind w:left="707" w:hanging="48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5" w15:restartNumberingAfterBreak="0">
    <w:nsid w:val="2A5C4545"/>
    <w:multiLevelType w:val="hybridMultilevel"/>
    <w:tmpl w:val="7A0CB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2867DE"/>
    <w:multiLevelType w:val="hybridMultilevel"/>
    <w:tmpl w:val="7938F8E4"/>
    <w:lvl w:ilvl="0" w:tplc="F77AB2D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DA63FB5"/>
    <w:multiLevelType w:val="hybridMultilevel"/>
    <w:tmpl w:val="A0F419AC"/>
    <w:lvl w:ilvl="0" w:tplc="DF8CB85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B4A1084"/>
    <w:multiLevelType w:val="hybridMultilevel"/>
    <w:tmpl w:val="BD423D42"/>
    <w:lvl w:ilvl="0" w:tplc="CA68B4EE">
      <w:start w:val="1"/>
      <w:numFmt w:val="decimal"/>
      <w:lvlText w:val="%1)"/>
      <w:lvlJc w:val="left"/>
      <w:pPr>
        <w:ind w:left="5180" w:hanging="360"/>
      </w:pPr>
      <w:rPr>
        <w:rFonts w:hint="default"/>
        <w:sz w:val="24"/>
      </w:rPr>
    </w:lvl>
    <w:lvl w:ilvl="1" w:tplc="04220019" w:tentative="1">
      <w:start w:val="1"/>
      <w:numFmt w:val="lowerLetter"/>
      <w:lvlText w:val="%2."/>
      <w:lvlJc w:val="left"/>
      <w:pPr>
        <w:ind w:left="5900" w:hanging="360"/>
      </w:pPr>
    </w:lvl>
    <w:lvl w:ilvl="2" w:tplc="0422001B" w:tentative="1">
      <w:start w:val="1"/>
      <w:numFmt w:val="lowerRoman"/>
      <w:lvlText w:val="%3."/>
      <w:lvlJc w:val="right"/>
      <w:pPr>
        <w:ind w:left="6620" w:hanging="180"/>
      </w:pPr>
    </w:lvl>
    <w:lvl w:ilvl="3" w:tplc="0422000F" w:tentative="1">
      <w:start w:val="1"/>
      <w:numFmt w:val="decimal"/>
      <w:lvlText w:val="%4."/>
      <w:lvlJc w:val="left"/>
      <w:pPr>
        <w:ind w:left="7340" w:hanging="360"/>
      </w:pPr>
    </w:lvl>
    <w:lvl w:ilvl="4" w:tplc="04220019" w:tentative="1">
      <w:start w:val="1"/>
      <w:numFmt w:val="lowerLetter"/>
      <w:lvlText w:val="%5."/>
      <w:lvlJc w:val="left"/>
      <w:pPr>
        <w:ind w:left="8060" w:hanging="360"/>
      </w:pPr>
    </w:lvl>
    <w:lvl w:ilvl="5" w:tplc="0422001B" w:tentative="1">
      <w:start w:val="1"/>
      <w:numFmt w:val="lowerRoman"/>
      <w:lvlText w:val="%6."/>
      <w:lvlJc w:val="right"/>
      <w:pPr>
        <w:ind w:left="8780" w:hanging="180"/>
      </w:pPr>
    </w:lvl>
    <w:lvl w:ilvl="6" w:tplc="0422000F" w:tentative="1">
      <w:start w:val="1"/>
      <w:numFmt w:val="decimal"/>
      <w:lvlText w:val="%7."/>
      <w:lvlJc w:val="left"/>
      <w:pPr>
        <w:ind w:left="9500" w:hanging="360"/>
      </w:pPr>
    </w:lvl>
    <w:lvl w:ilvl="7" w:tplc="04220019" w:tentative="1">
      <w:start w:val="1"/>
      <w:numFmt w:val="lowerLetter"/>
      <w:lvlText w:val="%8."/>
      <w:lvlJc w:val="left"/>
      <w:pPr>
        <w:ind w:left="10220" w:hanging="360"/>
      </w:pPr>
    </w:lvl>
    <w:lvl w:ilvl="8" w:tplc="0422001B" w:tentative="1">
      <w:start w:val="1"/>
      <w:numFmt w:val="lowerRoman"/>
      <w:lvlText w:val="%9."/>
      <w:lvlJc w:val="right"/>
      <w:pPr>
        <w:ind w:left="10940" w:hanging="180"/>
      </w:pPr>
    </w:lvl>
  </w:abstractNum>
  <w:abstractNum w:abstractNumId="11" w15:restartNumberingAfterBreak="0">
    <w:nsid w:val="5082467A"/>
    <w:multiLevelType w:val="hybridMultilevel"/>
    <w:tmpl w:val="A6EE8514"/>
    <w:lvl w:ilvl="0" w:tplc="1EEA79C2">
      <w:start w:val="1"/>
      <w:numFmt w:val="upperRoman"/>
      <w:lvlText w:val="%1."/>
      <w:lvlJc w:val="left"/>
      <w:pPr>
        <w:ind w:left="4969" w:hanging="72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12" w15:restartNumberingAfterBreak="0">
    <w:nsid w:val="51F204DD"/>
    <w:multiLevelType w:val="hybridMultilevel"/>
    <w:tmpl w:val="A1687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5DFC45C6"/>
    <w:multiLevelType w:val="hybridMultilevel"/>
    <w:tmpl w:val="03C4D5A2"/>
    <w:lvl w:ilvl="0" w:tplc="EF4A754C">
      <w:start w:val="1"/>
      <w:numFmt w:val="decimal"/>
      <w:lvlText w:val="%1)"/>
      <w:lvlJc w:val="left"/>
      <w:pPr>
        <w:ind w:left="1154" w:hanging="360"/>
      </w:pPr>
      <w:rPr>
        <w:rFonts w:hint="default"/>
      </w:rPr>
    </w:lvl>
    <w:lvl w:ilvl="1" w:tplc="04220019" w:tentative="1">
      <w:start w:val="1"/>
      <w:numFmt w:val="lowerLetter"/>
      <w:lvlText w:val="%2."/>
      <w:lvlJc w:val="left"/>
      <w:pPr>
        <w:ind w:left="1667" w:hanging="360"/>
      </w:pPr>
    </w:lvl>
    <w:lvl w:ilvl="2" w:tplc="0422001B" w:tentative="1">
      <w:start w:val="1"/>
      <w:numFmt w:val="lowerRoman"/>
      <w:lvlText w:val="%3."/>
      <w:lvlJc w:val="right"/>
      <w:pPr>
        <w:ind w:left="2387" w:hanging="180"/>
      </w:pPr>
    </w:lvl>
    <w:lvl w:ilvl="3" w:tplc="0422000F" w:tentative="1">
      <w:start w:val="1"/>
      <w:numFmt w:val="decimal"/>
      <w:lvlText w:val="%4."/>
      <w:lvlJc w:val="left"/>
      <w:pPr>
        <w:ind w:left="3107" w:hanging="360"/>
      </w:pPr>
    </w:lvl>
    <w:lvl w:ilvl="4" w:tplc="04220019" w:tentative="1">
      <w:start w:val="1"/>
      <w:numFmt w:val="lowerLetter"/>
      <w:lvlText w:val="%5."/>
      <w:lvlJc w:val="left"/>
      <w:pPr>
        <w:ind w:left="3827" w:hanging="360"/>
      </w:pPr>
    </w:lvl>
    <w:lvl w:ilvl="5" w:tplc="0422001B" w:tentative="1">
      <w:start w:val="1"/>
      <w:numFmt w:val="lowerRoman"/>
      <w:lvlText w:val="%6."/>
      <w:lvlJc w:val="right"/>
      <w:pPr>
        <w:ind w:left="4547" w:hanging="180"/>
      </w:pPr>
    </w:lvl>
    <w:lvl w:ilvl="6" w:tplc="0422000F" w:tentative="1">
      <w:start w:val="1"/>
      <w:numFmt w:val="decimal"/>
      <w:lvlText w:val="%7."/>
      <w:lvlJc w:val="left"/>
      <w:pPr>
        <w:ind w:left="5267" w:hanging="360"/>
      </w:pPr>
    </w:lvl>
    <w:lvl w:ilvl="7" w:tplc="04220019" w:tentative="1">
      <w:start w:val="1"/>
      <w:numFmt w:val="lowerLetter"/>
      <w:lvlText w:val="%8."/>
      <w:lvlJc w:val="left"/>
      <w:pPr>
        <w:ind w:left="5987" w:hanging="360"/>
      </w:pPr>
    </w:lvl>
    <w:lvl w:ilvl="8" w:tplc="0422001B" w:tentative="1">
      <w:start w:val="1"/>
      <w:numFmt w:val="lowerRoman"/>
      <w:lvlText w:val="%9."/>
      <w:lvlJc w:val="right"/>
      <w:pPr>
        <w:ind w:left="6707" w:hanging="180"/>
      </w:pPr>
    </w:lvl>
  </w:abstractNum>
  <w:abstractNum w:abstractNumId="15" w15:restartNumberingAfterBreak="0">
    <w:nsid w:val="60207BA1"/>
    <w:multiLevelType w:val="hybridMultilevel"/>
    <w:tmpl w:val="5DBED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578A9"/>
    <w:multiLevelType w:val="hybridMultilevel"/>
    <w:tmpl w:val="572E05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5A71F4"/>
    <w:multiLevelType w:val="hybridMultilevel"/>
    <w:tmpl w:val="D5FA7B12"/>
    <w:lvl w:ilvl="0" w:tplc="927C3BF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19A26A7"/>
    <w:multiLevelType w:val="hybridMultilevel"/>
    <w:tmpl w:val="8534886E"/>
    <w:lvl w:ilvl="0" w:tplc="64E406F4">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323789"/>
    <w:multiLevelType w:val="hybridMultilevel"/>
    <w:tmpl w:val="5E08C7D6"/>
    <w:lvl w:ilvl="0" w:tplc="38AEDA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A7428C9"/>
    <w:multiLevelType w:val="hybridMultilevel"/>
    <w:tmpl w:val="D2FA59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C95FEA"/>
    <w:multiLevelType w:val="hybridMultilevel"/>
    <w:tmpl w:val="8F0AE8DC"/>
    <w:lvl w:ilvl="0" w:tplc="275AF1F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6F270BA4"/>
    <w:multiLevelType w:val="hybridMultilevel"/>
    <w:tmpl w:val="8DAECFBE"/>
    <w:lvl w:ilvl="0" w:tplc="0414E778">
      <w:start w:val="1"/>
      <w:numFmt w:val="decimal"/>
      <w:lvlText w:val="%1)"/>
      <w:lvlJc w:val="left"/>
      <w:pPr>
        <w:ind w:left="614" w:hanging="360"/>
      </w:pPr>
      <w:rPr>
        <w:rFonts w:hint="default"/>
      </w:rPr>
    </w:lvl>
    <w:lvl w:ilvl="1" w:tplc="04220019" w:tentative="1">
      <w:start w:val="1"/>
      <w:numFmt w:val="lowerLetter"/>
      <w:lvlText w:val="%2."/>
      <w:lvlJc w:val="left"/>
      <w:pPr>
        <w:ind w:left="1334" w:hanging="360"/>
      </w:pPr>
    </w:lvl>
    <w:lvl w:ilvl="2" w:tplc="0422001B" w:tentative="1">
      <w:start w:val="1"/>
      <w:numFmt w:val="lowerRoman"/>
      <w:lvlText w:val="%3."/>
      <w:lvlJc w:val="right"/>
      <w:pPr>
        <w:ind w:left="2054" w:hanging="180"/>
      </w:pPr>
    </w:lvl>
    <w:lvl w:ilvl="3" w:tplc="0422000F" w:tentative="1">
      <w:start w:val="1"/>
      <w:numFmt w:val="decimal"/>
      <w:lvlText w:val="%4."/>
      <w:lvlJc w:val="left"/>
      <w:pPr>
        <w:ind w:left="2774" w:hanging="360"/>
      </w:pPr>
    </w:lvl>
    <w:lvl w:ilvl="4" w:tplc="04220019" w:tentative="1">
      <w:start w:val="1"/>
      <w:numFmt w:val="lowerLetter"/>
      <w:lvlText w:val="%5."/>
      <w:lvlJc w:val="left"/>
      <w:pPr>
        <w:ind w:left="3494" w:hanging="360"/>
      </w:pPr>
    </w:lvl>
    <w:lvl w:ilvl="5" w:tplc="0422001B" w:tentative="1">
      <w:start w:val="1"/>
      <w:numFmt w:val="lowerRoman"/>
      <w:lvlText w:val="%6."/>
      <w:lvlJc w:val="right"/>
      <w:pPr>
        <w:ind w:left="4214" w:hanging="180"/>
      </w:pPr>
    </w:lvl>
    <w:lvl w:ilvl="6" w:tplc="0422000F" w:tentative="1">
      <w:start w:val="1"/>
      <w:numFmt w:val="decimal"/>
      <w:lvlText w:val="%7."/>
      <w:lvlJc w:val="left"/>
      <w:pPr>
        <w:ind w:left="4934" w:hanging="360"/>
      </w:pPr>
    </w:lvl>
    <w:lvl w:ilvl="7" w:tplc="04220019" w:tentative="1">
      <w:start w:val="1"/>
      <w:numFmt w:val="lowerLetter"/>
      <w:lvlText w:val="%8."/>
      <w:lvlJc w:val="left"/>
      <w:pPr>
        <w:ind w:left="5654" w:hanging="360"/>
      </w:pPr>
    </w:lvl>
    <w:lvl w:ilvl="8" w:tplc="0422001B" w:tentative="1">
      <w:start w:val="1"/>
      <w:numFmt w:val="lowerRoman"/>
      <w:lvlText w:val="%9."/>
      <w:lvlJc w:val="right"/>
      <w:pPr>
        <w:ind w:left="6374" w:hanging="180"/>
      </w:pPr>
    </w:lvl>
  </w:abstractNum>
  <w:abstractNum w:abstractNumId="23" w15:restartNumberingAfterBreak="0">
    <w:nsid w:val="70B055BB"/>
    <w:multiLevelType w:val="hybridMultilevel"/>
    <w:tmpl w:val="3B708576"/>
    <w:lvl w:ilvl="0" w:tplc="A9DAB6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0F83CA7"/>
    <w:multiLevelType w:val="hybridMultilevel"/>
    <w:tmpl w:val="1222F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D75D77"/>
    <w:multiLevelType w:val="hybridMultilevel"/>
    <w:tmpl w:val="0868E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783E06"/>
    <w:multiLevelType w:val="hybridMultilevel"/>
    <w:tmpl w:val="B6509B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C60073"/>
    <w:multiLevelType w:val="hybridMultilevel"/>
    <w:tmpl w:val="C88C60BC"/>
    <w:lvl w:ilvl="0" w:tplc="DF8CB85E">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20"/>
  </w:num>
  <w:num w:numId="4">
    <w:abstractNumId w:val="16"/>
  </w:num>
  <w:num w:numId="5">
    <w:abstractNumId w:val="15"/>
  </w:num>
  <w:num w:numId="6">
    <w:abstractNumId w:val="7"/>
  </w:num>
  <w:num w:numId="7">
    <w:abstractNumId w:val="23"/>
  </w:num>
  <w:num w:numId="8">
    <w:abstractNumId w:val="24"/>
  </w:num>
  <w:num w:numId="9">
    <w:abstractNumId w:val="18"/>
  </w:num>
  <w:num w:numId="10">
    <w:abstractNumId w:val="5"/>
  </w:num>
  <w:num w:numId="11">
    <w:abstractNumId w:val="25"/>
  </w:num>
  <w:num w:numId="12">
    <w:abstractNumId w:val="1"/>
  </w:num>
  <w:num w:numId="13">
    <w:abstractNumId w:val="12"/>
  </w:num>
  <w:num w:numId="14">
    <w:abstractNumId w:val="27"/>
  </w:num>
  <w:num w:numId="15">
    <w:abstractNumId w:val="8"/>
  </w:num>
  <w:num w:numId="16">
    <w:abstractNumId w:val="22"/>
  </w:num>
  <w:num w:numId="17">
    <w:abstractNumId w:val="3"/>
  </w:num>
  <w:num w:numId="18">
    <w:abstractNumId w:val="21"/>
  </w:num>
  <w:num w:numId="19">
    <w:abstractNumId w:val="6"/>
  </w:num>
  <w:num w:numId="20">
    <w:abstractNumId w:val="17"/>
  </w:num>
  <w:num w:numId="21">
    <w:abstractNumId w:val="2"/>
  </w:num>
  <w:num w:numId="22">
    <w:abstractNumId w:val="19"/>
  </w:num>
  <w:num w:numId="23">
    <w:abstractNumId w:val="10"/>
  </w:num>
  <w:num w:numId="24">
    <w:abstractNumId w:val="9"/>
  </w:num>
  <w:num w:numId="25">
    <w:abstractNumId w:val="14"/>
  </w:num>
  <w:num w:numId="26">
    <w:abstractNumId w:val="4"/>
  </w:num>
  <w:num w:numId="27">
    <w:abstractNumId w:val="0"/>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E"/>
    <w:rsid w:val="00003946"/>
    <w:rsid w:val="000058B6"/>
    <w:rsid w:val="000065DC"/>
    <w:rsid w:val="0001098A"/>
    <w:rsid w:val="00011108"/>
    <w:rsid w:val="00012B79"/>
    <w:rsid w:val="00014FB0"/>
    <w:rsid w:val="000154FF"/>
    <w:rsid w:val="000161D6"/>
    <w:rsid w:val="00017243"/>
    <w:rsid w:val="0001741B"/>
    <w:rsid w:val="00020F79"/>
    <w:rsid w:val="00020FAA"/>
    <w:rsid w:val="00025918"/>
    <w:rsid w:val="000265CC"/>
    <w:rsid w:val="00027233"/>
    <w:rsid w:val="00033E00"/>
    <w:rsid w:val="00035A80"/>
    <w:rsid w:val="00037A28"/>
    <w:rsid w:val="0004015F"/>
    <w:rsid w:val="00042E64"/>
    <w:rsid w:val="000470B1"/>
    <w:rsid w:val="00047B3A"/>
    <w:rsid w:val="000535FA"/>
    <w:rsid w:val="000541B4"/>
    <w:rsid w:val="00055A08"/>
    <w:rsid w:val="00060C85"/>
    <w:rsid w:val="00062801"/>
    <w:rsid w:val="00063C43"/>
    <w:rsid w:val="00070EBE"/>
    <w:rsid w:val="0007270E"/>
    <w:rsid w:val="0007355D"/>
    <w:rsid w:val="000737CD"/>
    <w:rsid w:val="00073C60"/>
    <w:rsid w:val="000745A3"/>
    <w:rsid w:val="00075EFB"/>
    <w:rsid w:val="000761C1"/>
    <w:rsid w:val="00082EEB"/>
    <w:rsid w:val="00082F5E"/>
    <w:rsid w:val="000840BC"/>
    <w:rsid w:val="00084BCE"/>
    <w:rsid w:val="00086695"/>
    <w:rsid w:val="00090D9D"/>
    <w:rsid w:val="000916C2"/>
    <w:rsid w:val="00097414"/>
    <w:rsid w:val="00097A7C"/>
    <w:rsid w:val="00097FBD"/>
    <w:rsid w:val="000A0C01"/>
    <w:rsid w:val="000A43C7"/>
    <w:rsid w:val="000A46E8"/>
    <w:rsid w:val="000A6BA2"/>
    <w:rsid w:val="000B0586"/>
    <w:rsid w:val="000B48D9"/>
    <w:rsid w:val="000B4F32"/>
    <w:rsid w:val="000C2909"/>
    <w:rsid w:val="000C3C2C"/>
    <w:rsid w:val="000C4C9F"/>
    <w:rsid w:val="000D2D66"/>
    <w:rsid w:val="000E0710"/>
    <w:rsid w:val="000E0C90"/>
    <w:rsid w:val="000E121B"/>
    <w:rsid w:val="000E17BC"/>
    <w:rsid w:val="000E426C"/>
    <w:rsid w:val="000E4931"/>
    <w:rsid w:val="000E59F0"/>
    <w:rsid w:val="000E5A66"/>
    <w:rsid w:val="000F5E81"/>
    <w:rsid w:val="000F7EA2"/>
    <w:rsid w:val="0010105F"/>
    <w:rsid w:val="001015A9"/>
    <w:rsid w:val="0010270D"/>
    <w:rsid w:val="00106C75"/>
    <w:rsid w:val="00111A71"/>
    <w:rsid w:val="00116324"/>
    <w:rsid w:val="001170BE"/>
    <w:rsid w:val="0012093D"/>
    <w:rsid w:val="001216DD"/>
    <w:rsid w:val="00122EC2"/>
    <w:rsid w:val="00124431"/>
    <w:rsid w:val="00124555"/>
    <w:rsid w:val="00125D3F"/>
    <w:rsid w:val="00125F18"/>
    <w:rsid w:val="001338EB"/>
    <w:rsid w:val="00137620"/>
    <w:rsid w:val="001420FF"/>
    <w:rsid w:val="00147546"/>
    <w:rsid w:val="00147FA9"/>
    <w:rsid w:val="00155B5F"/>
    <w:rsid w:val="00161F0A"/>
    <w:rsid w:val="00162A0E"/>
    <w:rsid w:val="00165416"/>
    <w:rsid w:val="00167545"/>
    <w:rsid w:val="00167B6D"/>
    <w:rsid w:val="00171789"/>
    <w:rsid w:val="00172073"/>
    <w:rsid w:val="001733F7"/>
    <w:rsid w:val="00174174"/>
    <w:rsid w:val="0017773B"/>
    <w:rsid w:val="001777B7"/>
    <w:rsid w:val="00183CDB"/>
    <w:rsid w:val="001853E9"/>
    <w:rsid w:val="00187B3E"/>
    <w:rsid w:val="00190428"/>
    <w:rsid w:val="00193F90"/>
    <w:rsid w:val="001A2EB7"/>
    <w:rsid w:val="001A5A02"/>
    <w:rsid w:val="001A63CE"/>
    <w:rsid w:val="001A7152"/>
    <w:rsid w:val="001B0B70"/>
    <w:rsid w:val="001B1940"/>
    <w:rsid w:val="001B5024"/>
    <w:rsid w:val="001B511B"/>
    <w:rsid w:val="001B54D7"/>
    <w:rsid w:val="001B7256"/>
    <w:rsid w:val="001C0171"/>
    <w:rsid w:val="001C0283"/>
    <w:rsid w:val="001C2A52"/>
    <w:rsid w:val="001C3132"/>
    <w:rsid w:val="001C65EC"/>
    <w:rsid w:val="001D2AC9"/>
    <w:rsid w:val="001E20A8"/>
    <w:rsid w:val="001E2EC1"/>
    <w:rsid w:val="001E5A65"/>
    <w:rsid w:val="001E76FA"/>
    <w:rsid w:val="001F3ED4"/>
    <w:rsid w:val="001F4181"/>
    <w:rsid w:val="001F44AE"/>
    <w:rsid w:val="001F67D1"/>
    <w:rsid w:val="002031FC"/>
    <w:rsid w:val="00203210"/>
    <w:rsid w:val="0020469F"/>
    <w:rsid w:val="00205039"/>
    <w:rsid w:val="002054C2"/>
    <w:rsid w:val="00210BCD"/>
    <w:rsid w:val="00211F33"/>
    <w:rsid w:val="002172AD"/>
    <w:rsid w:val="00221FCA"/>
    <w:rsid w:val="002276F0"/>
    <w:rsid w:val="002303E4"/>
    <w:rsid w:val="00230B42"/>
    <w:rsid w:val="00230C2A"/>
    <w:rsid w:val="00232F2F"/>
    <w:rsid w:val="00236173"/>
    <w:rsid w:val="00237BE7"/>
    <w:rsid w:val="002414FC"/>
    <w:rsid w:val="002418CD"/>
    <w:rsid w:val="00241FC9"/>
    <w:rsid w:val="002435B8"/>
    <w:rsid w:val="00250C54"/>
    <w:rsid w:val="0026078C"/>
    <w:rsid w:val="00262401"/>
    <w:rsid w:val="002631AD"/>
    <w:rsid w:val="00265603"/>
    <w:rsid w:val="0026631C"/>
    <w:rsid w:val="002676D7"/>
    <w:rsid w:val="002723C3"/>
    <w:rsid w:val="00276EF6"/>
    <w:rsid w:val="002828EC"/>
    <w:rsid w:val="002829C9"/>
    <w:rsid w:val="00282BEC"/>
    <w:rsid w:val="00285ABA"/>
    <w:rsid w:val="002874C6"/>
    <w:rsid w:val="00291AF6"/>
    <w:rsid w:val="00295DF4"/>
    <w:rsid w:val="002A0EE5"/>
    <w:rsid w:val="002A31CE"/>
    <w:rsid w:val="002A3971"/>
    <w:rsid w:val="002A74A7"/>
    <w:rsid w:val="002B1680"/>
    <w:rsid w:val="002B1992"/>
    <w:rsid w:val="002B3229"/>
    <w:rsid w:val="002B32B5"/>
    <w:rsid w:val="002B4368"/>
    <w:rsid w:val="002B4835"/>
    <w:rsid w:val="002B53D1"/>
    <w:rsid w:val="002B6D4C"/>
    <w:rsid w:val="002C4E69"/>
    <w:rsid w:val="002C555E"/>
    <w:rsid w:val="002C77D2"/>
    <w:rsid w:val="002C7E09"/>
    <w:rsid w:val="002D3722"/>
    <w:rsid w:val="002D436D"/>
    <w:rsid w:val="002D46DF"/>
    <w:rsid w:val="002D4962"/>
    <w:rsid w:val="002E042D"/>
    <w:rsid w:val="002E0D22"/>
    <w:rsid w:val="002E1530"/>
    <w:rsid w:val="002E196B"/>
    <w:rsid w:val="002E213B"/>
    <w:rsid w:val="002E2700"/>
    <w:rsid w:val="002E5585"/>
    <w:rsid w:val="002F172F"/>
    <w:rsid w:val="002F2805"/>
    <w:rsid w:val="002F47B7"/>
    <w:rsid w:val="002F6C73"/>
    <w:rsid w:val="003135D9"/>
    <w:rsid w:val="003173C4"/>
    <w:rsid w:val="003219B7"/>
    <w:rsid w:val="00323C11"/>
    <w:rsid w:val="003318FE"/>
    <w:rsid w:val="00332857"/>
    <w:rsid w:val="00333474"/>
    <w:rsid w:val="00336272"/>
    <w:rsid w:val="00336C88"/>
    <w:rsid w:val="00340D5C"/>
    <w:rsid w:val="00343E9E"/>
    <w:rsid w:val="00344E07"/>
    <w:rsid w:val="00345E4B"/>
    <w:rsid w:val="00351D17"/>
    <w:rsid w:val="00351F93"/>
    <w:rsid w:val="00355D61"/>
    <w:rsid w:val="00355ECD"/>
    <w:rsid w:val="00360C4E"/>
    <w:rsid w:val="00366D95"/>
    <w:rsid w:val="00367252"/>
    <w:rsid w:val="0037208C"/>
    <w:rsid w:val="00373536"/>
    <w:rsid w:val="0037399D"/>
    <w:rsid w:val="003750C7"/>
    <w:rsid w:val="00375FED"/>
    <w:rsid w:val="00380E39"/>
    <w:rsid w:val="00382765"/>
    <w:rsid w:val="00382C7C"/>
    <w:rsid w:val="003831E1"/>
    <w:rsid w:val="00384662"/>
    <w:rsid w:val="003848AE"/>
    <w:rsid w:val="00385F5A"/>
    <w:rsid w:val="00386BBE"/>
    <w:rsid w:val="00386E01"/>
    <w:rsid w:val="0038742E"/>
    <w:rsid w:val="00387521"/>
    <w:rsid w:val="00387A3F"/>
    <w:rsid w:val="00387A75"/>
    <w:rsid w:val="0039010C"/>
    <w:rsid w:val="003945E6"/>
    <w:rsid w:val="00395671"/>
    <w:rsid w:val="00395F0E"/>
    <w:rsid w:val="0039775B"/>
    <w:rsid w:val="003A1834"/>
    <w:rsid w:val="003A6FD5"/>
    <w:rsid w:val="003B0104"/>
    <w:rsid w:val="003B40A1"/>
    <w:rsid w:val="003B446D"/>
    <w:rsid w:val="003C1A1E"/>
    <w:rsid w:val="003C4291"/>
    <w:rsid w:val="003C66BB"/>
    <w:rsid w:val="003C6E4B"/>
    <w:rsid w:val="003C78D9"/>
    <w:rsid w:val="003C7E62"/>
    <w:rsid w:val="003D2FCD"/>
    <w:rsid w:val="003D4B7D"/>
    <w:rsid w:val="003D5067"/>
    <w:rsid w:val="003E283E"/>
    <w:rsid w:val="003E2BF8"/>
    <w:rsid w:val="003E4EF9"/>
    <w:rsid w:val="003E4F09"/>
    <w:rsid w:val="003F2C07"/>
    <w:rsid w:val="00404147"/>
    <w:rsid w:val="00404966"/>
    <w:rsid w:val="00410DDE"/>
    <w:rsid w:val="00413D61"/>
    <w:rsid w:val="00416698"/>
    <w:rsid w:val="004202C1"/>
    <w:rsid w:val="00421479"/>
    <w:rsid w:val="0042436B"/>
    <w:rsid w:val="00425A25"/>
    <w:rsid w:val="00425E33"/>
    <w:rsid w:val="00434766"/>
    <w:rsid w:val="0043495C"/>
    <w:rsid w:val="00437142"/>
    <w:rsid w:val="00441205"/>
    <w:rsid w:val="00441710"/>
    <w:rsid w:val="0044488F"/>
    <w:rsid w:val="00444F4D"/>
    <w:rsid w:val="00446501"/>
    <w:rsid w:val="00447C49"/>
    <w:rsid w:val="004500EA"/>
    <w:rsid w:val="00450BC5"/>
    <w:rsid w:val="004533A9"/>
    <w:rsid w:val="004535B0"/>
    <w:rsid w:val="004536AD"/>
    <w:rsid w:val="00454354"/>
    <w:rsid w:val="0045521D"/>
    <w:rsid w:val="00456267"/>
    <w:rsid w:val="00457234"/>
    <w:rsid w:val="0046154B"/>
    <w:rsid w:val="0046179E"/>
    <w:rsid w:val="0046375B"/>
    <w:rsid w:val="00466E4D"/>
    <w:rsid w:val="00470027"/>
    <w:rsid w:val="004703B4"/>
    <w:rsid w:val="004756BA"/>
    <w:rsid w:val="00475CB5"/>
    <w:rsid w:val="00480B15"/>
    <w:rsid w:val="004833D5"/>
    <w:rsid w:val="004844A0"/>
    <w:rsid w:val="00485275"/>
    <w:rsid w:val="00485AB6"/>
    <w:rsid w:val="00490445"/>
    <w:rsid w:val="004935C6"/>
    <w:rsid w:val="00497016"/>
    <w:rsid w:val="0049772D"/>
    <w:rsid w:val="004A0496"/>
    <w:rsid w:val="004A4CB7"/>
    <w:rsid w:val="004B0106"/>
    <w:rsid w:val="004B032B"/>
    <w:rsid w:val="004B1C48"/>
    <w:rsid w:val="004B507C"/>
    <w:rsid w:val="004B5EB3"/>
    <w:rsid w:val="004C0393"/>
    <w:rsid w:val="004C1232"/>
    <w:rsid w:val="004C206C"/>
    <w:rsid w:val="004C3826"/>
    <w:rsid w:val="004C5B55"/>
    <w:rsid w:val="004C6A69"/>
    <w:rsid w:val="004D5CD7"/>
    <w:rsid w:val="004D66D4"/>
    <w:rsid w:val="004E001E"/>
    <w:rsid w:val="004E0679"/>
    <w:rsid w:val="004E0CDC"/>
    <w:rsid w:val="004E0F3B"/>
    <w:rsid w:val="004E296D"/>
    <w:rsid w:val="004E3E3B"/>
    <w:rsid w:val="004E4175"/>
    <w:rsid w:val="004E4BDF"/>
    <w:rsid w:val="004E4EAA"/>
    <w:rsid w:val="004E516C"/>
    <w:rsid w:val="004F0906"/>
    <w:rsid w:val="004F10CF"/>
    <w:rsid w:val="004F2D58"/>
    <w:rsid w:val="004F4465"/>
    <w:rsid w:val="004F5097"/>
    <w:rsid w:val="004F5879"/>
    <w:rsid w:val="004F76AE"/>
    <w:rsid w:val="00502C8C"/>
    <w:rsid w:val="00502FC9"/>
    <w:rsid w:val="005114DC"/>
    <w:rsid w:val="005122FA"/>
    <w:rsid w:val="00512FF5"/>
    <w:rsid w:val="00515686"/>
    <w:rsid w:val="00515E85"/>
    <w:rsid w:val="005234AE"/>
    <w:rsid w:val="005242B9"/>
    <w:rsid w:val="00526740"/>
    <w:rsid w:val="00536350"/>
    <w:rsid w:val="00545E53"/>
    <w:rsid w:val="0054794C"/>
    <w:rsid w:val="00547FE7"/>
    <w:rsid w:val="005509F8"/>
    <w:rsid w:val="00556BA5"/>
    <w:rsid w:val="00561284"/>
    <w:rsid w:val="005617E4"/>
    <w:rsid w:val="00561EA6"/>
    <w:rsid w:val="00563F18"/>
    <w:rsid w:val="0056410B"/>
    <w:rsid w:val="00564239"/>
    <w:rsid w:val="00564887"/>
    <w:rsid w:val="005675DE"/>
    <w:rsid w:val="0057077C"/>
    <w:rsid w:val="005711E8"/>
    <w:rsid w:val="005715E2"/>
    <w:rsid w:val="00572125"/>
    <w:rsid w:val="00572B26"/>
    <w:rsid w:val="0057521D"/>
    <w:rsid w:val="005761F7"/>
    <w:rsid w:val="0057709F"/>
    <w:rsid w:val="00577C06"/>
    <w:rsid w:val="00577E20"/>
    <w:rsid w:val="005800F1"/>
    <w:rsid w:val="00584282"/>
    <w:rsid w:val="00584D8F"/>
    <w:rsid w:val="005851F1"/>
    <w:rsid w:val="005860D0"/>
    <w:rsid w:val="00586F54"/>
    <w:rsid w:val="005924A8"/>
    <w:rsid w:val="005967C7"/>
    <w:rsid w:val="00597738"/>
    <w:rsid w:val="005A0905"/>
    <w:rsid w:val="005A12AD"/>
    <w:rsid w:val="005A19A0"/>
    <w:rsid w:val="005A4F2C"/>
    <w:rsid w:val="005A6691"/>
    <w:rsid w:val="005A6D72"/>
    <w:rsid w:val="005A795E"/>
    <w:rsid w:val="005B5C7D"/>
    <w:rsid w:val="005B5F85"/>
    <w:rsid w:val="005B7A46"/>
    <w:rsid w:val="005C0C17"/>
    <w:rsid w:val="005C11CD"/>
    <w:rsid w:val="005C345A"/>
    <w:rsid w:val="005C4035"/>
    <w:rsid w:val="005D0FFC"/>
    <w:rsid w:val="005D282F"/>
    <w:rsid w:val="005E3200"/>
    <w:rsid w:val="005E413D"/>
    <w:rsid w:val="005E5598"/>
    <w:rsid w:val="005F2BB0"/>
    <w:rsid w:val="005F5A35"/>
    <w:rsid w:val="0060005E"/>
    <w:rsid w:val="00600431"/>
    <w:rsid w:val="0060247D"/>
    <w:rsid w:val="00602527"/>
    <w:rsid w:val="0060408F"/>
    <w:rsid w:val="00604FB0"/>
    <w:rsid w:val="00605AE1"/>
    <w:rsid w:val="0061006A"/>
    <w:rsid w:val="006104D0"/>
    <w:rsid w:val="006121A8"/>
    <w:rsid w:val="0061777E"/>
    <w:rsid w:val="006200D8"/>
    <w:rsid w:val="00621509"/>
    <w:rsid w:val="00621527"/>
    <w:rsid w:val="00625D87"/>
    <w:rsid w:val="00631A38"/>
    <w:rsid w:val="00631C26"/>
    <w:rsid w:val="00634F41"/>
    <w:rsid w:val="0063595E"/>
    <w:rsid w:val="00635C78"/>
    <w:rsid w:val="00636197"/>
    <w:rsid w:val="00636AE2"/>
    <w:rsid w:val="00640E90"/>
    <w:rsid w:val="00641EA7"/>
    <w:rsid w:val="00642CD4"/>
    <w:rsid w:val="00644069"/>
    <w:rsid w:val="00645F91"/>
    <w:rsid w:val="00647291"/>
    <w:rsid w:val="00647D4B"/>
    <w:rsid w:val="00656032"/>
    <w:rsid w:val="006563AC"/>
    <w:rsid w:val="00660741"/>
    <w:rsid w:val="00661BBA"/>
    <w:rsid w:val="0066367D"/>
    <w:rsid w:val="00664B57"/>
    <w:rsid w:val="00667BE0"/>
    <w:rsid w:val="00671117"/>
    <w:rsid w:val="006733DC"/>
    <w:rsid w:val="00674F19"/>
    <w:rsid w:val="00677548"/>
    <w:rsid w:val="00677837"/>
    <w:rsid w:val="006803F7"/>
    <w:rsid w:val="00680FC9"/>
    <w:rsid w:val="006841E4"/>
    <w:rsid w:val="00686161"/>
    <w:rsid w:val="00697461"/>
    <w:rsid w:val="006A12D6"/>
    <w:rsid w:val="006A4D3F"/>
    <w:rsid w:val="006A578D"/>
    <w:rsid w:val="006B0C52"/>
    <w:rsid w:val="006B3BF0"/>
    <w:rsid w:val="006B42EC"/>
    <w:rsid w:val="006B4D7A"/>
    <w:rsid w:val="006B7BF6"/>
    <w:rsid w:val="006C02D9"/>
    <w:rsid w:val="006C15CE"/>
    <w:rsid w:val="006C35A6"/>
    <w:rsid w:val="006C4C65"/>
    <w:rsid w:val="006C79AB"/>
    <w:rsid w:val="006D081D"/>
    <w:rsid w:val="006D4050"/>
    <w:rsid w:val="006E0B9D"/>
    <w:rsid w:val="006E0ED5"/>
    <w:rsid w:val="006E1C78"/>
    <w:rsid w:val="006E2558"/>
    <w:rsid w:val="006E2690"/>
    <w:rsid w:val="006E5058"/>
    <w:rsid w:val="006F04B1"/>
    <w:rsid w:val="006F25B6"/>
    <w:rsid w:val="006F3131"/>
    <w:rsid w:val="006F4273"/>
    <w:rsid w:val="006F51DE"/>
    <w:rsid w:val="006F6213"/>
    <w:rsid w:val="00700921"/>
    <w:rsid w:val="0070273E"/>
    <w:rsid w:val="00703B1C"/>
    <w:rsid w:val="00706B19"/>
    <w:rsid w:val="00711A56"/>
    <w:rsid w:val="007128DC"/>
    <w:rsid w:val="00713724"/>
    <w:rsid w:val="00715A71"/>
    <w:rsid w:val="007166EF"/>
    <w:rsid w:val="00717E0B"/>
    <w:rsid w:val="0072087C"/>
    <w:rsid w:val="007239AE"/>
    <w:rsid w:val="00724C3A"/>
    <w:rsid w:val="0072563B"/>
    <w:rsid w:val="0072588D"/>
    <w:rsid w:val="00727420"/>
    <w:rsid w:val="00734946"/>
    <w:rsid w:val="00746E89"/>
    <w:rsid w:val="00746F21"/>
    <w:rsid w:val="007507CA"/>
    <w:rsid w:val="00751A48"/>
    <w:rsid w:val="00751A8C"/>
    <w:rsid w:val="00751DC5"/>
    <w:rsid w:val="0075376C"/>
    <w:rsid w:val="00753B2F"/>
    <w:rsid w:val="00754F74"/>
    <w:rsid w:val="00756087"/>
    <w:rsid w:val="00761687"/>
    <w:rsid w:val="007643A3"/>
    <w:rsid w:val="00764DF4"/>
    <w:rsid w:val="00765C53"/>
    <w:rsid w:val="007663AE"/>
    <w:rsid w:val="00767F7D"/>
    <w:rsid w:val="00771009"/>
    <w:rsid w:val="007730C0"/>
    <w:rsid w:val="00773B09"/>
    <w:rsid w:val="007752C9"/>
    <w:rsid w:val="0077543A"/>
    <w:rsid w:val="00776313"/>
    <w:rsid w:val="007763F8"/>
    <w:rsid w:val="007767F7"/>
    <w:rsid w:val="00777941"/>
    <w:rsid w:val="0078087B"/>
    <w:rsid w:val="007822CE"/>
    <w:rsid w:val="00784D77"/>
    <w:rsid w:val="00785B29"/>
    <w:rsid w:val="00786A4C"/>
    <w:rsid w:val="007872A5"/>
    <w:rsid w:val="00787B34"/>
    <w:rsid w:val="00787BD3"/>
    <w:rsid w:val="00794517"/>
    <w:rsid w:val="00794A5A"/>
    <w:rsid w:val="007A299C"/>
    <w:rsid w:val="007A593A"/>
    <w:rsid w:val="007A681F"/>
    <w:rsid w:val="007A7B2A"/>
    <w:rsid w:val="007B00E9"/>
    <w:rsid w:val="007B08ED"/>
    <w:rsid w:val="007B139F"/>
    <w:rsid w:val="007B1C5F"/>
    <w:rsid w:val="007B4679"/>
    <w:rsid w:val="007B6A0D"/>
    <w:rsid w:val="007B74D9"/>
    <w:rsid w:val="007C0608"/>
    <w:rsid w:val="007C2B73"/>
    <w:rsid w:val="007C42D4"/>
    <w:rsid w:val="007C447F"/>
    <w:rsid w:val="007C74B0"/>
    <w:rsid w:val="007D1901"/>
    <w:rsid w:val="007D36F2"/>
    <w:rsid w:val="007D4B03"/>
    <w:rsid w:val="007D6747"/>
    <w:rsid w:val="007D7351"/>
    <w:rsid w:val="007E0250"/>
    <w:rsid w:val="007E3213"/>
    <w:rsid w:val="007E4D4B"/>
    <w:rsid w:val="007E6557"/>
    <w:rsid w:val="007F1981"/>
    <w:rsid w:val="00803EF2"/>
    <w:rsid w:val="00804998"/>
    <w:rsid w:val="008069B9"/>
    <w:rsid w:val="00807474"/>
    <w:rsid w:val="00807AE6"/>
    <w:rsid w:val="00807E32"/>
    <w:rsid w:val="0081480C"/>
    <w:rsid w:val="008208EB"/>
    <w:rsid w:val="008219EA"/>
    <w:rsid w:val="00826735"/>
    <w:rsid w:val="00836E27"/>
    <w:rsid w:val="008379DC"/>
    <w:rsid w:val="00840704"/>
    <w:rsid w:val="008418DF"/>
    <w:rsid w:val="00841F72"/>
    <w:rsid w:val="00843775"/>
    <w:rsid w:val="008441FF"/>
    <w:rsid w:val="008449CD"/>
    <w:rsid w:val="008450DD"/>
    <w:rsid w:val="00845434"/>
    <w:rsid w:val="00847AB9"/>
    <w:rsid w:val="00850C9E"/>
    <w:rsid w:val="00853083"/>
    <w:rsid w:val="008532B3"/>
    <w:rsid w:val="00854689"/>
    <w:rsid w:val="00854B4C"/>
    <w:rsid w:val="00861748"/>
    <w:rsid w:val="0086397E"/>
    <w:rsid w:val="008719D7"/>
    <w:rsid w:val="0087217B"/>
    <w:rsid w:val="008721A8"/>
    <w:rsid w:val="00872B45"/>
    <w:rsid w:val="008832C0"/>
    <w:rsid w:val="00883E97"/>
    <w:rsid w:val="0088475E"/>
    <w:rsid w:val="00884C6A"/>
    <w:rsid w:val="0089001A"/>
    <w:rsid w:val="008919F2"/>
    <w:rsid w:val="00891E62"/>
    <w:rsid w:val="00892DE3"/>
    <w:rsid w:val="008930EE"/>
    <w:rsid w:val="0089427B"/>
    <w:rsid w:val="00896EB1"/>
    <w:rsid w:val="008A6414"/>
    <w:rsid w:val="008A67F4"/>
    <w:rsid w:val="008B0057"/>
    <w:rsid w:val="008B2C24"/>
    <w:rsid w:val="008B341C"/>
    <w:rsid w:val="008B59B4"/>
    <w:rsid w:val="008B621A"/>
    <w:rsid w:val="008C0262"/>
    <w:rsid w:val="008C2C25"/>
    <w:rsid w:val="008C2CB8"/>
    <w:rsid w:val="008C470F"/>
    <w:rsid w:val="008C4D63"/>
    <w:rsid w:val="008C5322"/>
    <w:rsid w:val="008C6AA9"/>
    <w:rsid w:val="008C733E"/>
    <w:rsid w:val="008C741D"/>
    <w:rsid w:val="008D1149"/>
    <w:rsid w:val="008D311D"/>
    <w:rsid w:val="008E29B9"/>
    <w:rsid w:val="008E352F"/>
    <w:rsid w:val="008E4A98"/>
    <w:rsid w:val="008E5BEF"/>
    <w:rsid w:val="008E6444"/>
    <w:rsid w:val="008E7219"/>
    <w:rsid w:val="008F0979"/>
    <w:rsid w:val="008F10A4"/>
    <w:rsid w:val="008F30E6"/>
    <w:rsid w:val="008F3E54"/>
    <w:rsid w:val="008F3FED"/>
    <w:rsid w:val="008F5741"/>
    <w:rsid w:val="00903629"/>
    <w:rsid w:val="00904AAE"/>
    <w:rsid w:val="00904FA0"/>
    <w:rsid w:val="00912984"/>
    <w:rsid w:val="009129D0"/>
    <w:rsid w:val="0091392C"/>
    <w:rsid w:val="00915BAC"/>
    <w:rsid w:val="00917BE0"/>
    <w:rsid w:val="00921AC6"/>
    <w:rsid w:val="00924071"/>
    <w:rsid w:val="009275BE"/>
    <w:rsid w:val="00927D2E"/>
    <w:rsid w:val="00927DE9"/>
    <w:rsid w:val="00930F10"/>
    <w:rsid w:val="00931CF4"/>
    <w:rsid w:val="00932240"/>
    <w:rsid w:val="00932245"/>
    <w:rsid w:val="0093248B"/>
    <w:rsid w:val="00934C16"/>
    <w:rsid w:val="00936331"/>
    <w:rsid w:val="00937748"/>
    <w:rsid w:val="009409F4"/>
    <w:rsid w:val="009422B0"/>
    <w:rsid w:val="00943ED6"/>
    <w:rsid w:val="0095158E"/>
    <w:rsid w:val="00955A8F"/>
    <w:rsid w:val="0095629B"/>
    <w:rsid w:val="00957B4F"/>
    <w:rsid w:val="00962C06"/>
    <w:rsid w:val="00963D2C"/>
    <w:rsid w:val="00964510"/>
    <w:rsid w:val="00965DB8"/>
    <w:rsid w:val="009670C7"/>
    <w:rsid w:val="0096776B"/>
    <w:rsid w:val="00975992"/>
    <w:rsid w:val="00975DDD"/>
    <w:rsid w:val="009771A2"/>
    <w:rsid w:val="00982FC5"/>
    <w:rsid w:val="00992179"/>
    <w:rsid w:val="009935B7"/>
    <w:rsid w:val="00995ADD"/>
    <w:rsid w:val="009A107E"/>
    <w:rsid w:val="009A3D71"/>
    <w:rsid w:val="009A3FD4"/>
    <w:rsid w:val="009A45CB"/>
    <w:rsid w:val="009A5288"/>
    <w:rsid w:val="009A5541"/>
    <w:rsid w:val="009A5669"/>
    <w:rsid w:val="009A5EA4"/>
    <w:rsid w:val="009A609C"/>
    <w:rsid w:val="009A6B6D"/>
    <w:rsid w:val="009B1692"/>
    <w:rsid w:val="009B192F"/>
    <w:rsid w:val="009B2D78"/>
    <w:rsid w:val="009B3976"/>
    <w:rsid w:val="009B4121"/>
    <w:rsid w:val="009B4C3D"/>
    <w:rsid w:val="009C3383"/>
    <w:rsid w:val="009C4E9F"/>
    <w:rsid w:val="009C5ED5"/>
    <w:rsid w:val="009C661F"/>
    <w:rsid w:val="009C7276"/>
    <w:rsid w:val="009D1024"/>
    <w:rsid w:val="009D203B"/>
    <w:rsid w:val="009D3B09"/>
    <w:rsid w:val="009D62DF"/>
    <w:rsid w:val="009E0BC5"/>
    <w:rsid w:val="009E1EA1"/>
    <w:rsid w:val="009E5D9B"/>
    <w:rsid w:val="009E6BF4"/>
    <w:rsid w:val="009F0241"/>
    <w:rsid w:val="009F07AF"/>
    <w:rsid w:val="009F38BD"/>
    <w:rsid w:val="009F4580"/>
    <w:rsid w:val="00A00D10"/>
    <w:rsid w:val="00A011C8"/>
    <w:rsid w:val="00A02FBB"/>
    <w:rsid w:val="00A02FD3"/>
    <w:rsid w:val="00A03CD4"/>
    <w:rsid w:val="00A047B7"/>
    <w:rsid w:val="00A0496B"/>
    <w:rsid w:val="00A04E4C"/>
    <w:rsid w:val="00A07C46"/>
    <w:rsid w:val="00A1016F"/>
    <w:rsid w:val="00A124D2"/>
    <w:rsid w:val="00A14AEE"/>
    <w:rsid w:val="00A155EB"/>
    <w:rsid w:val="00A15841"/>
    <w:rsid w:val="00A173C9"/>
    <w:rsid w:val="00A174A4"/>
    <w:rsid w:val="00A1764B"/>
    <w:rsid w:val="00A23F4A"/>
    <w:rsid w:val="00A241DA"/>
    <w:rsid w:val="00A246C7"/>
    <w:rsid w:val="00A25A01"/>
    <w:rsid w:val="00A2606F"/>
    <w:rsid w:val="00A3102B"/>
    <w:rsid w:val="00A3406D"/>
    <w:rsid w:val="00A34766"/>
    <w:rsid w:val="00A414FA"/>
    <w:rsid w:val="00A41D37"/>
    <w:rsid w:val="00A43C6A"/>
    <w:rsid w:val="00A44609"/>
    <w:rsid w:val="00A44AF0"/>
    <w:rsid w:val="00A44B62"/>
    <w:rsid w:val="00A4519E"/>
    <w:rsid w:val="00A45C9E"/>
    <w:rsid w:val="00A51B0D"/>
    <w:rsid w:val="00A54C08"/>
    <w:rsid w:val="00A55086"/>
    <w:rsid w:val="00A56CA0"/>
    <w:rsid w:val="00A56CC6"/>
    <w:rsid w:val="00A5724E"/>
    <w:rsid w:val="00A608D3"/>
    <w:rsid w:val="00A62285"/>
    <w:rsid w:val="00A710A4"/>
    <w:rsid w:val="00A73666"/>
    <w:rsid w:val="00A76BBA"/>
    <w:rsid w:val="00A77231"/>
    <w:rsid w:val="00A814EA"/>
    <w:rsid w:val="00A8171A"/>
    <w:rsid w:val="00A81A21"/>
    <w:rsid w:val="00A81CE8"/>
    <w:rsid w:val="00A82DDC"/>
    <w:rsid w:val="00A840F2"/>
    <w:rsid w:val="00A8418B"/>
    <w:rsid w:val="00A86CB4"/>
    <w:rsid w:val="00A870B8"/>
    <w:rsid w:val="00A90BC5"/>
    <w:rsid w:val="00A92F60"/>
    <w:rsid w:val="00A95543"/>
    <w:rsid w:val="00A96718"/>
    <w:rsid w:val="00A97A79"/>
    <w:rsid w:val="00AA232F"/>
    <w:rsid w:val="00AA4C85"/>
    <w:rsid w:val="00AA6612"/>
    <w:rsid w:val="00AB2494"/>
    <w:rsid w:val="00AB2F86"/>
    <w:rsid w:val="00AB4074"/>
    <w:rsid w:val="00AB5BD5"/>
    <w:rsid w:val="00AB671B"/>
    <w:rsid w:val="00AC0AB9"/>
    <w:rsid w:val="00AC2F31"/>
    <w:rsid w:val="00AD2355"/>
    <w:rsid w:val="00AD2566"/>
    <w:rsid w:val="00AD27FA"/>
    <w:rsid w:val="00AD296F"/>
    <w:rsid w:val="00AD4C5F"/>
    <w:rsid w:val="00AE0488"/>
    <w:rsid w:val="00AE3A91"/>
    <w:rsid w:val="00AE558B"/>
    <w:rsid w:val="00AE6441"/>
    <w:rsid w:val="00AE68DE"/>
    <w:rsid w:val="00AE756C"/>
    <w:rsid w:val="00AF0729"/>
    <w:rsid w:val="00AF3097"/>
    <w:rsid w:val="00AF481A"/>
    <w:rsid w:val="00AF50E5"/>
    <w:rsid w:val="00AF7E15"/>
    <w:rsid w:val="00B009A5"/>
    <w:rsid w:val="00B01183"/>
    <w:rsid w:val="00B04D8C"/>
    <w:rsid w:val="00B05EA1"/>
    <w:rsid w:val="00B06D39"/>
    <w:rsid w:val="00B10583"/>
    <w:rsid w:val="00B12570"/>
    <w:rsid w:val="00B131E5"/>
    <w:rsid w:val="00B142B8"/>
    <w:rsid w:val="00B145B4"/>
    <w:rsid w:val="00B14E31"/>
    <w:rsid w:val="00B17899"/>
    <w:rsid w:val="00B20CDD"/>
    <w:rsid w:val="00B21222"/>
    <w:rsid w:val="00B219F5"/>
    <w:rsid w:val="00B22A03"/>
    <w:rsid w:val="00B25256"/>
    <w:rsid w:val="00B267E7"/>
    <w:rsid w:val="00B26B2B"/>
    <w:rsid w:val="00B27C4C"/>
    <w:rsid w:val="00B32110"/>
    <w:rsid w:val="00B32DD0"/>
    <w:rsid w:val="00B367A5"/>
    <w:rsid w:val="00B42DFC"/>
    <w:rsid w:val="00B4316C"/>
    <w:rsid w:val="00B5006D"/>
    <w:rsid w:val="00B505B5"/>
    <w:rsid w:val="00B50C1B"/>
    <w:rsid w:val="00B50E42"/>
    <w:rsid w:val="00B51412"/>
    <w:rsid w:val="00B53022"/>
    <w:rsid w:val="00B542ED"/>
    <w:rsid w:val="00B561D4"/>
    <w:rsid w:val="00B64C33"/>
    <w:rsid w:val="00B65387"/>
    <w:rsid w:val="00B706CA"/>
    <w:rsid w:val="00B72378"/>
    <w:rsid w:val="00B73261"/>
    <w:rsid w:val="00B737B9"/>
    <w:rsid w:val="00B750BD"/>
    <w:rsid w:val="00B75D6F"/>
    <w:rsid w:val="00B76AAF"/>
    <w:rsid w:val="00B76B03"/>
    <w:rsid w:val="00B775BD"/>
    <w:rsid w:val="00B85027"/>
    <w:rsid w:val="00B865E8"/>
    <w:rsid w:val="00B8733B"/>
    <w:rsid w:val="00B90F2B"/>
    <w:rsid w:val="00B949AE"/>
    <w:rsid w:val="00BA0EEE"/>
    <w:rsid w:val="00BA4F65"/>
    <w:rsid w:val="00BA62CB"/>
    <w:rsid w:val="00BA767E"/>
    <w:rsid w:val="00BB2FCF"/>
    <w:rsid w:val="00BB5D65"/>
    <w:rsid w:val="00BB689A"/>
    <w:rsid w:val="00BB75D0"/>
    <w:rsid w:val="00BC27C6"/>
    <w:rsid w:val="00BC5949"/>
    <w:rsid w:val="00BD081F"/>
    <w:rsid w:val="00BD0DEB"/>
    <w:rsid w:val="00BD0F0A"/>
    <w:rsid w:val="00BD4B41"/>
    <w:rsid w:val="00BD59C3"/>
    <w:rsid w:val="00BE037C"/>
    <w:rsid w:val="00BE3045"/>
    <w:rsid w:val="00BE3C8D"/>
    <w:rsid w:val="00BE443F"/>
    <w:rsid w:val="00BE52F5"/>
    <w:rsid w:val="00BE592C"/>
    <w:rsid w:val="00BE5B63"/>
    <w:rsid w:val="00BE6098"/>
    <w:rsid w:val="00BE774B"/>
    <w:rsid w:val="00BE7F12"/>
    <w:rsid w:val="00BF208A"/>
    <w:rsid w:val="00BF4C89"/>
    <w:rsid w:val="00BF5B21"/>
    <w:rsid w:val="00C01311"/>
    <w:rsid w:val="00C0225C"/>
    <w:rsid w:val="00C02AD1"/>
    <w:rsid w:val="00C05D76"/>
    <w:rsid w:val="00C11D73"/>
    <w:rsid w:val="00C1267C"/>
    <w:rsid w:val="00C149F7"/>
    <w:rsid w:val="00C151EA"/>
    <w:rsid w:val="00C155E1"/>
    <w:rsid w:val="00C20C25"/>
    <w:rsid w:val="00C22400"/>
    <w:rsid w:val="00C24E55"/>
    <w:rsid w:val="00C27A95"/>
    <w:rsid w:val="00C27D2C"/>
    <w:rsid w:val="00C336E9"/>
    <w:rsid w:val="00C36796"/>
    <w:rsid w:val="00C37179"/>
    <w:rsid w:val="00C37958"/>
    <w:rsid w:val="00C4146E"/>
    <w:rsid w:val="00C4191D"/>
    <w:rsid w:val="00C41E4C"/>
    <w:rsid w:val="00C42E27"/>
    <w:rsid w:val="00C449DC"/>
    <w:rsid w:val="00C46D32"/>
    <w:rsid w:val="00C47D99"/>
    <w:rsid w:val="00C5152E"/>
    <w:rsid w:val="00C51889"/>
    <w:rsid w:val="00C54ED7"/>
    <w:rsid w:val="00C565B1"/>
    <w:rsid w:val="00C569B3"/>
    <w:rsid w:val="00C57160"/>
    <w:rsid w:val="00C634F6"/>
    <w:rsid w:val="00C63955"/>
    <w:rsid w:val="00C64352"/>
    <w:rsid w:val="00C64585"/>
    <w:rsid w:val="00C66D5B"/>
    <w:rsid w:val="00C705AB"/>
    <w:rsid w:val="00C74F42"/>
    <w:rsid w:val="00C76C4A"/>
    <w:rsid w:val="00C8063B"/>
    <w:rsid w:val="00C8065D"/>
    <w:rsid w:val="00C815C1"/>
    <w:rsid w:val="00C81FA5"/>
    <w:rsid w:val="00C82118"/>
    <w:rsid w:val="00C826A5"/>
    <w:rsid w:val="00C83C9C"/>
    <w:rsid w:val="00C8677D"/>
    <w:rsid w:val="00C901BE"/>
    <w:rsid w:val="00C9162A"/>
    <w:rsid w:val="00C92499"/>
    <w:rsid w:val="00C956F2"/>
    <w:rsid w:val="00C97912"/>
    <w:rsid w:val="00CA0CA3"/>
    <w:rsid w:val="00CA1BBA"/>
    <w:rsid w:val="00CA394A"/>
    <w:rsid w:val="00CA4DD5"/>
    <w:rsid w:val="00CA7DE3"/>
    <w:rsid w:val="00CB1D4A"/>
    <w:rsid w:val="00CB2553"/>
    <w:rsid w:val="00CB5756"/>
    <w:rsid w:val="00CB6551"/>
    <w:rsid w:val="00CC0148"/>
    <w:rsid w:val="00CC31A0"/>
    <w:rsid w:val="00CC4C24"/>
    <w:rsid w:val="00CC7B26"/>
    <w:rsid w:val="00CD2D8F"/>
    <w:rsid w:val="00CD6EEC"/>
    <w:rsid w:val="00CE16EC"/>
    <w:rsid w:val="00CE6FBD"/>
    <w:rsid w:val="00CE75CE"/>
    <w:rsid w:val="00CF40F6"/>
    <w:rsid w:val="00CF7916"/>
    <w:rsid w:val="00D02554"/>
    <w:rsid w:val="00D04C94"/>
    <w:rsid w:val="00D06BDD"/>
    <w:rsid w:val="00D107F0"/>
    <w:rsid w:val="00D13BA6"/>
    <w:rsid w:val="00D13C96"/>
    <w:rsid w:val="00D17265"/>
    <w:rsid w:val="00D206C7"/>
    <w:rsid w:val="00D2183C"/>
    <w:rsid w:val="00D236DE"/>
    <w:rsid w:val="00D23B92"/>
    <w:rsid w:val="00D23ED8"/>
    <w:rsid w:val="00D26613"/>
    <w:rsid w:val="00D26DE9"/>
    <w:rsid w:val="00D27FF9"/>
    <w:rsid w:val="00D30010"/>
    <w:rsid w:val="00D30500"/>
    <w:rsid w:val="00D30B7A"/>
    <w:rsid w:val="00D3663E"/>
    <w:rsid w:val="00D3738D"/>
    <w:rsid w:val="00D44C41"/>
    <w:rsid w:val="00D46970"/>
    <w:rsid w:val="00D46C1D"/>
    <w:rsid w:val="00D50A2A"/>
    <w:rsid w:val="00D513C0"/>
    <w:rsid w:val="00D53D62"/>
    <w:rsid w:val="00D543F1"/>
    <w:rsid w:val="00D55AFA"/>
    <w:rsid w:val="00D57C99"/>
    <w:rsid w:val="00D62773"/>
    <w:rsid w:val="00D6490B"/>
    <w:rsid w:val="00D6672C"/>
    <w:rsid w:val="00D66B72"/>
    <w:rsid w:val="00D72D6E"/>
    <w:rsid w:val="00D74105"/>
    <w:rsid w:val="00D7454D"/>
    <w:rsid w:val="00D75102"/>
    <w:rsid w:val="00D76F9B"/>
    <w:rsid w:val="00D8403E"/>
    <w:rsid w:val="00D851BE"/>
    <w:rsid w:val="00D960AA"/>
    <w:rsid w:val="00D961EF"/>
    <w:rsid w:val="00D974AB"/>
    <w:rsid w:val="00DA2EF1"/>
    <w:rsid w:val="00DA444D"/>
    <w:rsid w:val="00DA44D7"/>
    <w:rsid w:val="00DA5BAE"/>
    <w:rsid w:val="00DA651E"/>
    <w:rsid w:val="00DB194E"/>
    <w:rsid w:val="00DB3D66"/>
    <w:rsid w:val="00DB46AD"/>
    <w:rsid w:val="00DB5C51"/>
    <w:rsid w:val="00DC188B"/>
    <w:rsid w:val="00DC28DC"/>
    <w:rsid w:val="00DC2BC2"/>
    <w:rsid w:val="00DC4041"/>
    <w:rsid w:val="00DD1EE9"/>
    <w:rsid w:val="00DD3677"/>
    <w:rsid w:val="00DD372E"/>
    <w:rsid w:val="00DD4A1D"/>
    <w:rsid w:val="00DE6AB2"/>
    <w:rsid w:val="00DE7192"/>
    <w:rsid w:val="00DF0776"/>
    <w:rsid w:val="00DF128C"/>
    <w:rsid w:val="00DF1DEA"/>
    <w:rsid w:val="00DF22D3"/>
    <w:rsid w:val="00DF2D1F"/>
    <w:rsid w:val="00DF5CF0"/>
    <w:rsid w:val="00DF5D36"/>
    <w:rsid w:val="00E028DF"/>
    <w:rsid w:val="00E03039"/>
    <w:rsid w:val="00E03A52"/>
    <w:rsid w:val="00E056AE"/>
    <w:rsid w:val="00E070D0"/>
    <w:rsid w:val="00E0745A"/>
    <w:rsid w:val="00E10E32"/>
    <w:rsid w:val="00E1219D"/>
    <w:rsid w:val="00E14F6E"/>
    <w:rsid w:val="00E217B1"/>
    <w:rsid w:val="00E23848"/>
    <w:rsid w:val="00E24392"/>
    <w:rsid w:val="00E2517F"/>
    <w:rsid w:val="00E30458"/>
    <w:rsid w:val="00E34829"/>
    <w:rsid w:val="00E3781F"/>
    <w:rsid w:val="00E42303"/>
    <w:rsid w:val="00E477B8"/>
    <w:rsid w:val="00E61A8F"/>
    <w:rsid w:val="00E61C66"/>
    <w:rsid w:val="00E64BCF"/>
    <w:rsid w:val="00E65000"/>
    <w:rsid w:val="00E6566D"/>
    <w:rsid w:val="00E66C1F"/>
    <w:rsid w:val="00E70B81"/>
    <w:rsid w:val="00E71089"/>
    <w:rsid w:val="00E72EC3"/>
    <w:rsid w:val="00E74189"/>
    <w:rsid w:val="00E773EA"/>
    <w:rsid w:val="00E817DB"/>
    <w:rsid w:val="00E84510"/>
    <w:rsid w:val="00E9018A"/>
    <w:rsid w:val="00E91341"/>
    <w:rsid w:val="00E91FFA"/>
    <w:rsid w:val="00E9366D"/>
    <w:rsid w:val="00E939C2"/>
    <w:rsid w:val="00E9510E"/>
    <w:rsid w:val="00E96011"/>
    <w:rsid w:val="00E971D9"/>
    <w:rsid w:val="00EA28D0"/>
    <w:rsid w:val="00EA4D3A"/>
    <w:rsid w:val="00EA7CAF"/>
    <w:rsid w:val="00EB2677"/>
    <w:rsid w:val="00EB4B47"/>
    <w:rsid w:val="00EB503F"/>
    <w:rsid w:val="00EB7B17"/>
    <w:rsid w:val="00EC0A64"/>
    <w:rsid w:val="00EC458F"/>
    <w:rsid w:val="00ED0556"/>
    <w:rsid w:val="00ED2532"/>
    <w:rsid w:val="00ED573B"/>
    <w:rsid w:val="00EE1F0A"/>
    <w:rsid w:val="00EE2C5B"/>
    <w:rsid w:val="00EE3D36"/>
    <w:rsid w:val="00EE4180"/>
    <w:rsid w:val="00EE45A9"/>
    <w:rsid w:val="00EE4979"/>
    <w:rsid w:val="00EE61F9"/>
    <w:rsid w:val="00EF50AE"/>
    <w:rsid w:val="00EF59D1"/>
    <w:rsid w:val="00EF677F"/>
    <w:rsid w:val="00F01061"/>
    <w:rsid w:val="00F015C0"/>
    <w:rsid w:val="00F0298B"/>
    <w:rsid w:val="00F02ABE"/>
    <w:rsid w:val="00F1085D"/>
    <w:rsid w:val="00F109C1"/>
    <w:rsid w:val="00F14B2A"/>
    <w:rsid w:val="00F15475"/>
    <w:rsid w:val="00F1589E"/>
    <w:rsid w:val="00F1651A"/>
    <w:rsid w:val="00F22122"/>
    <w:rsid w:val="00F247B0"/>
    <w:rsid w:val="00F27B02"/>
    <w:rsid w:val="00F30DF4"/>
    <w:rsid w:val="00F3254B"/>
    <w:rsid w:val="00F330E2"/>
    <w:rsid w:val="00F33A70"/>
    <w:rsid w:val="00F35D85"/>
    <w:rsid w:val="00F403D0"/>
    <w:rsid w:val="00F40F88"/>
    <w:rsid w:val="00F42CC6"/>
    <w:rsid w:val="00F460CE"/>
    <w:rsid w:val="00F5023C"/>
    <w:rsid w:val="00F507B9"/>
    <w:rsid w:val="00F50B23"/>
    <w:rsid w:val="00F5152D"/>
    <w:rsid w:val="00F53C7E"/>
    <w:rsid w:val="00F5545F"/>
    <w:rsid w:val="00F55E9A"/>
    <w:rsid w:val="00F56CBA"/>
    <w:rsid w:val="00F5703E"/>
    <w:rsid w:val="00F57C22"/>
    <w:rsid w:val="00F61FC5"/>
    <w:rsid w:val="00F62B54"/>
    <w:rsid w:val="00F62E01"/>
    <w:rsid w:val="00F66A89"/>
    <w:rsid w:val="00F66AB1"/>
    <w:rsid w:val="00F67C08"/>
    <w:rsid w:val="00F73CD0"/>
    <w:rsid w:val="00F741C5"/>
    <w:rsid w:val="00F74984"/>
    <w:rsid w:val="00F74CF4"/>
    <w:rsid w:val="00F75443"/>
    <w:rsid w:val="00F80341"/>
    <w:rsid w:val="00F90959"/>
    <w:rsid w:val="00F92988"/>
    <w:rsid w:val="00F92CD1"/>
    <w:rsid w:val="00F94548"/>
    <w:rsid w:val="00F958BF"/>
    <w:rsid w:val="00F9607D"/>
    <w:rsid w:val="00F97C71"/>
    <w:rsid w:val="00F97CE9"/>
    <w:rsid w:val="00FA08B8"/>
    <w:rsid w:val="00FA0942"/>
    <w:rsid w:val="00FA1240"/>
    <w:rsid w:val="00FA206E"/>
    <w:rsid w:val="00FA3C0A"/>
    <w:rsid w:val="00FA6576"/>
    <w:rsid w:val="00FB05E0"/>
    <w:rsid w:val="00FB1559"/>
    <w:rsid w:val="00FB386B"/>
    <w:rsid w:val="00FB6883"/>
    <w:rsid w:val="00FB6BAC"/>
    <w:rsid w:val="00FB772F"/>
    <w:rsid w:val="00FC18A1"/>
    <w:rsid w:val="00FC44BC"/>
    <w:rsid w:val="00FC7F25"/>
    <w:rsid w:val="00FD1C02"/>
    <w:rsid w:val="00FE0978"/>
    <w:rsid w:val="00FE38BE"/>
    <w:rsid w:val="00FE3ABD"/>
    <w:rsid w:val="00FE54C6"/>
    <w:rsid w:val="00FF1AAF"/>
    <w:rsid w:val="00FF5B5F"/>
    <w:rsid w:val="00FF73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14509C-477D-4A2D-8354-13AF5691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083"/>
  </w:style>
  <w:style w:type="paragraph" w:styleId="1">
    <w:name w:val="heading 1"/>
    <w:basedOn w:val="a"/>
    <w:next w:val="a"/>
    <w:link w:val="10"/>
    <w:uiPriority w:val="9"/>
    <w:qFormat/>
    <w:rsid w:val="005D0FFC"/>
    <w:pPr>
      <w:widowControl w:val="0"/>
      <w:autoSpaceDE w:val="0"/>
      <w:autoSpaceDN w:val="0"/>
      <w:adjustRightInd w:val="0"/>
      <w:spacing w:before="120" w:after="240" w:line="240" w:lineRule="auto"/>
      <w:jc w:val="center"/>
      <w:outlineLvl w:val="0"/>
    </w:pPr>
    <w:rPr>
      <w:rFonts w:ascii="Times New Roman" w:eastAsia="Calibri" w:hAnsi="Times New Roman" w:cs="Times New Roman"/>
      <w:b/>
      <w:sz w:val="28"/>
      <w:szCs w:val="28"/>
    </w:rPr>
  </w:style>
  <w:style w:type="paragraph" w:styleId="3">
    <w:name w:val="heading 3"/>
    <w:basedOn w:val="a"/>
    <w:link w:val="30"/>
    <w:uiPriority w:val="9"/>
    <w:qFormat/>
    <w:rsid w:val="005D0FF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27"/>
    <w:pPr>
      <w:ind w:left="720"/>
      <w:contextualSpacing/>
    </w:pPr>
  </w:style>
  <w:style w:type="table" w:styleId="a4">
    <w:name w:val="Table Grid"/>
    <w:basedOn w:val="a1"/>
    <w:uiPriority w:val="39"/>
    <w:rsid w:val="00A5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45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4510"/>
    <w:rPr>
      <w:rFonts w:ascii="Segoe UI" w:hAnsi="Segoe UI" w:cs="Segoe UI"/>
      <w:sz w:val="18"/>
      <w:szCs w:val="18"/>
    </w:rPr>
  </w:style>
  <w:style w:type="paragraph" w:styleId="a7">
    <w:name w:val="header"/>
    <w:basedOn w:val="a"/>
    <w:link w:val="a8"/>
    <w:uiPriority w:val="99"/>
    <w:unhideWhenUsed/>
    <w:rsid w:val="00DB5C5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B5C51"/>
  </w:style>
  <w:style w:type="paragraph" w:styleId="a9">
    <w:name w:val="footer"/>
    <w:basedOn w:val="a"/>
    <w:link w:val="aa"/>
    <w:uiPriority w:val="99"/>
    <w:unhideWhenUsed/>
    <w:rsid w:val="00DB5C5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DB5C51"/>
  </w:style>
  <w:style w:type="character" w:customStyle="1" w:styleId="10">
    <w:name w:val="Заголовок 1 Знак"/>
    <w:basedOn w:val="a0"/>
    <w:link w:val="1"/>
    <w:uiPriority w:val="9"/>
    <w:rsid w:val="005D0FFC"/>
    <w:rPr>
      <w:rFonts w:ascii="Times New Roman" w:eastAsia="Calibri" w:hAnsi="Times New Roman" w:cs="Times New Roman"/>
      <w:b/>
      <w:sz w:val="28"/>
      <w:szCs w:val="28"/>
    </w:rPr>
  </w:style>
  <w:style w:type="character" w:customStyle="1" w:styleId="30">
    <w:name w:val="Заголовок 3 Знак"/>
    <w:basedOn w:val="a0"/>
    <w:link w:val="3"/>
    <w:uiPriority w:val="9"/>
    <w:rsid w:val="005D0FFC"/>
    <w:rPr>
      <w:rFonts w:ascii="Times New Roman" w:eastAsia="Times New Roman" w:hAnsi="Times New Roman" w:cs="Times New Roman"/>
      <w:b/>
      <w:bCs/>
      <w:sz w:val="27"/>
      <w:szCs w:val="27"/>
      <w:lang w:val="ru-RU" w:eastAsia="ru-RU"/>
    </w:rPr>
  </w:style>
  <w:style w:type="numbering" w:customStyle="1" w:styleId="11">
    <w:name w:val="Немає списку1"/>
    <w:next w:val="a2"/>
    <w:uiPriority w:val="99"/>
    <w:semiHidden/>
    <w:unhideWhenUsed/>
    <w:rsid w:val="005D0FFC"/>
  </w:style>
  <w:style w:type="character" w:customStyle="1" w:styleId="rvts9">
    <w:name w:val="rvts9"/>
    <w:basedOn w:val="a0"/>
    <w:rsid w:val="005D0FFC"/>
  </w:style>
  <w:style w:type="paragraph" w:customStyle="1" w:styleId="rvps2">
    <w:name w:val="rvps2"/>
    <w:basedOn w:val="a"/>
    <w:rsid w:val="005D0F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5D0FFC"/>
  </w:style>
  <w:style w:type="character" w:customStyle="1" w:styleId="rvts37">
    <w:name w:val="rvts37"/>
    <w:basedOn w:val="a0"/>
    <w:rsid w:val="005D0FFC"/>
  </w:style>
  <w:style w:type="paragraph" w:customStyle="1" w:styleId="ab">
    <w:name w:val="Знак Знак"/>
    <w:basedOn w:val="a"/>
    <w:rsid w:val="005D0FFC"/>
    <w:pPr>
      <w:autoSpaceDE w:val="0"/>
      <w:autoSpaceDN w:val="0"/>
      <w:spacing w:after="0" w:line="240" w:lineRule="auto"/>
    </w:pPr>
    <w:rPr>
      <w:rFonts w:ascii="Verdana" w:eastAsia="Times New Roman" w:hAnsi="Verdana" w:cs="Verdana"/>
      <w:sz w:val="20"/>
      <w:szCs w:val="20"/>
      <w:lang w:val="en-US"/>
    </w:rPr>
  </w:style>
  <w:style w:type="paragraph" w:customStyle="1" w:styleId="2">
    <w:name w:val="Основной текст2"/>
    <w:basedOn w:val="a"/>
    <w:link w:val="ac"/>
    <w:rsid w:val="005D0FFC"/>
    <w:pPr>
      <w:widowControl w:val="0"/>
      <w:shd w:val="clear" w:color="auto" w:fill="FFFFFF"/>
      <w:spacing w:before="1740" w:after="180" w:line="240" w:lineRule="atLeast"/>
      <w:jc w:val="right"/>
    </w:pPr>
    <w:rPr>
      <w:rFonts w:ascii="Times New Roman" w:eastAsia="Times New Roman" w:hAnsi="Times New Roman" w:cs="Times New Roman"/>
      <w:sz w:val="27"/>
      <w:szCs w:val="27"/>
      <w:lang w:eastAsia="uk-UA"/>
    </w:rPr>
  </w:style>
  <w:style w:type="character" w:customStyle="1" w:styleId="ac">
    <w:name w:val="Основной текст_"/>
    <w:link w:val="2"/>
    <w:locked/>
    <w:rsid w:val="005D0FFC"/>
    <w:rPr>
      <w:rFonts w:ascii="Times New Roman" w:eastAsia="Times New Roman" w:hAnsi="Times New Roman" w:cs="Times New Roman"/>
      <w:sz w:val="27"/>
      <w:szCs w:val="27"/>
      <w:shd w:val="clear" w:color="auto" w:fill="FFFFFF"/>
      <w:lang w:eastAsia="uk-UA"/>
    </w:rPr>
  </w:style>
  <w:style w:type="paragraph" w:styleId="ad">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2"/>
    <w:qFormat/>
    <w:rsid w:val="005D0FFC"/>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12">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d"/>
    <w:locked/>
    <w:rsid w:val="005D0FFC"/>
    <w:rPr>
      <w:rFonts w:ascii="Times New Roman" w:eastAsia="Times New Roman" w:hAnsi="Times New Roman" w:cs="Times New Roman"/>
      <w:sz w:val="24"/>
      <w:szCs w:val="20"/>
      <w:lang w:val="ru-RU" w:eastAsia="ru-RU"/>
    </w:rPr>
  </w:style>
  <w:style w:type="character" w:styleId="ae">
    <w:name w:val="annotation reference"/>
    <w:uiPriority w:val="99"/>
    <w:semiHidden/>
    <w:unhideWhenUsed/>
    <w:rsid w:val="005D0FFC"/>
    <w:rPr>
      <w:sz w:val="16"/>
      <w:szCs w:val="16"/>
    </w:rPr>
  </w:style>
  <w:style w:type="paragraph" w:styleId="af">
    <w:name w:val="annotation text"/>
    <w:basedOn w:val="a"/>
    <w:link w:val="af0"/>
    <w:uiPriority w:val="99"/>
    <w:semiHidden/>
    <w:unhideWhenUsed/>
    <w:rsid w:val="005D0FFC"/>
    <w:pPr>
      <w:spacing w:line="240" w:lineRule="auto"/>
    </w:pPr>
    <w:rPr>
      <w:rFonts w:ascii="Calibri" w:eastAsia="Calibri" w:hAnsi="Calibri" w:cs="Times New Roman"/>
      <w:sz w:val="20"/>
      <w:szCs w:val="20"/>
      <w:lang w:val="ru-RU"/>
    </w:rPr>
  </w:style>
  <w:style w:type="character" w:customStyle="1" w:styleId="af0">
    <w:name w:val="Текст примечания Знак"/>
    <w:basedOn w:val="a0"/>
    <w:link w:val="af"/>
    <w:uiPriority w:val="99"/>
    <w:semiHidden/>
    <w:rsid w:val="005D0FFC"/>
    <w:rPr>
      <w:rFonts w:ascii="Calibri" w:eastAsia="Calibri" w:hAnsi="Calibri" w:cs="Times New Roman"/>
      <w:sz w:val="20"/>
      <w:szCs w:val="20"/>
      <w:lang w:val="ru-RU"/>
    </w:rPr>
  </w:style>
  <w:style w:type="paragraph" w:styleId="af1">
    <w:name w:val="annotation subject"/>
    <w:basedOn w:val="af"/>
    <w:next w:val="af"/>
    <w:link w:val="af2"/>
    <w:uiPriority w:val="99"/>
    <w:semiHidden/>
    <w:unhideWhenUsed/>
    <w:rsid w:val="005D0FFC"/>
    <w:rPr>
      <w:b/>
      <w:bCs/>
    </w:rPr>
  </w:style>
  <w:style w:type="character" w:customStyle="1" w:styleId="af2">
    <w:name w:val="Тема примечания Знак"/>
    <w:basedOn w:val="af0"/>
    <w:link w:val="af1"/>
    <w:uiPriority w:val="99"/>
    <w:semiHidden/>
    <w:rsid w:val="005D0FFC"/>
    <w:rPr>
      <w:rFonts w:ascii="Calibri" w:eastAsia="Calibri" w:hAnsi="Calibri" w:cs="Times New Roman"/>
      <w:b/>
      <w:bCs/>
      <w:sz w:val="20"/>
      <w:szCs w:val="20"/>
      <w:lang w:val="ru-RU"/>
    </w:rPr>
  </w:style>
  <w:style w:type="character" w:customStyle="1" w:styleId="rvts23">
    <w:name w:val="rvts23"/>
    <w:basedOn w:val="a0"/>
    <w:rsid w:val="005D0FFC"/>
  </w:style>
  <w:style w:type="character" w:customStyle="1" w:styleId="FontStyle21">
    <w:name w:val="Font Style21"/>
    <w:uiPriority w:val="99"/>
    <w:rsid w:val="005D0FFC"/>
    <w:rPr>
      <w:rFonts w:ascii="Times New Roman" w:hAnsi="Times New Roman"/>
      <w:sz w:val="26"/>
    </w:rPr>
  </w:style>
  <w:style w:type="paragraph" w:customStyle="1" w:styleId="af3">
    <w:name w:val="Назва документа"/>
    <w:basedOn w:val="a"/>
    <w:next w:val="a"/>
    <w:rsid w:val="005D0FFC"/>
    <w:pPr>
      <w:keepNext/>
      <w:keepLines/>
      <w:spacing w:before="240" w:after="240" w:line="240" w:lineRule="auto"/>
      <w:jc w:val="center"/>
    </w:pPr>
    <w:rPr>
      <w:rFonts w:ascii="Antiqua" w:eastAsia="Times New Roman" w:hAnsi="Antiqua" w:cs="Times New Roman"/>
      <w:b/>
      <w:sz w:val="26"/>
      <w:szCs w:val="20"/>
      <w:lang w:eastAsia="ru-RU"/>
    </w:rPr>
  </w:style>
  <w:style w:type="character" w:styleId="af4">
    <w:name w:val="Hyperlink"/>
    <w:uiPriority w:val="99"/>
    <w:unhideWhenUsed/>
    <w:rsid w:val="005D0FFC"/>
    <w:rPr>
      <w:rFonts w:ascii="Times New Roman" w:hAnsi="Times New Roman" w:cs="Times New Roman" w:hint="default"/>
      <w:color w:val="000000"/>
      <w:u w:val="single"/>
    </w:rPr>
  </w:style>
  <w:style w:type="table" w:customStyle="1" w:styleId="13">
    <w:name w:val="Сітка таблиці1"/>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5D0F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5D0FFC"/>
    <w:rPr>
      <w:rFonts w:cs="Times New Roman"/>
    </w:rPr>
  </w:style>
  <w:style w:type="paragraph" w:customStyle="1" w:styleId="rvps14">
    <w:name w:val="rvps14"/>
    <w:basedOn w:val="a"/>
    <w:rsid w:val="005D0FF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0">
    <w:name w:val="Сітка таблиці11"/>
    <w:basedOn w:val="a1"/>
    <w:next w:val="a4"/>
    <w:uiPriority w:val="39"/>
    <w:rsid w:val="005D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1"/>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5D0FFC"/>
    <w:pPr>
      <w:spacing w:after="0" w:line="240" w:lineRule="auto"/>
    </w:pPr>
    <w:rPr>
      <w:rFonts w:ascii="Times New Roman" w:eastAsia="Times New Roman" w:hAnsi="Times New Roman" w:cs="Times New Roman"/>
      <w:sz w:val="20"/>
      <w:szCs w:val="20"/>
      <w:lang w:val="en-US"/>
    </w:rPr>
    <w:tblPr/>
  </w:style>
  <w:style w:type="table" w:customStyle="1" w:styleId="20">
    <w:name w:val="Сітка таблиці2"/>
    <w:basedOn w:val="a1"/>
    <w:next w:val="a4"/>
    <w:uiPriority w:val="39"/>
    <w:rsid w:val="005D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rsid w:val="00336C88"/>
    <w:rPr>
      <w:rFonts w:ascii="Times New Roman" w:eastAsia="Times New Roman" w:hAnsi="Times New Roman" w:cs="Times New Roman"/>
      <w:b w:val="0"/>
      <w:bCs w:val="0"/>
      <w:i w:val="0"/>
      <w:iCs w:val="0"/>
      <w:sz w:val="24"/>
      <w:szCs w:val="24"/>
    </w:rPr>
  </w:style>
  <w:style w:type="character" w:customStyle="1" w:styleId="14">
    <w:name w:val="Незакрита згадка1"/>
    <w:basedOn w:val="a0"/>
    <w:uiPriority w:val="99"/>
    <w:semiHidden/>
    <w:unhideWhenUsed/>
    <w:rPr>
      <w:color w:val="605E5C"/>
      <w:shd w:val="clear" w:color="auto" w:fill="E1DFDD"/>
    </w:rPr>
  </w:style>
  <w:style w:type="paragraph" w:styleId="af5">
    <w:name w:val="Plain Text"/>
    <w:basedOn w:val="a"/>
    <w:link w:val="af6"/>
    <w:uiPriority w:val="99"/>
    <w:unhideWhenUsed/>
    <w:rsid w:val="0061006A"/>
    <w:pPr>
      <w:spacing w:after="0" w:line="240" w:lineRule="auto"/>
    </w:pPr>
    <w:rPr>
      <w:rFonts w:ascii="Consolas" w:hAnsi="Consolas"/>
      <w:sz w:val="21"/>
      <w:szCs w:val="21"/>
    </w:rPr>
  </w:style>
  <w:style w:type="character" w:customStyle="1" w:styleId="af6">
    <w:name w:val="Текст Знак"/>
    <w:basedOn w:val="a0"/>
    <w:link w:val="af5"/>
    <w:uiPriority w:val="99"/>
    <w:rsid w:val="0061006A"/>
    <w:rPr>
      <w:rFonts w:ascii="Consolas" w:hAnsi="Consolas"/>
      <w:sz w:val="21"/>
      <w:szCs w:val="21"/>
    </w:rPr>
  </w:style>
  <w:style w:type="character" w:customStyle="1" w:styleId="font171">
    <w:name w:val="font171"/>
    <w:basedOn w:val="a0"/>
    <w:rsid w:val="00F61FC5"/>
    <w:rPr>
      <w:rFonts w:ascii="Times New Roman" w:hAnsi="Times New Roman" w:cs="Times New Roman" w:hint="default"/>
      <w:sz w:val="28"/>
      <w:szCs w:val="28"/>
    </w:rPr>
  </w:style>
  <w:style w:type="paragraph" w:styleId="af7">
    <w:name w:val="No Spacing"/>
    <w:uiPriority w:val="1"/>
    <w:qFormat/>
    <w:rsid w:val="00892DE3"/>
    <w:pPr>
      <w:spacing w:after="0" w:line="240" w:lineRule="auto"/>
    </w:pPr>
    <w:rPr>
      <w:rFonts w:ascii="Arial" w:eastAsia="Arial" w:hAnsi="Arial" w:cs="Arial"/>
      <w:lang w:eastAsia="uk-UA"/>
    </w:rPr>
  </w:style>
  <w:style w:type="paragraph" w:customStyle="1" w:styleId="StyleZakonu">
    <w:name w:val="StyleZakonu"/>
    <w:basedOn w:val="a"/>
    <w:link w:val="StyleZakonu0"/>
    <w:rsid w:val="007F1981"/>
    <w:pPr>
      <w:spacing w:after="60" w:line="220" w:lineRule="exact"/>
      <w:ind w:firstLine="284"/>
      <w:jc w:val="both"/>
    </w:pPr>
    <w:rPr>
      <w:rFonts w:ascii="Times New Roman" w:eastAsia="Times New Roman" w:hAnsi="Times New Roman" w:cs="Times New Roman"/>
      <w:sz w:val="20"/>
      <w:szCs w:val="20"/>
      <w:lang w:val="x-none" w:eastAsia="ru-RU"/>
    </w:rPr>
  </w:style>
  <w:style w:type="character" w:customStyle="1" w:styleId="StyleZakonu0">
    <w:name w:val="StyleZakonu Знак"/>
    <w:link w:val="StyleZakonu"/>
    <w:locked/>
    <w:rsid w:val="007F1981"/>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9613">
      <w:bodyDiv w:val="1"/>
      <w:marLeft w:val="0"/>
      <w:marRight w:val="0"/>
      <w:marTop w:val="0"/>
      <w:marBottom w:val="0"/>
      <w:divBdr>
        <w:top w:val="none" w:sz="0" w:space="0" w:color="auto"/>
        <w:left w:val="none" w:sz="0" w:space="0" w:color="auto"/>
        <w:bottom w:val="none" w:sz="0" w:space="0" w:color="auto"/>
        <w:right w:val="none" w:sz="0" w:space="0" w:color="auto"/>
      </w:divBdr>
    </w:div>
    <w:div w:id="73012291">
      <w:bodyDiv w:val="1"/>
      <w:marLeft w:val="0"/>
      <w:marRight w:val="0"/>
      <w:marTop w:val="0"/>
      <w:marBottom w:val="0"/>
      <w:divBdr>
        <w:top w:val="none" w:sz="0" w:space="0" w:color="auto"/>
        <w:left w:val="none" w:sz="0" w:space="0" w:color="auto"/>
        <w:bottom w:val="none" w:sz="0" w:space="0" w:color="auto"/>
        <w:right w:val="none" w:sz="0" w:space="0" w:color="auto"/>
      </w:divBdr>
    </w:div>
    <w:div w:id="82990443">
      <w:bodyDiv w:val="1"/>
      <w:marLeft w:val="0"/>
      <w:marRight w:val="0"/>
      <w:marTop w:val="0"/>
      <w:marBottom w:val="0"/>
      <w:divBdr>
        <w:top w:val="none" w:sz="0" w:space="0" w:color="auto"/>
        <w:left w:val="none" w:sz="0" w:space="0" w:color="auto"/>
        <w:bottom w:val="none" w:sz="0" w:space="0" w:color="auto"/>
        <w:right w:val="none" w:sz="0" w:space="0" w:color="auto"/>
      </w:divBdr>
    </w:div>
    <w:div w:id="142624982">
      <w:bodyDiv w:val="1"/>
      <w:marLeft w:val="0"/>
      <w:marRight w:val="0"/>
      <w:marTop w:val="0"/>
      <w:marBottom w:val="0"/>
      <w:divBdr>
        <w:top w:val="none" w:sz="0" w:space="0" w:color="auto"/>
        <w:left w:val="none" w:sz="0" w:space="0" w:color="auto"/>
        <w:bottom w:val="none" w:sz="0" w:space="0" w:color="auto"/>
        <w:right w:val="none" w:sz="0" w:space="0" w:color="auto"/>
      </w:divBdr>
    </w:div>
    <w:div w:id="168720603">
      <w:bodyDiv w:val="1"/>
      <w:marLeft w:val="0"/>
      <w:marRight w:val="0"/>
      <w:marTop w:val="0"/>
      <w:marBottom w:val="0"/>
      <w:divBdr>
        <w:top w:val="none" w:sz="0" w:space="0" w:color="auto"/>
        <w:left w:val="none" w:sz="0" w:space="0" w:color="auto"/>
        <w:bottom w:val="none" w:sz="0" w:space="0" w:color="auto"/>
        <w:right w:val="none" w:sz="0" w:space="0" w:color="auto"/>
      </w:divBdr>
    </w:div>
    <w:div w:id="238027048">
      <w:bodyDiv w:val="1"/>
      <w:marLeft w:val="0"/>
      <w:marRight w:val="0"/>
      <w:marTop w:val="0"/>
      <w:marBottom w:val="0"/>
      <w:divBdr>
        <w:top w:val="none" w:sz="0" w:space="0" w:color="auto"/>
        <w:left w:val="none" w:sz="0" w:space="0" w:color="auto"/>
        <w:bottom w:val="none" w:sz="0" w:space="0" w:color="auto"/>
        <w:right w:val="none" w:sz="0" w:space="0" w:color="auto"/>
      </w:divBdr>
    </w:div>
    <w:div w:id="268852745">
      <w:bodyDiv w:val="1"/>
      <w:marLeft w:val="0"/>
      <w:marRight w:val="0"/>
      <w:marTop w:val="0"/>
      <w:marBottom w:val="0"/>
      <w:divBdr>
        <w:top w:val="none" w:sz="0" w:space="0" w:color="auto"/>
        <w:left w:val="none" w:sz="0" w:space="0" w:color="auto"/>
        <w:bottom w:val="none" w:sz="0" w:space="0" w:color="auto"/>
        <w:right w:val="none" w:sz="0" w:space="0" w:color="auto"/>
      </w:divBdr>
    </w:div>
    <w:div w:id="337390843">
      <w:bodyDiv w:val="1"/>
      <w:marLeft w:val="0"/>
      <w:marRight w:val="0"/>
      <w:marTop w:val="0"/>
      <w:marBottom w:val="0"/>
      <w:divBdr>
        <w:top w:val="none" w:sz="0" w:space="0" w:color="auto"/>
        <w:left w:val="none" w:sz="0" w:space="0" w:color="auto"/>
        <w:bottom w:val="none" w:sz="0" w:space="0" w:color="auto"/>
        <w:right w:val="none" w:sz="0" w:space="0" w:color="auto"/>
      </w:divBdr>
    </w:div>
    <w:div w:id="345718039">
      <w:bodyDiv w:val="1"/>
      <w:marLeft w:val="0"/>
      <w:marRight w:val="0"/>
      <w:marTop w:val="0"/>
      <w:marBottom w:val="0"/>
      <w:divBdr>
        <w:top w:val="none" w:sz="0" w:space="0" w:color="auto"/>
        <w:left w:val="none" w:sz="0" w:space="0" w:color="auto"/>
        <w:bottom w:val="none" w:sz="0" w:space="0" w:color="auto"/>
        <w:right w:val="none" w:sz="0" w:space="0" w:color="auto"/>
      </w:divBdr>
    </w:div>
    <w:div w:id="351223631">
      <w:bodyDiv w:val="1"/>
      <w:marLeft w:val="0"/>
      <w:marRight w:val="0"/>
      <w:marTop w:val="0"/>
      <w:marBottom w:val="0"/>
      <w:divBdr>
        <w:top w:val="none" w:sz="0" w:space="0" w:color="auto"/>
        <w:left w:val="none" w:sz="0" w:space="0" w:color="auto"/>
        <w:bottom w:val="none" w:sz="0" w:space="0" w:color="auto"/>
        <w:right w:val="none" w:sz="0" w:space="0" w:color="auto"/>
      </w:divBdr>
    </w:div>
    <w:div w:id="354117804">
      <w:bodyDiv w:val="1"/>
      <w:marLeft w:val="0"/>
      <w:marRight w:val="0"/>
      <w:marTop w:val="0"/>
      <w:marBottom w:val="0"/>
      <w:divBdr>
        <w:top w:val="none" w:sz="0" w:space="0" w:color="auto"/>
        <w:left w:val="none" w:sz="0" w:space="0" w:color="auto"/>
        <w:bottom w:val="none" w:sz="0" w:space="0" w:color="auto"/>
        <w:right w:val="none" w:sz="0" w:space="0" w:color="auto"/>
      </w:divBdr>
    </w:div>
    <w:div w:id="373039389">
      <w:bodyDiv w:val="1"/>
      <w:marLeft w:val="0"/>
      <w:marRight w:val="0"/>
      <w:marTop w:val="0"/>
      <w:marBottom w:val="0"/>
      <w:divBdr>
        <w:top w:val="none" w:sz="0" w:space="0" w:color="auto"/>
        <w:left w:val="none" w:sz="0" w:space="0" w:color="auto"/>
        <w:bottom w:val="none" w:sz="0" w:space="0" w:color="auto"/>
        <w:right w:val="none" w:sz="0" w:space="0" w:color="auto"/>
      </w:divBdr>
    </w:div>
    <w:div w:id="380636755">
      <w:bodyDiv w:val="1"/>
      <w:marLeft w:val="0"/>
      <w:marRight w:val="0"/>
      <w:marTop w:val="0"/>
      <w:marBottom w:val="0"/>
      <w:divBdr>
        <w:top w:val="none" w:sz="0" w:space="0" w:color="auto"/>
        <w:left w:val="none" w:sz="0" w:space="0" w:color="auto"/>
        <w:bottom w:val="none" w:sz="0" w:space="0" w:color="auto"/>
        <w:right w:val="none" w:sz="0" w:space="0" w:color="auto"/>
      </w:divBdr>
    </w:div>
    <w:div w:id="393939476">
      <w:bodyDiv w:val="1"/>
      <w:marLeft w:val="0"/>
      <w:marRight w:val="0"/>
      <w:marTop w:val="0"/>
      <w:marBottom w:val="0"/>
      <w:divBdr>
        <w:top w:val="none" w:sz="0" w:space="0" w:color="auto"/>
        <w:left w:val="none" w:sz="0" w:space="0" w:color="auto"/>
        <w:bottom w:val="none" w:sz="0" w:space="0" w:color="auto"/>
        <w:right w:val="none" w:sz="0" w:space="0" w:color="auto"/>
      </w:divBdr>
    </w:div>
    <w:div w:id="426465237">
      <w:bodyDiv w:val="1"/>
      <w:marLeft w:val="0"/>
      <w:marRight w:val="0"/>
      <w:marTop w:val="0"/>
      <w:marBottom w:val="0"/>
      <w:divBdr>
        <w:top w:val="none" w:sz="0" w:space="0" w:color="auto"/>
        <w:left w:val="none" w:sz="0" w:space="0" w:color="auto"/>
        <w:bottom w:val="none" w:sz="0" w:space="0" w:color="auto"/>
        <w:right w:val="none" w:sz="0" w:space="0" w:color="auto"/>
      </w:divBdr>
    </w:div>
    <w:div w:id="427429611">
      <w:bodyDiv w:val="1"/>
      <w:marLeft w:val="0"/>
      <w:marRight w:val="0"/>
      <w:marTop w:val="0"/>
      <w:marBottom w:val="0"/>
      <w:divBdr>
        <w:top w:val="none" w:sz="0" w:space="0" w:color="auto"/>
        <w:left w:val="none" w:sz="0" w:space="0" w:color="auto"/>
        <w:bottom w:val="none" w:sz="0" w:space="0" w:color="auto"/>
        <w:right w:val="none" w:sz="0" w:space="0" w:color="auto"/>
      </w:divBdr>
    </w:div>
    <w:div w:id="480924569">
      <w:bodyDiv w:val="1"/>
      <w:marLeft w:val="0"/>
      <w:marRight w:val="0"/>
      <w:marTop w:val="0"/>
      <w:marBottom w:val="0"/>
      <w:divBdr>
        <w:top w:val="none" w:sz="0" w:space="0" w:color="auto"/>
        <w:left w:val="none" w:sz="0" w:space="0" w:color="auto"/>
        <w:bottom w:val="none" w:sz="0" w:space="0" w:color="auto"/>
        <w:right w:val="none" w:sz="0" w:space="0" w:color="auto"/>
      </w:divBdr>
    </w:div>
    <w:div w:id="493648504">
      <w:bodyDiv w:val="1"/>
      <w:marLeft w:val="0"/>
      <w:marRight w:val="0"/>
      <w:marTop w:val="0"/>
      <w:marBottom w:val="0"/>
      <w:divBdr>
        <w:top w:val="none" w:sz="0" w:space="0" w:color="auto"/>
        <w:left w:val="none" w:sz="0" w:space="0" w:color="auto"/>
        <w:bottom w:val="none" w:sz="0" w:space="0" w:color="auto"/>
        <w:right w:val="none" w:sz="0" w:space="0" w:color="auto"/>
      </w:divBdr>
    </w:div>
    <w:div w:id="521280027">
      <w:bodyDiv w:val="1"/>
      <w:marLeft w:val="0"/>
      <w:marRight w:val="0"/>
      <w:marTop w:val="0"/>
      <w:marBottom w:val="0"/>
      <w:divBdr>
        <w:top w:val="none" w:sz="0" w:space="0" w:color="auto"/>
        <w:left w:val="none" w:sz="0" w:space="0" w:color="auto"/>
        <w:bottom w:val="none" w:sz="0" w:space="0" w:color="auto"/>
        <w:right w:val="none" w:sz="0" w:space="0" w:color="auto"/>
      </w:divBdr>
    </w:div>
    <w:div w:id="609320439">
      <w:bodyDiv w:val="1"/>
      <w:marLeft w:val="0"/>
      <w:marRight w:val="0"/>
      <w:marTop w:val="0"/>
      <w:marBottom w:val="0"/>
      <w:divBdr>
        <w:top w:val="none" w:sz="0" w:space="0" w:color="auto"/>
        <w:left w:val="none" w:sz="0" w:space="0" w:color="auto"/>
        <w:bottom w:val="none" w:sz="0" w:space="0" w:color="auto"/>
        <w:right w:val="none" w:sz="0" w:space="0" w:color="auto"/>
      </w:divBdr>
    </w:div>
    <w:div w:id="621837716">
      <w:bodyDiv w:val="1"/>
      <w:marLeft w:val="0"/>
      <w:marRight w:val="0"/>
      <w:marTop w:val="0"/>
      <w:marBottom w:val="0"/>
      <w:divBdr>
        <w:top w:val="none" w:sz="0" w:space="0" w:color="auto"/>
        <w:left w:val="none" w:sz="0" w:space="0" w:color="auto"/>
        <w:bottom w:val="none" w:sz="0" w:space="0" w:color="auto"/>
        <w:right w:val="none" w:sz="0" w:space="0" w:color="auto"/>
      </w:divBdr>
    </w:div>
    <w:div w:id="697588479">
      <w:bodyDiv w:val="1"/>
      <w:marLeft w:val="0"/>
      <w:marRight w:val="0"/>
      <w:marTop w:val="0"/>
      <w:marBottom w:val="0"/>
      <w:divBdr>
        <w:top w:val="none" w:sz="0" w:space="0" w:color="auto"/>
        <w:left w:val="none" w:sz="0" w:space="0" w:color="auto"/>
        <w:bottom w:val="none" w:sz="0" w:space="0" w:color="auto"/>
        <w:right w:val="none" w:sz="0" w:space="0" w:color="auto"/>
      </w:divBdr>
    </w:div>
    <w:div w:id="786966648">
      <w:bodyDiv w:val="1"/>
      <w:marLeft w:val="0"/>
      <w:marRight w:val="0"/>
      <w:marTop w:val="0"/>
      <w:marBottom w:val="0"/>
      <w:divBdr>
        <w:top w:val="none" w:sz="0" w:space="0" w:color="auto"/>
        <w:left w:val="none" w:sz="0" w:space="0" w:color="auto"/>
        <w:bottom w:val="none" w:sz="0" w:space="0" w:color="auto"/>
        <w:right w:val="none" w:sz="0" w:space="0" w:color="auto"/>
      </w:divBdr>
    </w:div>
    <w:div w:id="816915556">
      <w:bodyDiv w:val="1"/>
      <w:marLeft w:val="0"/>
      <w:marRight w:val="0"/>
      <w:marTop w:val="0"/>
      <w:marBottom w:val="0"/>
      <w:divBdr>
        <w:top w:val="none" w:sz="0" w:space="0" w:color="auto"/>
        <w:left w:val="none" w:sz="0" w:space="0" w:color="auto"/>
        <w:bottom w:val="none" w:sz="0" w:space="0" w:color="auto"/>
        <w:right w:val="none" w:sz="0" w:space="0" w:color="auto"/>
      </w:divBdr>
    </w:div>
    <w:div w:id="822041165">
      <w:bodyDiv w:val="1"/>
      <w:marLeft w:val="0"/>
      <w:marRight w:val="0"/>
      <w:marTop w:val="0"/>
      <w:marBottom w:val="0"/>
      <w:divBdr>
        <w:top w:val="none" w:sz="0" w:space="0" w:color="auto"/>
        <w:left w:val="none" w:sz="0" w:space="0" w:color="auto"/>
        <w:bottom w:val="none" w:sz="0" w:space="0" w:color="auto"/>
        <w:right w:val="none" w:sz="0" w:space="0" w:color="auto"/>
      </w:divBdr>
    </w:div>
    <w:div w:id="844050167">
      <w:bodyDiv w:val="1"/>
      <w:marLeft w:val="0"/>
      <w:marRight w:val="0"/>
      <w:marTop w:val="0"/>
      <w:marBottom w:val="0"/>
      <w:divBdr>
        <w:top w:val="none" w:sz="0" w:space="0" w:color="auto"/>
        <w:left w:val="none" w:sz="0" w:space="0" w:color="auto"/>
        <w:bottom w:val="none" w:sz="0" w:space="0" w:color="auto"/>
        <w:right w:val="none" w:sz="0" w:space="0" w:color="auto"/>
      </w:divBdr>
    </w:div>
    <w:div w:id="865564199">
      <w:bodyDiv w:val="1"/>
      <w:marLeft w:val="0"/>
      <w:marRight w:val="0"/>
      <w:marTop w:val="0"/>
      <w:marBottom w:val="0"/>
      <w:divBdr>
        <w:top w:val="none" w:sz="0" w:space="0" w:color="auto"/>
        <w:left w:val="none" w:sz="0" w:space="0" w:color="auto"/>
        <w:bottom w:val="none" w:sz="0" w:space="0" w:color="auto"/>
        <w:right w:val="none" w:sz="0" w:space="0" w:color="auto"/>
      </w:divBdr>
    </w:div>
    <w:div w:id="886530682">
      <w:bodyDiv w:val="1"/>
      <w:marLeft w:val="0"/>
      <w:marRight w:val="0"/>
      <w:marTop w:val="0"/>
      <w:marBottom w:val="0"/>
      <w:divBdr>
        <w:top w:val="none" w:sz="0" w:space="0" w:color="auto"/>
        <w:left w:val="none" w:sz="0" w:space="0" w:color="auto"/>
        <w:bottom w:val="none" w:sz="0" w:space="0" w:color="auto"/>
        <w:right w:val="none" w:sz="0" w:space="0" w:color="auto"/>
      </w:divBdr>
    </w:div>
    <w:div w:id="901793923">
      <w:bodyDiv w:val="1"/>
      <w:marLeft w:val="0"/>
      <w:marRight w:val="0"/>
      <w:marTop w:val="0"/>
      <w:marBottom w:val="0"/>
      <w:divBdr>
        <w:top w:val="none" w:sz="0" w:space="0" w:color="auto"/>
        <w:left w:val="none" w:sz="0" w:space="0" w:color="auto"/>
        <w:bottom w:val="none" w:sz="0" w:space="0" w:color="auto"/>
        <w:right w:val="none" w:sz="0" w:space="0" w:color="auto"/>
      </w:divBdr>
    </w:div>
    <w:div w:id="910625191">
      <w:bodyDiv w:val="1"/>
      <w:marLeft w:val="0"/>
      <w:marRight w:val="0"/>
      <w:marTop w:val="0"/>
      <w:marBottom w:val="0"/>
      <w:divBdr>
        <w:top w:val="none" w:sz="0" w:space="0" w:color="auto"/>
        <w:left w:val="none" w:sz="0" w:space="0" w:color="auto"/>
        <w:bottom w:val="none" w:sz="0" w:space="0" w:color="auto"/>
        <w:right w:val="none" w:sz="0" w:space="0" w:color="auto"/>
      </w:divBdr>
    </w:div>
    <w:div w:id="1043552806">
      <w:bodyDiv w:val="1"/>
      <w:marLeft w:val="0"/>
      <w:marRight w:val="0"/>
      <w:marTop w:val="0"/>
      <w:marBottom w:val="0"/>
      <w:divBdr>
        <w:top w:val="none" w:sz="0" w:space="0" w:color="auto"/>
        <w:left w:val="none" w:sz="0" w:space="0" w:color="auto"/>
        <w:bottom w:val="none" w:sz="0" w:space="0" w:color="auto"/>
        <w:right w:val="none" w:sz="0" w:space="0" w:color="auto"/>
      </w:divBdr>
    </w:div>
    <w:div w:id="1079986682">
      <w:bodyDiv w:val="1"/>
      <w:marLeft w:val="0"/>
      <w:marRight w:val="0"/>
      <w:marTop w:val="0"/>
      <w:marBottom w:val="0"/>
      <w:divBdr>
        <w:top w:val="none" w:sz="0" w:space="0" w:color="auto"/>
        <w:left w:val="none" w:sz="0" w:space="0" w:color="auto"/>
        <w:bottom w:val="none" w:sz="0" w:space="0" w:color="auto"/>
        <w:right w:val="none" w:sz="0" w:space="0" w:color="auto"/>
      </w:divBdr>
    </w:div>
    <w:div w:id="1094590890">
      <w:bodyDiv w:val="1"/>
      <w:marLeft w:val="0"/>
      <w:marRight w:val="0"/>
      <w:marTop w:val="0"/>
      <w:marBottom w:val="0"/>
      <w:divBdr>
        <w:top w:val="none" w:sz="0" w:space="0" w:color="auto"/>
        <w:left w:val="none" w:sz="0" w:space="0" w:color="auto"/>
        <w:bottom w:val="none" w:sz="0" w:space="0" w:color="auto"/>
        <w:right w:val="none" w:sz="0" w:space="0" w:color="auto"/>
      </w:divBdr>
    </w:div>
    <w:div w:id="1125781688">
      <w:bodyDiv w:val="1"/>
      <w:marLeft w:val="0"/>
      <w:marRight w:val="0"/>
      <w:marTop w:val="0"/>
      <w:marBottom w:val="0"/>
      <w:divBdr>
        <w:top w:val="none" w:sz="0" w:space="0" w:color="auto"/>
        <w:left w:val="none" w:sz="0" w:space="0" w:color="auto"/>
        <w:bottom w:val="none" w:sz="0" w:space="0" w:color="auto"/>
        <w:right w:val="none" w:sz="0" w:space="0" w:color="auto"/>
      </w:divBdr>
    </w:div>
    <w:div w:id="1200095612">
      <w:bodyDiv w:val="1"/>
      <w:marLeft w:val="0"/>
      <w:marRight w:val="0"/>
      <w:marTop w:val="0"/>
      <w:marBottom w:val="0"/>
      <w:divBdr>
        <w:top w:val="none" w:sz="0" w:space="0" w:color="auto"/>
        <w:left w:val="none" w:sz="0" w:space="0" w:color="auto"/>
        <w:bottom w:val="none" w:sz="0" w:space="0" w:color="auto"/>
        <w:right w:val="none" w:sz="0" w:space="0" w:color="auto"/>
      </w:divBdr>
    </w:div>
    <w:div w:id="1219897733">
      <w:bodyDiv w:val="1"/>
      <w:marLeft w:val="0"/>
      <w:marRight w:val="0"/>
      <w:marTop w:val="0"/>
      <w:marBottom w:val="0"/>
      <w:divBdr>
        <w:top w:val="none" w:sz="0" w:space="0" w:color="auto"/>
        <w:left w:val="none" w:sz="0" w:space="0" w:color="auto"/>
        <w:bottom w:val="none" w:sz="0" w:space="0" w:color="auto"/>
        <w:right w:val="none" w:sz="0" w:space="0" w:color="auto"/>
      </w:divBdr>
    </w:div>
    <w:div w:id="1275210308">
      <w:bodyDiv w:val="1"/>
      <w:marLeft w:val="0"/>
      <w:marRight w:val="0"/>
      <w:marTop w:val="0"/>
      <w:marBottom w:val="0"/>
      <w:divBdr>
        <w:top w:val="none" w:sz="0" w:space="0" w:color="auto"/>
        <w:left w:val="none" w:sz="0" w:space="0" w:color="auto"/>
        <w:bottom w:val="none" w:sz="0" w:space="0" w:color="auto"/>
        <w:right w:val="none" w:sz="0" w:space="0" w:color="auto"/>
      </w:divBdr>
    </w:div>
    <w:div w:id="1418165962">
      <w:bodyDiv w:val="1"/>
      <w:marLeft w:val="0"/>
      <w:marRight w:val="0"/>
      <w:marTop w:val="0"/>
      <w:marBottom w:val="0"/>
      <w:divBdr>
        <w:top w:val="none" w:sz="0" w:space="0" w:color="auto"/>
        <w:left w:val="none" w:sz="0" w:space="0" w:color="auto"/>
        <w:bottom w:val="none" w:sz="0" w:space="0" w:color="auto"/>
        <w:right w:val="none" w:sz="0" w:space="0" w:color="auto"/>
      </w:divBdr>
    </w:div>
    <w:div w:id="1437213541">
      <w:bodyDiv w:val="1"/>
      <w:marLeft w:val="0"/>
      <w:marRight w:val="0"/>
      <w:marTop w:val="0"/>
      <w:marBottom w:val="0"/>
      <w:divBdr>
        <w:top w:val="none" w:sz="0" w:space="0" w:color="auto"/>
        <w:left w:val="none" w:sz="0" w:space="0" w:color="auto"/>
        <w:bottom w:val="none" w:sz="0" w:space="0" w:color="auto"/>
        <w:right w:val="none" w:sz="0" w:space="0" w:color="auto"/>
      </w:divBdr>
    </w:div>
    <w:div w:id="1494562370">
      <w:bodyDiv w:val="1"/>
      <w:marLeft w:val="0"/>
      <w:marRight w:val="0"/>
      <w:marTop w:val="0"/>
      <w:marBottom w:val="0"/>
      <w:divBdr>
        <w:top w:val="none" w:sz="0" w:space="0" w:color="auto"/>
        <w:left w:val="none" w:sz="0" w:space="0" w:color="auto"/>
        <w:bottom w:val="none" w:sz="0" w:space="0" w:color="auto"/>
        <w:right w:val="none" w:sz="0" w:space="0" w:color="auto"/>
      </w:divBdr>
    </w:div>
    <w:div w:id="1541550101">
      <w:bodyDiv w:val="1"/>
      <w:marLeft w:val="0"/>
      <w:marRight w:val="0"/>
      <w:marTop w:val="0"/>
      <w:marBottom w:val="0"/>
      <w:divBdr>
        <w:top w:val="none" w:sz="0" w:space="0" w:color="auto"/>
        <w:left w:val="none" w:sz="0" w:space="0" w:color="auto"/>
        <w:bottom w:val="none" w:sz="0" w:space="0" w:color="auto"/>
        <w:right w:val="none" w:sz="0" w:space="0" w:color="auto"/>
      </w:divBdr>
    </w:div>
    <w:div w:id="1564097291">
      <w:bodyDiv w:val="1"/>
      <w:marLeft w:val="0"/>
      <w:marRight w:val="0"/>
      <w:marTop w:val="0"/>
      <w:marBottom w:val="0"/>
      <w:divBdr>
        <w:top w:val="none" w:sz="0" w:space="0" w:color="auto"/>
        <w:left w:val="none" w:sz="0" w:space="0" w:color="auto"/>
        <w:bottom w:val="none" w:sz="0" w:space="0" w:color="auto"/>
        <w:right w:val="none" w:sz="0" w:space="0" w:color="auto"/>
      </w:divBdr>
    </w:div>
    <w:div w:id="1583874750">
      <w:bodyDiv w:val="1"/>
      <w:marLeft w:val="0"/>
      <w:marRight w:val="0"/>
      <w:marTop w:val="0"/>
      <w:marBottom w:val="0"/>
      <w:divBdr>
        <w:top w:val="none" w:sz="0" w:space="0" w:color="auto"/>
        <w:left w:val="none" w:sz="0" w:space="0" w:color="auto"/>
        <w:bottom w:val="none" w:sz="0" w:space="0" w:color="auto"/>
        <w:right w:val="none" w:sz="0" w:space="0" w:color="auto"/>
      </w:divBdr>
    </w:div>
    <w:div w:id="1606108469">
      <w:bodyDiv w:val="1"/>
      <w:marLeft w:val="0"/>
      <w:marRight w:val="0"/>
      <w:marTop w:val="0"/>
      <w:marBottom w:val="0"/>
      <w:divBdr>
        <w:top w:val="none" w:sz="0" w:space="0" w:color="auto"/>
        <w:left w:val="none" w:sz="0" w:space="0" w:color="auto"/>
        <w:bottom w:val="none" w:sz="0" w:space="0" w:color="auto"/>
        <w:right w:val="none" w:sz="0" w:space="0" w:color="auto"/>
      </w:divBdr>
    </w:div>
    <w:div w:id="1608460872">
      <w:bodyDiv w:val="1"/>
      <w:marLeft w:val="0"/>
      <w:marRight w:val="0"/>
      <w:marTop w:val="0"/>
      <w:marBottom w:val="0"/>
      <w:divBdr>
        <w:top w:val="none" w:sz="0" w:space="0" w:color="auto"/>
        <w:left w:val="none" w:sz="0" w:space="0" w:color="auto"/>
        <w:bottom w:val="none" w:sz="0" w:space="0" w:color="auto"/>
        <w:right w:val="none" w:sz="0" w:space="0" w:color="auto"/>
      </w:divBdr>
    </w:div>
    <w:div w:id="1628731766">
      <w:bodyDiv w:val="1"/>
      <w:marLeft w:val="0"/>
      <w:marRight w:val="0"/>
      <w:marTop w:val="0"/>
      <w:marBottom w:val="0"/>
      <w:divBdr>
        <w:top w:val="none" w:sz="0" w:space="0" w:color="auto"/>
        <w:left w:val="none" w:sz="0" w:space="0" w:color="auto"/>
        <w:bottom w:val="none" w:sz="0" w:space="0" w:color="auto"/>
        <w:right w:val="none" w:sz="0" w:space="0" w:color="auto"/>
      </w:divBdr>
    </w:div>
    <w:div w:id="1631859460">
      <w:bodyDiv w:val="1"/>
      <w:marLeft w:val="0"/>
      <w:marRight w:val="0"/>
      <w:marTop w:val="0"/>
      <w:marBottom w:val="0"/>
      <w:divBdr>
        <w:top w:val="none" w:sz="0" w:space="0" w:color="auto"/>
        <w:left w:val="none" w:sz="0" w:space="0" w:color="auto"/>
        <w:bottom w:val="none" w:sz="0" w:space="0" w:color="auto"/>
        <w:right w:val="none" w:sz="0" w:space="0" w:color="auto"/>
      </w:divBdr>
    </w:div>
    <w:div w:id="1632444184">
      <w:bodyDiv w:val="1"/>
      <w:marLeft w:val="0"/>
      <w:marRight w:val="0"/>
      <w:marTop w:val="0"/>
      <w:marBottom w:val="0"/>
      <w:divBdr>
        <w:top w:val="none" w:sz="0" w:space="0" w:color="auto"/>
        <w:left w:val="none" w:sz="0" w:space="0" w:color="auto"/>
        <w:bottom w:val="none" w:sz="0" w:space="0" w:color="auto"/>
        <w:right w:val="none" w:sz="0" w:space="0" w:color="auto"/>
      </w:divBdr>
    </w:div>
    <w:div w:id="1636179389">
      <w:bodyDiv w:val="1"/>
      <w:marLeft w:val="0"/>
      <w:marRight w:val="0"/>
      <w:marTop w:val="0"/>
      <w:marBottom w:val="0"/>
      <w:divBdr>
        <w:top w:val="none" w:sz="0" w:space="0" w:color="auto"/>
        <w:left w:val="none" w:sz="0" w:space="0" w:color="auto"/>
        <w:bottom w:val="none" w:sz="0" w:space="0" w:color="auto"/>
        <w:right w:val="none" w:sz="0" w:space="0" w:color="auto"/>
      </w:divBdr>
    </w:div>
    <w:div w:id="1642342278">
      <w:bodyDiv w:val="1"/>
      <w:marLeft w:val="0"/>
      <w:marRight w:val="0"/>
      <w:marTop w:val="0"/>
      <w:marBottom w:val="0"/>
      <w:divBdr>
        <w:top w:val="none" w:sz="0" w:space="0" w:color="auto"/>
        <w:left w:val="none" w:sz="0" w:space="0" w:color="auto"/>
        <w:bottom w:val="none" w:sz="0" w:space="0" w:color="auto"/>
        <w:right w:val="none" w:sz="0" w:space="0" w:color="auto"/>
      </w:divBdr>
    </w:div>
    <w:div w:id="1771509855">
      <w:bodyDiv w:val="1"/>
      <w:marLeft w:val="0"/>
      <w:marRight w:val="0"/>
      <w:marTop w:val="0"/>
      <w:marBottom w:val="0"/>
      <w:divBdr>
        <w:top w:val="none" w:sz="0" w:space="0" w:color="auto"/>
        <w:left w:val="none" w:sz="0" w:space="0" w:color="auto"/>
        <w:bottom w:val="none" w:sz="0" w:space="0" w:color="auto"/>
        <w:right w:val="none" w:sz="0" w:space="0" w:color="auto"/>
      </w:divBdr>
    </w:div>
    <w:div w:id="1804496520">
      <w:bodyDiv w:val="1"/>
      <w:marLeft w:val="0"/>
      <w:marRight w:val="0"/>
      <w:marTop w:val="0"/>
      <w:marBottom w:val="0"/>
      <w:divBdr>
        <w:top w:val="none" w:sz="0" w:space="0" w:color="auto"/>
        <w:left w:val="none" w:sz="0" w:space="0" w:color="auto"/>
        <w:bottom w:val="none" w:sz="0" w:space="0" w:color="auto"/>
        <w:right w:val="none" w:sz="0" w:space="0" w:color="auto"/>
      </w:divBdr>
    </w:div>
    <w:div w:id="1824812649">
      <w:bodyDiv w:val="1"/>
      <w:marLeft w:val="0"/>
      <w:marRight w:val="0"/>
      <w:marTop w:val="0"/>
      <w:marBottom w:val="0"/>
      <w:divBdr>
        <w:top w:val="none" w:sz="0" w:space="0" w:color="auto"/>
        <w:left w:val="none" w:sz="0" w:space="0" w:color="auto"/>
        <w:bottom w:val="none" w:sz="0" w:space="0" w:color="auto"/>
        <w:right w:val="none" w:sz="0" w:space="0" w:color="auto"/>
      </w:divBdr>
    </w:div>
    <w:div w:id="1838421178">
      <w:bodyDiv w:val="1"/>
      <w:marLeft w:val="0"/>
      <w:marRight w:val="0"/>
      <w:marTop w:val="0"/>
      <w:marBottom w:val="0"/>
      <w:divBdr>
        <w:top w:val="none" w:sz="0" w:space="0" w:color="auto"/>
        <w:left w:val="none" w:sz="0" w:space="0" w:color="auto"/>
        <w:bottom w:val="none" w:sz="0" w:space="0" w:color="auto"/>
        <w:right w:val="none" w:sz="0" w:space="0" w:color="auto"/>
      </w:divBdr>
      <w:divsChild>
        <w:div w:id="1506479476">
          <w:marLeft w:val="0"/>
          <w:marRight w:val="0"/>
          <w:marTop w:val="0"/>
          <w:marBottom w:val="150"/>
          <w:divBdr>
            <w:top w:val="none" w:sz="0" w:space="0" w:color="auto"/>
            <w:left w:val="none" w:sz="0" w:space="0" w:color="auto"/>
            <w:bottom w:val="none" w:sz="0" w:space="0" w:color="auto"/>
            <w:right w:val="none" w:sz="0" w:space="0" w:color="auto"/>
          </w:divBdr>
        </w:div>
        <w:div w:id="1136338324">
          <w:marLeft w:val="0"/>
          <w:marRight w:val="0"/>
          <w:marTop w:val="150"/>
          <w:marBottom w:val="150"/>
          <w:divBdr>
            <w:top w:val="none" w:sz="0" w:space="0" w:color="auto"/>
            <w:left w:val="none" w:sz="0" w:space="0" w:color="auto"/>
            <w:bottom w:val="none" w:sz="0" w:space="0" w:color="auto"/>
            <w:right w:val="none" w:sz="0" w:space="0" w:color="auto"/>
          </w:divBdr>
        </w:div>
        <w:div w:id="113791512">
          <w:marLeft w:val="0"/>
          <w:marRight w:val="0"/>
          <w:marTop w:val="150"/>
          <w:marBottom w:val="150"/>
          <w:divBdr>
            <w:top w:val="none" w:sz="0" w:space="0" w:color="auto"/>
            <w:left w:val="none" w:sz="0" w:space="0" w:color="auto"/>
            <w:bottom w:val="none" w:sz="0" w:space="0" w:color="auto"/>
            <w:right w:val="none" w:sz="0" w:space="0" w:color="auto"/>
          </w:divBdr>
        </w:div>
        <w:div w:id="1308783060">
          <w:marLeft w:val="0"/>
          <w:marRight w:val="0"/>
          <w:marTop w:val="150"/>
          <w:marBottom w:val="150"/>
          <w:divBdr>
            <w:top w:val="none" w:sz="0" w:space="0" w:color="auto"/>
            <w:left w:val="none" w:sz="0" w:space="0" w:color="auto"/>
            <w:bottom w:val="none" w:sz="0" w:space="0" w:color="auto"/>
            <w:right w:val="none" w:sz="0" w:space="0" w:color="auto"/>
          </w:divBdr>
        </w:div>
      </w:divsChild>
    </w:div>
    <w:div w:id="1842617166">
      <w:bodyDiv w:val="1"/>
      <w:marLeft w:val="0"/>
      <w:marRight w:val="0"/>
      <w:marTop w:val="0"/>
      <w:marBottom w:val="0"/>
      <w:divBdr>
        <w:top w:val="none" w:sz="0" w:space="0" w:color="auto"/>
        <w:left w:val="none" w:sz="0" w:space="0" w:color="auto"/>
        <w:bottom w:val="none" w:sz="0" w:space="0" w:color="auto"/>
        <w:right w:val="none" w:sz="0" w:space="0" w:color="auto"/>
      </w:divBdr>
    </w:div>
    <w:div w:id="2028481755">
      <w:bodyDiv w:val="1"/>
      <w:marLeft w:val="0"/>
      <w:marRight w:val="0"/>
      <w:marTop w:val="0"/>
      <w:marBottom w:val="0"/>
      <w:divBdr>
        <w:top w:val="none" w:sz="0" w:space="0" w:color="auto"/>
        <w:left w:val="none" w:sz="0" w:space="0" w:color="auto"/>
        <w:bottom w:val="none" w:sz="0" w:space="0" w:color="auto"/>
        <w:right w:val="none" w:sz="0" w:space="0" w:color="auto"/>
      </w:divBdr>
    </w:div>
    <w:div w:id="2046058486">
      <w:bodyDiv w:val="1"/>
      <w:marLeft w:val="0"/>
      <w:marRight w:val="0"/>
      <w:marTop w:val="0"/>
      <w:marBottom w:val="0"/>
      <w:divBdr>
        <w:top w:val="none" w:sz="0" w:space="0" w:color="auto"/>
        <w:left w:val="none" w:sz="0" w:space="0" w:color="auto"/>
        <w:bottom w:val="none" w:sz="0" w:space="0" w:color="auto"/>
        <w:right w:val="none" w:sz="0" w:space="0" w:color="auto"/>
      </w:divBdr>
    </w:div>
    <w:div w:id="20968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EB41-26AF-4DE9-A61E-6A5F0203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3642</Words>
  <Characters>24540</Characters>
  <Application>Microsoft Office Word</Application>
  <DocSecurity>0</DocSecurity>
  <Lines>1141</Lines>
  <Paragraphs>473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Inc.</cp:lastModifiedBy>
  <cp:revision>2</cp:revision>
  <cp:lastPrinted>2025-01-29T11:24:00Z</cp:lastPrinted>
  <dcterms:created xsi:type="dcterms:W3CDTF">2025-04-30T07:16:00Z</dcterms:created>
  <dcterms:modified xsi:type="dcterms:W3CDTF">2025-04-30T07:16:00Z</dcterms:modified>
</cp:coreProperties>
</file>