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00" w:rsidRPr="00196145" w:rsidRDefault="00765C2B" w:rsidP="006174A4">
      <w:pPr>
        <w:pStyle w:val="a3"/>
        <w:spacing w:before="0" w:beforeAutospacing="0" w:after="0" w:afterAutospacing="0"/>
        <w:ind w:firstLine="567"/>
        <w:jc w:val="center"/>
        <w:rPr>
          <w:b/>
          <w:bCs/>
          <w:sz w:val="28"/>
          <w:szCs w:val="28"/>
          <w:lang w:val="uk-UA"/>
        </w:rPr>
      </w:pPr>
      <w:r w:rsidRPr="00196145">
        <w:rPr>
          <w:b/>
          <w:bCs/>
          <w:sz w:val="28"/>
          <w:szCs w:val="28"/>
          <w:lang w:val="uk-UA"/>
        </w:rPr>
        <w:t xml:space="preserve">АНАЛІЗ РЕГУЛЯТОРНОГО ВПЛИВУ </w:t>
      </w:r>
    </w:p>
    <w:p w:rsidR="000A4C00" w:rsidRPr="00196145" w:rsidRDefault="000A4C00" w:rsidP="006174A4">
      <w:pPr>
        <w:jc w:val="center"/>
        <w:rPr>
          <w:b/>
          <w:sz w:val="28"/>
          <w:szCs w:val="28"/>
        </w:rPr>
      </w:pPr>
      <w:r w:rsidRPr="00196145">
        <w:rPr>
          <w:b/>
          <w:sz w:val="28"/>
          <w:szCs w:val="28"/>
        </w:rPr>
        <w:t xml:space="preserve">проекту </w:t>
      </w:r>
      <w:r w:rsidR="003E30A7" w:rsidRPr="003E30A7">
        <w:rPr>
          <w:b/>
          <w:color w:val="000000" w:themeColor="text1"/>
          <w:sz w:val="28"/>
          <w:szCs w:val="28"/>
        </w:rPr>
        <w:t xml:space="preserve">постанови </w:t>
      </w:r>
      <w:r w:rsidR="003E30A7" w:rsidRPr="003E30A7">
        <w:rPr>
          <w:b/>
          <w:color w:val="000000"/>
          <w:sz w:val="28"/>
          <w:szCs w:val="28"/>
        </w:rPr>
        <w:t>Кабінету Міністрів України «Про внесення змін до П</w:t>
      </w:r>
      <w:r w:rsidR="003E30A7" w:rsidRPr="003E30A7">
        <w:rPr>
          <w:b/>
          <w:bCs/>
          <w:color w:val="000000"/>
          <w:sz w:val="28"/>
          <w:szCs w:val="28"/>
        </w:rPr>
        <w:t>орядку списання об</w:t>
      </w:r>
      <w:r w:rsidR="007473AE">
        <w:rPr>
          <w:b/>
          <w:bCs/>
          <w:color w:val="000000"/>
          <w:sz w:val="28"/>
          <w:szCs w:val="28"/>
        </w:rPr>
        <w:t>’</w:t>
      </w:r>
      <w:r w:rsidR="003E30A7" w:rsidRPr="003E30A7">
        <w:rPr>
          <w:b/>
          <w:bCs/>
          <w:color w:val="000000"/>
          <w:sz w:val="28"/>
          <w:szCs w:val="28"/>
        </w:rPr>
        <w:t>єктів державної власності»</w:t>
      </w:r>
    </w:p>
    <w:p w:rsidR="00760923" w:rsidRPr="00196145" w:rsidRDefault="00760923" w:rsidP="006174A4">
      <w:pPr>
        <w:rPr>
          <w:b/>
          <w:sz w:val="28"/>
          <w:szCs w:val="28"/>
        </w:rPr>
      </w:pPr>
    </w:p>
    <w:p w:rsidR="000A4C00" w:rsidRPr="00196145" w:rsidRDefault="00196145" w:rsidP="006174A4">
      <w:pPr>
        <w:pStyle w:val="a7"/>
        <w:ind w:left="0" w:firstLine="709"/>
        <w:jc w:val="both"/>
        <w:rPr>
          <w:b/>
          <w:sz w:val="28"/>
          <w:szCs w:val="28"/>
        </w:rPr>
      </w:pPr>
      <w:r>
        <w:rPr>
          <w:b/>
          <w:sz w:val="28"/>
          <w:szCs w:val="28"/>
        </w:rPr>
        <w:t xml:space="preserve">1. </w:t>
      </w:r>
      <w:r w:rsidR="000A4C00" w:rsidRPr="00196145">
        <w:rPr>
          <w:b/>
          <w:sz w:val="28"/>
          <w:szCs w:val="28"/>
        </w:rPr>
        <w:t>Проблема, яку передбачається розв’язати шляхом державного регулювання</w:t>
      </w:r>
    </w:p>
    <w:p w:rsidR="00844E7D" w:rsidRDefault="00844E7D" w:rsidP="00844E7D">
      <w:pPr>
        <w:shd w:val="clear" w:color="auto" w:fill="FFFFFF"/>
        <w:ind w:firstLine="709"/>
        <w:jc w:val="both"/>
        <w:rPr>
          <w:bCs/>
          <w:color w:val="000000"/>
          <w:sz w:val="28"/>
          <w:szCs w:val="28"/>
        </w:rPr>
      </w:pPr>
      <w:r>
        <w:rPr>
          <w:bCs/>
          <w:color w:val="000000"/>
          <w:sz w:val="28"/>
          <w:szCs w:val="28"/>
        </w:rPr>
        <w:t>Відповідно до П</w:t>
      </w:r>
      <w:r w:rsidRPr="00051923">
        <w:rPr>
          <w:bCs/>
          <w:color w:val="000000"/>
          <w:sz w:val="28"/>
          <w:szCs w:val="28"/>
        </w:rPr>
        <w:t>орядк</w:t>
      </w:r>
      <w:r>
        <w:rPr>
          <w:bCs/>
          <w:color w:val="000000"/>
          <w:sz w:val="28"/>
          <w:szCs w:val="28"/>
        </w:rPr>
        <w:t xml:space="preserve">у </w:t>
      </w:r>
      <w:r w:rsidRPr="00BA1948">
        <w:rPr>
          <w:bCs/>
          <w:color w:val="000000"/>
          <w:sz w:val="28"/>
          <w:szCs w:val="28"/>
        </w:rPr>
        <w:t>списання об</w:t>
      </w:r>
      <w:r>
        <w:rPr>
          <w:bCs/>
          <w:color w:val="000000"/>
          <w:sz w:val="28"/>
          <w:szCs w:val="28"/>
        </w:rPr>
        <w:t>’</w:t>
      </w:r>
      <w:r w:rsidRPr="00BA1948">
        <w:rPr>
          <w:bCs/>
          <w:color w:val="000000"/>
          <w:sz w:val="28"/>
          <w:szCs w:val="28"/>
        </w:rPr>
        <w:t>єктів державної власності, затверджен</w:t>
      </w:r>
      <w:r>
        <w:rPr>
          <w:bCs/>
          <w:color w:val="000000"/>
          <w:sz w:val="28"/>
          <w:szCs w:val="28"/>
        </w:rPr>
        <w:t>ого</w:t>
      </w:r>
      <w:r w:rsidRPr="00BA1948">
        <w:rPr>
          <w:bCs/>
          <w:color w:val="000000"/>
          <w:sz w:val="28"/>
          <w:szCs w:val="28"/>
        </w:rPr>
        <w:t xml:space="preserve"> постановою Кабінету Міністрів України від 08</w:t>
      </w:r>
      <w:r>
        <w:rPr>
          <w:bCs/>
          <w:color w:val="000000"/>
          <w:sz w:val="28"/>
          <w:szCs w:val="28"/>
        </w:rPr>
        <w:t>.11.</w:t>
      </w:r>
      <w:r w:rsidRPr="00BA1948">
        <w:rPr>
          <w:bCs/>
          <w:color w:val="000000"/>
          <w:sz w:val="28"/>
          <w:szCs w:val="28"/>
        </w:rPr>
        <w:t xml:space="preserve">2007 </w:t>
      </w:r>
      <w:r>
        <w:rPr>
          <w:bCs/>
          <w:color w:val="000000"/>
          <w:sz w:val="28"/>
          <w:szCs w:val="28"/>
        </w:rPr>
        <w:t>№ </w:t>
      </w:r>
      <w:r w:rsidRPr="00BA1948">
        <w:rPr>
          <w:bCs/>
          <w:color w:val="000000"/>
          <w:sz w:val="28"/>
          <w:szCs w:val="28"/>
        </w:rPr>
        <w:t xml:space="preserve">1314 </w:t>
      </w:r>
      <w:r>
        <w:rPr>
          <w:bCs/>
          <w:color w:val="000000"/>
          <w:sz w:val="28"/>
          <w:szCs w:val="28"/>
        </w:rPr>
        <w:t>(далі – Порядок), списанню підлягає майно, зокрема виявлене в результаті інвентаризації як нестача.</w:t>
      </w:r>
    </w:p>
    <w:p w:rsidR="00844E7D" w:rsidRDefault="00844E7D" w:rsidP="00844E7D">
      <w:pPr>
        <w:shd w:val="clear" w:color="auto" w:fill="FFFFFF"/>
        <w:ind w:firstLine="709"/>
        <w:jc w:val="both"/>
        <w:rPr>
          <w:bCs/>
          <w:color w:val="000000"/>
          <w:sz w:val="28"/>
          <w:szCs w:val="28"/>
        </w:rPr>
      </w:pPr>
      <w:r>
        <w:rPr>
          <w:bCs/>
          <w:color w:val="000000"/>
          <w:sz w:val="28"/>
          <w:szCs w:val="28"/>
        </w:rPr>
        <w:t xml:space="preserve">Із набранням чинності наказом Міністерства фінансів України                      від 02.09.2014 № 879 «Про </w:t>
      </w:r>
      <w:r w:rsidRPr="00BA1948">
        <w:rPr>
          <w:bCs/>
          <w:color w:val="000000"/>
          <w:sz w:val="28"/>
          <w:szCs w:val="28"/>
        </w:rPr>
        <w:t>затверджен</w:t>
      </w:r>
      <w:r>
        <w:rPr>
          <w:bCs/>
          <w:color w:val="000000"/>
          <w:sz w:val="28"/>
          <w:szCs w:val="28"/>
        </w:rPr>
        <w:t xml:space="preserve">ня Положення про інвентаризацію </w:t>
      </w:r>
      <w:r w:rsidRPr="00180E68">
        <w:rPr>
          <w:bCs/>
          <w:color w:val="000000"/>
          <w:sz w:val="28"/>
          <w:szCs w:val="28"/>
        </w:rPr>
        <w:t>активів та зобов</w:t>
      </w:r>
      <w:r>
        <w:rPr>
          <w:bCs/>
          <w:color w:val="000000"/>
          <w:sz w:val="28"/>
          <w:szCs w:val="28"/>
        </w:rPr>
        <w:t>’</w:t>
      </w:r>
      <w:r w:rsidRPr="00180E68">
        <w:rPr>
          <w:bCs/>
          <w:color w:val="000000"/>
          <w:sz w:val="28"/>
          <w:szCs w:val="28"/>
        </w:rPr>
        <w:t>язань</w:t>
      </w:r>
      <w:r>
        <w:rPr>
          <w:bCs/>
          <w:color w:val="000000"/>
          <w:sz w:val="28"/>
          <w:szCs w:val="28"/>
        </w:rPr>
        <w:t xml:space="preserve">», яким визначається </w:t>
      </w:r>
      <w:r w:rsidRPr="00C520E7">
        <w:rPr>
          <w:bCs/>
          <w:color w:val="000000"/>
          <w:sz w:val="28"/>
          <w:szCs w:val="28"/>
        </w:rPr>
        <w:t>порядок проведення інвентаризації активів і зобов</w:t>
      </w:r>
      <w:r>
        <w:rPr>
          <w:bCs/>
          <w:color w:val="000000"/>
          <w:sz w:val="28"/>
          <w:szCs w:val="28"/>
        </w:rPr>
        <w:t>’</w:t>
      </w:r>
      <w:r w:rsidRPr="00C520E7">
        <w:rPr>
          <w:bCs/>
          <w:color w:val="000000"/>
          <w:sz w:val="28"/>
          <w:szCs w:val="28"/>
        </w:rPr>
        <w:t>язань та оформлення її результатів</w:t>
      </w:r>
      <w:r>
        <w:rPr>
          <w:bCs/>
          <w:color w:val="000000"/>
          <w:sz w:val="28"/>
          <w:szCs w:val="28"/>
        </w:rPr>
        <w:t>, змінилися окремі вимоги щодо обліку майна, виявленого в результаті інвентаризації як нестача.</w:t>
      </w:r>
    </w:p>
    <w:p w:rsidR="00844E7D" w:rsidRDefault="00844E7D" w:rsidP="00844E7D">
      <w:pPr>
        <w:shd w:val="clear" w:color="auto" w:fill="FFFFFF"/>
        <w:ind w:firstLine="709"/>
        <w:jc w:val="both"/>
        <w:rPr>
          <w:bCs/>
          <w:color w:val="000000"/>
          <w:sz w:val="28"/>
          <w:szCs w:val="28"/>
        </w:rPr>
      </w:pPr>
      <w:r>
        <w:rPr>
          <w:bCs/>
          <w:color w:val="000000"/>
          <w:sz w:val="28"/>
          <w:szCs w:val="28"/>
        </w:rPr>
        <w:t xml:space="preserve">Також Порядком передбачено, що морально застаріла комп’ютерна техніка, придатна для подальшого використання, може передаватися до сфери управління місцевих органів виконавчої влади з подальшим її закріпленням за відповідними закладами, установами та організаціями. Проте через низьку фінансову спроможність місцевих бюджетів немає можливості в повній мірі забезпечити матеріально-технічну базу установ та організацій, які утримуються коштами місцевих бюджетів. </w:t>
      </w:r>
    </w:p>
    <w:p w:rsidR="00844E7D" w:rsidRPr="00853641" w:rsidRDefault="00844E7D" w:rsidP="00844E7D">
      <w:pPr>
        <w:shd w:val="clear" w:color="auto" w:fill="FFFFFF"/>
        <w:ind w:firstLine="567"/>
        <w:jc w:val="both"/>
        <w:rPr>
          <w:bCs/>
          <w:color w:val="000000"/>
          <w:sz w:val="28"/>
          <w:szCs w:val="28"/>
        </w:rPr>
      </w:pPr>
      <w:r>
        <w:rPr>
          <w:bCs/>
          <w:color w:val="000000"/>
          <w:sz w:val="28"/>
          <w:szCs w:val="28"/>
        </w:rPr>
        <w:t xml:space="preserve">При цьому </w:t>
      </w:r>
      <w:r w:rsidRPr="00FD0226">
        <w:rPr>
          <w:bCs/>
          <w:color w:val="000000"/>
          <w:sz w:val="28"/>
          <w:szCs w:val="28"/>
        </w:rPr>
        <w:t>виникає потреба у спрощенні процедури списання повністю амортизованих основних фондів (засобів), інших необоротних матеріальних активів шляхом збільшення вартісної межі. На сьогоднішній день такі об’єкти списуються за рішенням керівника, якщо їх первісна (переоцінена) вартість не перевищує 10 тис. грн.</w:t>
      </w:r>
      <w:r>
        <w:rPr>
          <w:bCs/>
          <w:color w:val="000000"/>
          <w:sz w:val="28"/>
          <w:szCs w:val="28"/>
        </w:rPr>
        <w:t xml:space="preserve"> </w:t>
      </w:r>
      <w:r w:rsidRPr="00FD0226">
        <w:rPr>
          <w:bCs/>
          <w:color w:val="000000"/>
          <w:sz w:val="28"/>
          <w:szCs w:val="28"/>
        </w:rPr>
        <w:t xml:space="preserve">Підставою для перегляду вартісної межі для списання повністю амортизованих основних фондів (засобів), інших необоротних матеріальних активів є суттєве збільшення вартості для визнання </w:t>
      </w:r>
      <w:r>
        <w:rPr>
          <w:bCs/>
          <w:color w:val="000000"/>
          <w:sz w:val="28"/>
          <w:szCs w:val="28"/>
        </w:rPr>
        <w:t>активів основними засобами</w:t>
      </w:r>
      <w:r w:rsidRPr="00FD0226">
        <w:rPr>
          <w:bCs/>
          <w:color w:val="000000"/>
          <w:sz w:val="28"/>
          <w:szCs w:val="28"/>
        </w:rPr>
        <w:t xml:space="preserve"> </w:t>
      </w:r>
      <w:r>
        <w:rPr>
          <w:bCs/>
          <w:color w:val="000000"/>
          <w:sz w:val="28"/>
          <w:szCs w:val="28"/>
        </w:rPr>
        <w:t>відповідно до</w:t>
      </w:r>
      <w:r w:rsidRPr="00853641">
        <w:rPr>
          <w:bCs/>
          <w:color w:val="000000"/>
          <w:sz w:val="28"/>
          <w:szCs w:val="28"/>
        </w:rPr>
        <w:t xml:space="preserve"> Закон</w:t>
      </w:r>
      <w:r>
        <w:rPr>
          <w:bCs/>
          <w:color w:val="000000"/>
          <w:sz w:val="28"/>
          <w:szCs w:val="28"/>
        </w:rPr>
        <w:t>у</w:t>
      </w:r>
      <w:r w:rsidRPr="00853641">
        <w:rPr>
          <w:bCs/>
          <w:color w:val="000000"/>
          <w:sz w:val="28"/>
          <w:szCs w:val="28"/>
        </w:rPr>
        <w:t xml:space="preserve"> України </w:t>
      </w:r>
      <w:r>
        <w:rPr>
          <w:bCs/>
          <w:color w:val="000000"/>
          <w:sz w:val="28"/>
          <w:szCs w:val="28"/>
        </w:rPr>
        <w:t xml:space="preserve">від 17.07.2015 </w:t>
      </w:r>
      <w:hyperlink r:id="rId8" w:tgtFrame="_blank" w:history="1">
        <w:r w:rsidRPr="00853641">
          <w:rPr>
            <w:bCs/>
            <w:color w:val="000000"/>
            <w:sz w:val="28"/>
            <w:szCs w:val="28"/>
          </w:rPr>
          <w:t>№ 655-VIII</w:t>
        </w:r>
      </w:hyperlink>
      <w:r>
        <w:rPr>
          <w:bCs/>
          <w:color w:val="000000"/>
          <w:sz w:val="28"/>
          <w:szCs w:val="28"/>
        </w:rPr>
        <w:t xml:space="preserve"> </w:t>
      </w:r>
      <w:r w:rsidRPr="00853641">
        <w:rPr>
          <w:bCs/>
          <w:color w:val="000000"/>
          <w:sz w:val="28"/>
          <w:szCs w:val="28"/>
        </w:rPr>
        <w:t>«Про внесення змін до Податкового кодексу України щодо зменшення податкового тиску на плат</w:t>
      </w:r>
      <w:r>
        <w:rPr>
          <w:bCs/>
          <w:color w:val="000000"/>
          <w:sz w:val="28"/>
          <w:szCs w:val="28"/>
        </w:rPr>
        <w:t>ників податків» (</w:t>
      </w:r>
      <w:r>
        <w:rPr>
          <w:sz w:val="28"/>
          <w:szCs w:val="28"/>
        </w:rPr>
        <w:t>з 2500 грн. до 6000 грн.).</w:t>
      </w:r>
    </w:p>
    <w:p w:rsidR="0052489F" w:rsidRPr="00196145" w:rsidRDefault="00844E7D" w:rsidP="00844E7D">
      <w:pPr>
        <w:ind w:firstLine="709"/>
        <w:jc w:val="both"/>
        <w:rPr>
          <w:color w:val="000000"/>
          <w:spacing w:val="-4"/>
          <w:sz w:val="28"/>
          <w:szCs w:val="28"/>
        </w:rPr>
      </w:pPr>
      <w:r>
        <w:rPr>
          <w:bCs/>
          <w:color w:val="000000"/>
          <w:sz w:val="28"/>
          <w:szCs w:val="28"/>
        </w:rPr>
        <w:t>Ураховуючи зазначене, виникла необхідність у внесенні змін до Порядку.</w:t>
      </w:r>
    </w:p>
    <w:p w:rsidR="00760923" w:rsidRPr="00196145" w:rsidRDefault="00760923" w:rsidP="006174A4">
      <w:pPr>
        <w:ind w:firstLine="709"/>
        <w:jc w:val="both"/>
        <w:rPr>
          <w:sz w:val="28"/>
          <w:szCs w:val="28"/>
          <w:lang w:val="ru-RU"/>
        </w:rPr>
      </w:pPr>
    </w:p>
    <w:p w:rsidR="000A4C00" w:rsidRPr="00196145" w:rsidRDefault="00196145" w:rsidP="006174A4">
      <w:pPr>
        <w:pStyle w:val="a7"/>
        <w:ind w:left="709"/>
        <w:jc w:val="both"/>
        <w:rPr>
          <w:b/>
          <w:bCs/>
          <w:color w:val="000000"/>
          <w:sz w:val="28"/>
          <w:szCs w:val="28"/>
        </w:rPr>
      </w:pPr>
      <w:r>
        <w:rPr>
          <w:b/>
          <w:bCs/>
          <w:color w:val="000000"/>
          <w:sz w:val="28"/>
          <w:szCs w:val="28"/>
        </w:rPr>
        <w:t xml:space="preserve">2. </w:t>
      </w:r>
      <w:r w:rsidR="000A4C00" w:rsidRPr="00196145">
        <w:rPr>
          <w:b/>
          <w:bCs/>
          <w:color w:val="000000"/>
          <w:sz w:val="28"/>
          <w:szCs w:val="28"/>
        </w:rPr>
        <w:t>Ціл</w:t>
      </w:r>
      <w:r w:rsidR="00844E7D">
        <w:rPr>
          <w:b/>
          <w:bCs/>
          <w:color w:val="000000"/>
          <w:sz w:val="28"/>
          <w:szCs w:val="28"/>
        </w:rPr>
        <w:t>ь</w:t>
      </w:r>
      <w:r w:rsidR="000A4C00" w:rsidRPr="00196145">
        <w:rPr>
          <w:b/>
          <w:bCs/>
          <w:color w:val="000000"/>
          <w:sz w:val="28"/>
          <w:szCs w:val="28"/>
        </w:rPr>
        <w:t xml:space="preserve"> державного регулювання</w:t>
      </w:r>
    </w:p>
    <w:p w:rsidR="00844E7D" w:rsidRDefault="00844E7D" w:rsidP="00844E7D">
      <w:pPr>
        <w:pStyle w:val="a7"/>
        <w:ind w:left="0" w:firstLine="709"/>
        <w:jc w:val="both"/>
        <w:rPr>
          <w:bCs/>
          <w:color w:val="000000"/>
          <w:sz w:val="28"/>
          <w:szCs w:val="28"/>
        </w:rPr>
      </w:pPr>
      <w:r>
        <w:rPr>
          <w:color w:val="000000" w:themeColor="text1"/>
          <w:sz w:val="28"/>
          <w:szCs w:val="28"/>
        </w:rPr>
        <w:t xml:space="preserve">Проект постанови </w:t>
      </w:r>
      <w:r>
        <w:rPr>
          <w:color w:val="000000"/>
          <w:sz w:val="28"/>
          <w:szCs w:val="28"/>
        </w:rPr>
        <w:t>Кабінету Міністрів України «Про внесення змін до П</w:t>
      </w:r>
      <w:r w:rsidRPr="00051923">
        <w:rPr>
          <w:bCs/>
          <w:color w:val="000000"/>
          <w:sz w:val="28"/>
          <w:szCs w:val="28"/>
        </w:rPr>
        <w:t>орядк</w:t>
      </w:r>
      <w:r>
        <w:rPr>
          <w:bCs/>
          <w:color w:val="000000"/>
          <w:sz w:val="28"/>
          <w:szCs w:val="28"/>
        </w:rPr>
        <w:t xml:space="preserve">у </w:t>
      </w:r>
      <w:r w:rsidRPr="00BA1948">
        <w:rPr>
          <w:bCs/>
          <w:color w:val="000000"/>
          <w:sz w:val="28"/>
          <w:szCs w:val="28"/>
        </w:rPr>
        <w:t>списанн</w:t>
      </w:r>
      <w:r>
        <w:rPr>
          <w:bCs/>
          <w:color w:val="000000"/>
          <w:sz w:val="28"/>
          <w:szCs w:val="28"/>
        </w:rPr>
        <w:t xml:space="preserve">я об’єктів державної власності» (далі – проект постанови) </w:t>
      </w:r>
      <w:r w:rsidR="001E4FBB">
        <w:rPr>
          <w:color w:val="000000" w:themeColor="text1"/>
          <w:sz w:val="28"/>
          <w:szCs w:val="28"/>
        </w:rPr>
        <w:t>підготовлено</w:t>
      </w:r>
      <w:r>
        <w:rPr>
          <w:color w:val="000000" w:themeColor="text1"/>
          <w:sz w:val="28"/>
          <w:szCs w:val="28"/>
        </w:rPr>
        <w:t xml:space="preserve"> з метою</w:t>
      </w:r>
      <w:r w:rsidRPr="00AC57E4">
        <w:rPr>
          <w:color w:val="000000" w:themeColor="text1"/>
          <w:sz w:val="28"/>
          <w:szCs w:val="28"/>
        </w:rPr>
        <w:t xml:space="preserve"> </w:t>
      </w:r>
      <w:r>
        <w:rPr>
          <w:bCs/>
          <w:color w:val="000000"/>
          <w:sz w:val="28"/>
          <w:szCs w:val="28"/>
        </w:rPr>
        <w:t>удосконалення та спрощення процедури списання об’єктів державної власності, а також встановлення єдиних вимог щодо</w:t>
      </w:r>
      <w:r w:rsidRPr="007C2CA7">
        <w:rPr>
          <w:bCs/>
          <w:color w:val="000000"/>
          <w:sz w:val="28"/>
          <w:szCs w:val="28"/>
        </w:rPr>
        <w:t xml:space="preserve"> </w:t>
      </w:r>
      <w:r w:rsidRPr="00CB772C">
        <w:rPr>
          <w:bCs/>
          <w:color w:val="000000"/>
          <w:sz w:val="28"/>
          <w:szCs w:val="28"/>
        </w:rPr>
        <w:t>списання майна, виявленого в результаті інвентаризації як нестач</w:t>
      </w:r>
      <w:r>
        <w:rPr>
          <w:bCs/>
          <w:color w:val="000000"/>
          <w:sz w:val="28"/>
          <w:szCs w:val="28"/>
        </w:rPr>
        <w:t xml:space="preserve">а. </w:t>
      </w:r>
    </w:p>
    <w:p w:rsidR="00844E7D" w:rsidRDefault="00844E7D" w:rsidP="00844E7D">
      <w:pPr>
        <w:pStyle w:val="a7"/>
        <w:ind w:left="0" w:firstLine="709"/>
        <w:jc w:val="both"/>
        <w:rPr>
          <w:bCs/>
          <w:color w:val="000000"/>
          <w:sz w:val="28"/>
          <w:szCs w:val="28"/>
        </w:rPr>
      </w:pPr>
      <w:r>
        <w:rPr>
          <w:bCs/>
          <w:color w:val="000000"/>
          <w:sz w:val="28"/>
          <w:szCs w:val="28"/>
        </w:rPr>
        <w:t xml:space="preserve">Зокрема, проектом постанови передбачається встановити, що майно, виявлене в результаті інвентаризації як нестача, відноситься на рахунок винних осіб у розмірі, визначеному відповідно до законодавства, у разі якщо винні особи не встановлені, суми нестач зараховуються на позабалансовий </w:t>
      </w:r>
      <w:r>
        <w:rPr>
          <w:bCs/>
          <w:color w:val="000000"/>
          <w:sz w:val="28"/>
          <w:szCs w:val="28"/>
        </w:rPr>
        <w:lastRenderedPageBreak/>
        <w:t>рахунок до моменту встановлення винних осіб або закриття справи згідно із законодавством.</w:t>
      </w:r>
    </w:p>
    <w:p w:rsidR="00844E7D" w:rsidRDefault="00844E7D" w:rsidP="00844E7D">
      <w:pPr>
        <w:pStyle w:val="a7"/>
        <w:ind w:left="0" w:firstLine="709"/>
        <w:jc w:val="both"/>
        <w:rPr>
          <w:bCs/>
          <w:color w:val="000000"/>
          <w:sz w:val="28"/>
          <w:szCs w:val="28"/>
        </w:rPr>
      </w:pPr>
      <w:r>
        <w:rPr>
          <w:bCs/>
          <w:color w:val="000000"/>
          <w:sz w:val="28"/>
          <w:szCs w:val="28"/>
        </w:rPr>
        <w:t xml:space="preserve">Також проектом постанови пропонується збільшити вартісну межу </w:t>
      </w:r>
      <w:r w:rsidRPr="00853641">
        <w:rPr>
          <w:bCs/>
          <w:color w:val="000000"/>
          <w:sz w:val="28"/>
          <w:szCs w:val="28"/>
        </w:rPr>
        <w:t>повністю амортизованих основних фондів (засобів), інших необоротних матеріальних активів</w:t>
      </w:r>
      <w:r>
        <w:rPr>
          <w:bCs/>
          <w:color w:val="000000"/>
          <w:sz w:val="28"/>
          <w:szCs w:val="28"/>
        </w:rPr>
        <w:t>, списання яких здійснюється зі рішенням керівника суб’єкта господарювання,</w:t>
      </w:r>
      <w:r w:rsidRPr="00225988">
        <w:rPr>
          <w:bCs/>
          <w:color w:val="000000"/>
          <w:sz w:val="28"/>
          <w:szCs w:val="28"/>
        </w:rPr>
        <w:t xml:space="preserve"> </w:t>
      </w:r>
      <w:r>
        <w:rPr>
          <w:bCs/>
          <w:color w:val="000000"/>
          <w:sz w:val="28"/>
          <w:szCs w:val="28"/>
        </w:rPr>
        <w:t xml:space="preserve">до 20 тис. </w:t>
      </w:r>
      <w:r w:rsidR="00434C96">
        <w:rPr>
          <w:bCs/>
          <w:color w:val="000000"/>
          <w:sz w:val="28"/>
          <w:szCs w:val="28"/>
        </w:rPr>
        <w:t>грн.</w:t>
      </w:r>
      <w:bookmarkStart w:id="0" w:name="_GoBack"/>
      <w:bookmarkEnd w:id="0"/>
      <w:r>
        <w:rPr>
          <w:bCs/>
          <w:color w:val="000000"/>
          <w:sz w:val="28"/>
          <w:szCs w:val="28"/>
        </w:rPr>
        <w:t xml:space="preserve"> та передбачити можливість передавати морально застаріле та фізично зношене майно, придатне для подальшого використання</w:t>
      </w:r>
      <w:r w:rsidR="003E26B2">
        <w:rPr>
          <w:bCs/>
          <w:color w:val="000000"/>
          <w:sz w:val="28"/>
          <w:szCs w:val="28"/>
        </w:rPr>
        <w:t>,</w:t>
      </w:r>
      <w:r>
        <w:rPr>
          <w:bCs/>
          <w:color w:val="000000"/>
          <w:sz w:val="28"/>
          <w:szCs w:val="28"/>
        </w:rPr>
        <w:t xml:space="preserve"> до сфери управління місцевих органів виконавчої влади.</w:t>
      </w:r>
    </w:p>
    <w:p w:rsidR="00AF5375" w:rsidRPr="00196145" w:rsidRDefault="00AF5375" w:rsidP="006174A4">
      <w:pPr>
        <w:widowControl w:val="0"/>
        <w:ind w:firstLine="709"/>
        <w:jc w:val="both"/>
        <w:rPr>
          <w:sz w:val="28"/>
          <w:szCs w:val="28"/>
        </w:rPr>
      </w:pPr>
    </w:p>
    <w:p w:rsidR="000A4C00" w:rsidRPr="00196145" w:rsidRDefault="000A4C00" w:rsidP="006174A4">
      <w:pPr>
        <w:pStyle w:val="a3"/>
        <w:spacing w:before="0" w:beforeAutospacing="0" w:after="0" w:afterAutospacing="0"/>
        <w:ind w:firstLine="709"/>
        <w:jc w:val="both"/>
      </w:pPr>
      <w:r w:rsidRPr="00196145">
        <w:rPr>
          <w:b/>
          <w:bCs/>
          <w:color w:val="auto"/>
          <w:sz w:val="28"/>
          <w:szCs w:val="28"/>
          <w:lang w:val="uk-UA"/>
        </w:rPr>
        <w:t xml:space="preserve">3. Визначення та оцінка можливих альтернативних способів досягнення зазначених цілей </w:t>
      </w:r>
    </w:p>
    <w:p w:rsidR="000A4C00" w:rsidRPr="00196145" w:rsidRDefault="000A4C00" w:rsidP="006174A4">
      <w:pPr>
        <w:widowControl w:val="0"/>
        <w:ind w:firstLine="709"/>
        <w:jc w:val="both"/>
        <w:rPr>
          <w:sz w:val="28"/>
          <w:szCs w:val="28"/>
        </w:rPr>
      </w:pPr>
      <w:r w:rsidRPr="00196145">
        <w:rPr>
          <w:sz w:val="28"/>
          <w:szCs w:val="28"/>
        </w:rPr>
        <w:t xml:space="preserve">Перша альтернатива </w:t>
      </w:r>
      <w:r w:rsidR="00F1258D" w:rsidRPr="00196145">
        <w:rPr>
          <w:sz w:val="28"/>
          <w:szCs w:val="28"/>
        </w:rPr>
        <w:t>–</w:t>
      </w:r>
      <w:r w:rsidRPr="00196145">
        <w:rPr>
          <w:sz w:val="28"/>
          <w:szCs w:val="28"/>
        </w:rPr>
        <w:t xml:space="preserve"> збереження існуючого стану. Проте цей спосіб не забезпечує досягнення цілей державного регулювання і не сприятиме вирішенню проблеми</w:t>
      </w:r>
      <w:r w:rsidR="00162645">
        <w:rPr>
          <w:sz w:val="28"/>
          <w:szCs w:val="28"/>
        </w:rPr>
        <w:t>.</w:t>
      </w:r>
      <w:r w:rsidRPr="00196145">
        <w:rPr>
          <w:sz w:val="28"/>
          <w:szCs w:val="28"/>
        </w:rPr>
        <w:t xml:space="preserve"> </w:t>
      </w:r>
    </w:p>
    <w:p w:rsidR="009B0A2A" w:rsidRPr="00196145" w:rsidRDefault="000A4C00" w:rsidP="006174A4">
      <w:pPr>
        <w:widowControl w:val="0"/>
        <w:ind w:firstLine="709"/>
        <w:jc w:val="both"/>
        <w:rPr>
          <w:sz w:val="28"/>
          <w:szCs w:val="28"/>
        </w:rPr>
      </w:pPr>
      <w:r w:rsidRPr="00196145">
        <w:rPr>
          <w:sz w:val="28"/>
          <w:szCs w:val="28"/>
        </w:rPr>
        <w:t>Друг</w:t>
      </w:r>
      <w:r w:rsidR="00162645">
        <w:rPr>
          <w:sz w:val="28"/>
          <w:szCs w:val="28"/>
        </w:rPr>
        <w:t>а</w:t>
      </w:r>
      <w:r w:rsidRPr="00196145">
        <w:rPr>
          <w:sz w:val="28"/>
          <w:szCs w:val="28"/>
        </w:rPr>
        <w:t xml:space="preserve"> альтернатив</w:t>
      </w:r>
      <w:r w:rsidR="00162645">
        <w:rPr>
          <w:sz w:val="28"/>
          <w:szCs w:val="28"/>
        </w:rPr>
        <w:t>а</w:t>
      </w:r>
      <w:r w:rsidRPr="00196145">
        <w:rPr>
          <w:sz w:val="28"/>
          <w:szCs w:val="28"/>
        </w:rPr>
        <w:t xml:space="preserve"> </w:t>
      </w:r>
      <w:r w:rsidR="00162645">
        <w:rPr>
          <w:sz w:val="28"/>
          <w:szCs w:val="28"/>
        </w:rPr>
        <w:t xml:space="preserve">– </w:t>
      </w:r>
      <w:r w:rsidRPr="00196145">
        <w:rPr>
          <w:sz w:val="28"/>
          <w:szCs w:val="28"/>
        </w:rPr>
        <w:t>прийняття запропонован</w:t>
      </w:r>
      <w:r w:rsidR="005F20ED" w:rsidRPr="00196145">
        <w:rPr>
          <w:sz w:val="28"/>
          <w:szCs w:val="28"/>
        </w:rPr>
        <w:t xml:space="preserve">ого </w:t>
      </w:r>
      <w:r w:rsidR="00FA3EC3">
        <w:rPr>
          <w:sz w:val="28"/>
          <w:szCs w:val="28"/>
        </w:rPr>
        <w:t>проекту постанови</w:t>
      </w:r>
      <w:r w:rsidRPr="00196145">
        <w:rPr>
          <w:sz w:val="28"/>
          <w:szCs w:val="28"/>
        </w:rPr>
        <w:t>. Цей спосіб є до</w:t>
      </w:r>
      <w:r w:rsidR="00744563" w:rsidRPr="00196145">
        <w:rPr>
          <w:sz w:val="28"/>
          <w:szCs w:val="28"/>
        </w:rPr>
        <w:t xml:space="preserve">цільним, оскільки він дозволить </w:t>
      </w:r>
      <w:r w:rsidR="00FA3EC3">
        <w:rPr>
          <w:sz w:val="28"/>
          <w:szCs w:val="28"/>
        </w:rPr>
        <w:t xml:space="preserve">удосконалити </w:t>
      </w:r>
      <w:r w:rsidR="007473AE">
        <w:rPr>
          <w:sz w:val="28"/>
          <w:szCs w:val="28"/>
        </w:rPr>
        <w:t xml:space="preserve">та спростити </w:t>
      </w:r>
      <w:r w:rsidR="00FA3EC3">
        <w:rPr>
          <w:sz w:val="28"/>
          <w:szCs w:val="28"/>
        </w:rPr>
        <w:t xml:space="preserve">процедури списання об’єктів державної власності та </w:t>
      </w:r>
      <w:r w:rsidR="00FA3EC3">
        <w:rPr>
          <w:bCs/>
          <w:color w:val="000000"/>
          <w:sz w:val="28"/>
          <w:szCs w:val="28"/>
        </w:rPr>
        <w:t>встановити єдині вимоги щодо</w:t>
      </w:r>
      <w:r w:rsidR="00FA3EC3" w:rsidRPr="007C2CA7">
        <w:rPr>
          <w:bCs/>
          <w:color w:val="000000"/>
          <w:sz w:val="28"/>
          <w:szCs w:val="28"/>
        </w:rPr>
        <w:t xml:space="preserve"> </w:t>
      </w:r>
      <w:r w:rsidR="00FA3EC3" w:rsidRPr="00CB772C">
        <w:rPr>
          <w:bCs/>
          <w:color w:val="000000"/>
          <w:sz w:val="28"/>
          <w:szCs w:val="28"/>
        </w:rPr>
        <w:t>списання майна, виявленого в результаті інвентаризації як нестач</w:t>
      </w:r>
      <w:r w:rsidR="00FA3EC3">
        <w:rPr>
          <w:bCs/>
          <w:color w:val="000000"/>
          <w:sz w:val="28"/>
          <w:szCs w:val="28"/>
        </w:rPr>
        <w:t>а</w:t>
      </w:r>
      <w:r w:rsidR="00744563" w:rsidRPr="00196145">
        <w:rPr>
          <w:sz w:val="28"/>
          <w:szCs w:val="28"/>
        </w:rPr>
        <w:t>.</w:t>
      </w:r>
    </w:p>
    <w:p w:rsidR="00A608CC" w:rsidRPr="00196145" w:rsidRDefault="00A608CC" w:rsidP="006174A4">
      <w:pPr>
        <w:autoSpaceDE w:val="0"/>
        <w:autoSpaceDN w:val="0"/>
        <w:adjustRightInd w:val="0"/>
        <w:ind w:firstLine="709"/>
        <w:rPr>
          <w:rFonts w:eastAsiaTheme="minorHAnsi"/>
          <w:sz w:val="28"/>
          <w:szCs w:val="28"/>
          <w:lang w:eastAsia="en-US"/>
        </w:rPr>
      </w:pPr>
    </w:p>
    <w:p w:rsidR="000A4C00" w:rsidRPr="00196145" w:rsidRDefault="000A4C00" w:rsidP="006174A4">
      <w:pPr>
        <w:ind w:firstLine="709"/>
        <w:jc w:val="both"/>
        <w:rPr>
          <w:b/>
          <w:sz w:val="16"/>
          <w:szCs w:val="16"/>
          <w:lang w:val="ru-RU"/>
        </w:rPr>
      </w:pPr>
      <w:r w:rsidRPr="00196145">
        <w:rPr>
          <w:b/>
          <w:bCs/>
          <w:sz w:val="28"/>
          <w:szCs w:val="28"/>
        </w:rPr>
        <w:t xml:space="preserve">4. </w:t>
      </w:r>
      <w:r w:rsidRPr="00196145">
        <w:rPr>
          <w:b/>
          <w:bCs/>
          <w:color w:val="000000"/>
          <w:sz w:val="28"/>
          <w:szCs w:val="28"/>
        </w:rPr>
        <w:t xml:space="preserve">Механізми і заходи, які забезпечать розв’язання проблеми </w:t>
      </w:r>
    </w:p>
    <w:p w:rsidR="005871EB" w:rsidRPr="00196145" w:rsidRDefault="007C6555" w:rsidP="006174A4">
      <w:pPr>
        <w:widowControl w:val="0"/>
        <w:ind w:firstLine="709"/>
        <w:jc w:val="both"/>
        <w:rPr>
          <w:sz w:val="28"/>
          <w:szCs w:val="28"/>
        </w:rPr>
      </w:pPr>
      <w:r>
        <w:rPr>
          <w:sz w:val="28"/>
          <w:szCs w:val="28"/>
        </w:rPr>
        <w:t>Єдиним м</w:t>
      </w:r>
      <w:r w:rsidR="001D1D61" w:rsidRPr="0077750C">
        <w:rPr>
          <w:sz w:val="28"/>
          <w:szCs w:val="28"/>
        </w:rPr>
        <w:t>еханізмом</w:t>
      </w:r>
      <w:r>
        <w:rPr>
          <w:sz w:val="28"/>
          <w:szCs w:val="28"/>
        </w:rPr>
        <w:t xml:space="preserve"> досягнення цілей державного регулювання</w:t>
      </w:r>
      <w:r w:rsidR="001D1D61" w:rsidRPr="0077750C">
        <w:rPr>
          <w:sz w:val="28"/>
          <w:szCs w:val="28"/>
        </w:rPr>
        <w:t xml:space="preserve"> є прийняття </w:t>
      </w:r>
      <w:r w:rsidR="006F42D1">
        <w:rPr>
          <w:sz w:val="28"/>
          <w:szCs w:val="28"/>
        </w:rPr>
        <w:t>проекту постанови</w:t>
      </w:r>
      <w:r w:rsidR="001D1D61">
        <w:rPr>
          <w:sz w:val="28"/>
          <w:szCs w:val="28"/>
        </w:rPr>
        <w:t>, що</w:t>
      </w:r>
      <w:r w:rsidR="00D84B5F">
        <w:rPr>
          <w:sz w:val="28"/>
          <w:szCs w:val="28"/>
        </w:rPr>
        <w:t xml:space="preserve"> забезпечить</w:t>
      </w:r>
      <w:r w:rsidR="00074A63">
        <w:rPr>
          <w:sz w:val="28"/>
          <w:szCs w:val="28"/>
        </w:rPr>
        <w:t xml:space="preserve"> </w:t>
      </w:r>
      <w:r w:rsidR="003923C2">
        <w:rPr>
          <w:bCs/>
          <w:color w:val="000000"/>
          <w:sz w:val="28"/>
          <w:szCs w:val="28"/>
        </w:rPr>
        <w:t>встанов</w:t>
      </w:r>
      <w:r w:rsidR="001D1D61">
        <w:rPr>
          <w:bCs/>
          <w:color w:val="000000"/>
          <w:sz w:val="28"/>
          <w:szCs w:val="28"/>
        </w:rPr>
        <w:t>лення</w:t>
      </w:r>
      <w:r w:rsidR="003923C2">
        <w:rPr>
          <w:bCs/>
          <w:color w:val="000000"/>
          <w:sz w:val="28"/>
          <w:szCs w:val="28"/>
        </w:rPr>
        <w:t xml:space="preserve"> єдин</w:t>
      </w:r>
      <w:r w:rsidR="001D1D61">
        <w:rPr>
          <w:bCs/>
          <w:color w:val="000000"/>
          <w:sz w:val="28"/>
          <w:szCs w:val="28"/>
        </w:rPr>
        <w:t>их</w:t>
      </w:r>
      <w:r w:rsidR="003923C2">
        <w:rPr>
          <w:bCs/>
          <w:color w:val="000000"/>
          <w:sz w:val="28"/>
          <w:szCs w:val="28"/>
        </w:rPr>
        <w:t xml:space="preserve"> вимог щодо</w:t>
      </w:r>
      <w:r w:rsidR="003923C2" w:rsidRPr="007C2CA7">
        <w:rPr>
          <w:bCs/>
          <w:color w:val="000000"/>
          <w:sz w:val="28"/>
          <w:szCs w:val="28"/>
        </w:rPr>
        <w:t xml:space="preserve"> </w:t>
      </w:r>
      <w:r w:rsidR="003923C2" w:rsidRPr="00CB772C">
        <w:rPr>
          <w:bCs/>
          <w:color w:val="000000"/>
          <w:sz w:val="28"/>
          <w:szCs w:val="28"/>
        </w:rPr>
        <w:t>списання майна, виявленого в результаті інвентаризації як нестач</w:t>
      </w:r>
      <w:r w:rsidR="003923C2">
        <w:rPr>
          <w:bCs/>
          <w:color w:val="000000"/>
          <w:sz w:val="28"/>
          <w:szCs w:val="28"/>
        </w:rPr>
        <w:t>а</w:t>
      </w:r>
      <w:r w:rsidR="001D1D61">
        <w:rPr>
          <w:sz w:val="28"/>
          <w:szCs w:val="28"/>
        </w:rPr>
        <w:t xml:space="preserve">, спрощення </w:t>
      </w:r>
      <w:r w:rsidR="00353930">
        <w:rPr>
          <w:bCs/>
          <w:color w:val="000000"/>
          <w:sz w:val="28"/>
          <w:szCs w:val="28"/>
        </w:rPr>
        <w:t xml:space="preserve">процедури списання </w:t>
      </w:r>
      <w:r w:rsidR="00353930" w:rsidRPr="00853641">
        <w:rPr>
          <w:bCs/>
          <w:color w:val="000000"/>
          <w:sz w:val="28"/>
          <w:szCs w:val="28"/>
        </w:rPr>
        <w:t>повністю амортизованих основних фондів (засобів), інших необоротних матеріальних активів</w:t>
      </w:r>
      <w:r w:rsidR="00353930">
        <w:rPr>
          <w:bCs/>
          <w:color w:val="000000"/>
          <w:sz w:val="28"/>
          <w:szCs w:val="28"/>
        </w:rPr>
        <w:t xml:space="preserve"> </w:t>
      </w:r>
      <w:r>
        <w:rPr>
          <w:bCs/>
          <w:color w:val="000000"/>
          <w:sz w:val="28"/>
          <w:szCs w:val="28"/>
        </w:rPr>
        <w:t>та встановить</w:t>
      </w:r>
      <w:r w:rsidR="00353930">
        <w:rPr>
          <w:bCs/>
          <w:color w:val="000000"/>
          <w:sz w:val="28"/>
          <w:szCs w:val="28"/>
        </w:rPr>
        <w:t xml:space="preserve"> можливість для передачі до сфери управління місцевих органів виконавчої влади морально застарілого та фізично зношеного майна, придатного для подальшого використання</w:t>
      </w:r>
      <w:r w:rsidR="001D1D61">
        <w:rPr>
          <w:sz w:val="28"/>
          <w:szCs w:val="28"/>
        </w:rPr>
        <w:t>.</w:t>
      </w:r>
    </w:p>
    <w:p w:rsidR="00E277C8" w:rsidRPr="00196145" w:rsidRDefault="00E277C8" w:rsidP="006174A4">
      <w:pPr>
        <w:widowControl w:val="0"/>
        <w:autoSpaceDE w:val="0"/>
        <w:autoSpaceDN w:val="0"/>
        <w:adjustRightInd w:val="0"/>
        <w:ind w:firstLine="709"/>
        <w:jc w:val="both"/>
        <w:rPr>
          <w:b/>
          <w:sz w:val="28"/>
          <w:szCs w:val="28"/>
        </w:rPr>
      </w:pPr>
    </w:p>
    <w:p w:rsidR="000A4C00" w:rsidRPr="00196145" w:rsidRDefault="000A4C00" w:rsidP="006174A4">
      <w:pPr>
        <w:ind w:firstLine="709"/>
        <w:jc w:val="both"/>
        <w:rPr>
          <w:b/>
          <w:bCs/>
          <w:color w:val="000000"/>
          <w:sz w:val="28"/>
          <w:szCs w:val="28"/>
        </w:rPr>
      </w:pPr>
      <w:r w:rsidRPr="00196145">
        <w:rPr>
          <w:b/>
          <w:bCs/>
          <w:sz w:val="28"/>
          <w:szCs w:val="28"/>
        </w:rPr>
        <w:t xml:space="preserve">5. </w:t>
      </w:r>
      <w:r w:rsidRPr="00196145">
        <w:rPr>
          <w:b/>
          <w:bCs/>
          <w:color w:val="000000"/>
          <w:sz w:val="28"/>
          <w:szCs w:val="28"/>
        </w:rPr>
        <w:t>Обґрунтування можливостей досягнення цілей державного регулювання у разі прийняття акта</w:t>
      </w:r>
    </w:p>
    <w:p w:rsidR="000A4C00" w:rsidRPr="00196145" w:rsidRDefault="000A4C00" w:rsidP="006174A4">
      <w:pPr>
        <w:widowControl w:val="0"/>
        <w:ind w:firstLine="709"/>
        <w:jc w:val="both"/>
        <w:rPr>
          <w:b/>
          <w:sz w:val="16"/>
          <w:szCs w:val="16"/>
        </w:rPr>
      </w:pPr>
      <w:r w:rsidRPr="00196145">
        <w:rPr>
          <w:sz w:val="28"/>
          <w:szCs w:val="28"/>
        </w:rPr>
        <w:t>На дію запропонованого регуляторного акт</w:t>
      </w:r>
      <w:r w:rsidR="00AB65B7" w:rsidRPr="00196145">
        <w:rPr>
          <w:sz w:val="28"/>
          <w:szCs w:val="28"/>
        </w:rPr>
        <w:t>а</w:t>
      </w:r>
      <w:r w:rsidRPr="00196145">
        <w:rPr>
          <w:sz w:val="28"/>
          <w:szCs w:val="28"/>
        </w:rPr>
        <w:t xml:space="preserve"> </w:t>
      </w:r>
      <w:r w:rsidR="00613D11">
        <w:rPr>
          <w:sz w:val="28"/>
          <w:szCs w:val="28"/>
        </w:rPr>
        <w:t>(</w:t>
      </w:r>
      <w:r w:rsidRPr="00196145">
        <w:rPr>
          <w:sz w:val="28"/>
          <w:szCs w:val="28"/>
        </w:rPr>
        <w:t>у разі його прийняття</w:t>
      </w:r>
      <w:r w:rsidR="00613D11">
        <w:rPr>
          <w:sz w:val="28"/>
          <w:szCs w:val="28"/>
        </w:rPr>
        <w:t>)</w:t>
      </w:r>
      <w:r w:rsidRPr="00196145">
        <w:rPr>
          <w:sz w:val="28"/>
          <w:szCs w:val="28"/>
        </w:rPr>
        <w:t xml:space="preserve"> зовнішні фактори (прискорення або уповільнення темпів економічного зростання, політичний вплив) не впливатимуть. </w:t>
      </w:r>
    </w:p>
    <w:p w:rsidR="000A4C00" w:rsidRPr="00196145" w:rsidRDefault="00992A9C" w:rsidP="006174A4">
      <w:pPr>
        <w:widowControl w:val="0"/>
        <w:ind w:firstLine="709"/>
        <w:jc w:val="both"/>
        <w:rPr>
          <w:b/>
          <w:sz w:val="16"/>
          <w:szCs w:val="16"/>
        </w:rPr>
      </w:pPr>
      <w:r w:rsidRPr="00196145">
        <w:rPr>
          <w:sz w:val="28"/>
          <w:szCs w:val="28"/>
        </w:rPr>
        <w:t xml:space="preserve">Досягнення цілей не передбачає додаткових організаційних заходів. </w:t>
      </w:r>
      <w:r w:rsidR="00726856">
        <w:rPr>
          <w:sz w:val="28"/>
          <w:szCs w:val="28"/>
        </w:rPr>
        <w:t>Проект постанови</w:t>
      </w:r>
      <w:r w:rsidR="000A4C00" w:rsidRPr="00196145">
        <w:rPr>
          <w:sz w:val="28"/>
          <w:szCs w:val="28"/>
        </w:rPr>
        <w:t xml:space="preserve"> не може спричинити неочікуваних результатів, які б унеможливлювали позитивний ефект від його впровадження. </w:t>
      </w:r>
    </w:p>
    <w:p w:rsidR="000A4C00" w:rsidRPr="00196145" w:rsidRDefault="000A4C00" w:rsidP="006174A4">
      <w:pPr>
        <w:widowControl w:val="0"/>
        <w:ind w:firstLine="709"/>
        <w:jc w:val="both"/>
        <w:rPr>
          <w:b/>
          <w:sz w:val="28"/>
          <w:szCs w:val="28"/>
        </w:rPr>
      </w:pPr>
    </w:p>
    <w:p w:rsidR="000A4C00" w:rsidRPr="00196145" w:rsidRDefault="000A4C00" w:rsidP="006174A4">
      <w:pPr>
        <w:ind w:firstLine="709"/>
        <w:jc w:val="both"/>
        <w:rPr>
          <w:b/>
          <w:bCs/>
          <w:sz w:val="28"/>
          <w:szCs w:val="28"/>
        </w:rPr>
      </w:pPr>
      <w:r w:rsidRPr="00196145">
        <w:rPr>
          <w:b/>
          <w:bCs/>
          <w:sz w:val="28"/>
          <w:szCs w:val="28"/>
        </w:rPr>
        <w:t>6. Очікувані результати прийняття акта</w:t>
      </w:r>
    </w:p>
    <w:p w:rsidR="00D55B25" w:rsidRDefault="00A16492" w:rsidP="006174A4">
      <w:pPr>
        <w:ind w:firstLine="709"/>
        <w:jc w:val="both"/>
        <w:rPr>
          <w:color w:val="000000"/>
          <w:spacing w:val="-4"/>
          <w:sz w:val="28"/>
          <w:szCs w:val="28"/>
        </w:rPr>
      </w:pPr>
      <w:r w:rsidRPr="00AC57E4">
        <w:rPr>
          <w:color w:val="000000" w:themeColor="text1"/>
          <w:sz w:val="28"/>
          <w:szCs w:val="28"/>
        </w:rPr>
        <w:t xml:space="preserve">Прийняття </w:t>
      </w:r>
      <w:r>
        <w:rPr>
          <w:color w:val="000000" w:themeColor="text1"/>
          <w:sz w:val="28"/>
          <w:szCs w:val="28"/>
        </w:rPr>
        <w:t xml:space="preserve">проекту постанови сприятиме </w:t>
      </w:r>
      <w:r>
        <w:rPr>
          <w:bCs/>
          <w:color w:val="000000"/>
          <w:sz w:val="28"/>
          <w:szCs w:val="28"/>
        </w:rPr>
        <w:t>удосконаленн</w:t>
      </w:r>
      <w:r w:rsidR="00726856">
        <w:rPr>
          <w:bCs/>
          <w:color w:val="000000"/>
          <w:sz w:val="28"/>
          <w:szCs w:val="28"/>
        </w:rPr>
        <w:t>ю</w:t>
      </w:r>
      <w:r>
        <w:rPr>
          <w:bCs/>
          <w:color w:val="000000"/>
          <w:sz w:val="28"/>
          <w:szCs w:val="28"/>
        </w:rPr>
        <w:t xml:space="preserve"> </w:t>
      </w:r>
      <w:r w:rsidR="00726856">
        <w:rPr>
          <w:bCs/>
          <w:color w:val="000000"/>
          <w:sz w:val="28"/>
          <w:szCs w:val="28"/>
        </w:rPr>
        <w:t xml:space="preserve">та спрощенню </w:t>
      </w:r>
      <w:r>
        <w:rPr>
          <w:bCs/>
          <w:color w:val="000000"/>
          <w:sz w:val="28"/>
          <w:szCs w:val="28"/>
        </w:rPr>
        <w:t xml:space="preserve">порядку </w:t>
      </w:r>
      <w:r w:rsidRPr="00BA1948">
        <w:rPr>
          <w:bCs/>
          <w:color w:val="000000"/>
          <w:sz w:val="28"/>
          <w:szCs w:val="28"/>
        </w:rPr>
        <w:t>списання об</w:t>
      </w:r>
      <w:r>
        <w:rPr>
          <w:bCs/>
          <w:color w:val="000000"/>
          <w:sz w:val="28"/>
          <w:szCs w:val="28"/>
        </w:rPr>
        <w:t>’</w:t>
      </w:r>
      <w:r w:rsidRPr="00BA1948">
        <w:rPr>
          <w:bCs/>
          <w:color w:val="000000"/>
          <w:sz w:val="28"/>
          <w:szCs w:val="28"/>
        </w:rPr>
        <w:t>єктів державної власності</w:t>
      </w:r>
      <w:r>
        <w:rPr>
          <w:bCs/>
          <w:color w:val="000000"/>
          <w:sz w:val="28"/>
          <w:szCs w:val="28"/>
        </w:rPr>
        <w:t xml:space="preserve"> та встановленн</w:t>
      </w:r>
      <w:r w:rsidR="00726856">
        <w:rPr>
          <w:bCs/>
          <w:color w:val="000000"/>
          <w:sz w:val="28"/>
          <w:szCs w:val="28"/>
        </w:rPr>
        <w:t xml:space="preserve">ю </w:t>
      </w:r>
      <w:r>
        <w:rPr>
          <w:bCs/>
          <w:color w:val="000000"/>
          <w:sz w:val="28"/>
          <w:szCs w:val="28"/>
        </w:rPr>
        <w:t>єдиних вимог щодо списання майна, виявленого в результаті інвентаризації як нестача</w:t>
      </w:r>
      <w:r w:rsidR="00D55B25" w:rsidRPr="00196145">
        <w:rPr>
          <w:color w:val="000000"/>
          <w:spacing w:val="-4"/>
          <w:sz w:val="28"/>
          <w:szCs w:val="28"/>
        </w:rPr>
        <w:t>.</w:t>
      </w:r>
    </w:p>
    <w:p w:rsidR="00613D11" w:rsidRDefault="00613D11" w:rsidP="006174A4">
      <w:pPr>
        <w:ind w:firstLine="709"/>
        <w:jc w:val="both"/>
        <w:rPr>
          <w:color w:val="000000"/>
          <w:spacing w:val="-4"/>
          <w:sz w:val="28"/>
          <w:szCs w:val="28"/>
        </w:rPr>
      </w:pPr>
    </w:p>
    <w:p w:rsidR="00726856" w:rsidRPr="00196145" w:rsidRDefault="00726856" w:rsidP="006174A4">
      <w:pPr>
        <w:ind w:firstLine="709"/>
        <w:jc w:val="both"/>
        <w:rPr>
          <w:color w:val="000000"/>
          <w:spacing w:val="-4"/>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103"/>
        <w:gridCol w:w="2268"/>
      </w:tblGrid>
      <w:tr w:rsidR="000A4C00" w:rsidRPr="00196145" w:rsidTr="00782B2D">
        <w:trPr>
          <w:trHeight w:val="260"/>
        </w:trPr>
        <w:tc>
          <w:tcPr>
            <w:tcW w:w="2268" w:type="dxa"/>
            <w:vAlign w:val="center"/>
          </w:tcPr>
          <w:p w:rsidR="000A4C00" w:rsidRPr="00196145" w:rsidRDefault="00782B2D" w:rsidP="006174A4">
            <w:pPr>
              <w:pStyle w:val="a3"/>
              <w:spacing w:before="0" w:beforeAutospacing="0" w:after="0" w:afterAutospacing="0"/>
              <w:ind w:firstLine="34"/>
              <w:jc w:val="center"/>
              <w:rPr>
                <w:b/>
                <w:color w:val="auto"/>
                <w:sz w:val="28"/>
                <w:szCs w:val="28"/>
                <w:lang w:val="uk-UA"/>
              </w:rPr>
            </w:pPr>
            <w:r>
              <w:rPr>
                <w:b/>
                <w:color w:val="auto"/>
                <w:sz w:val="28"/>
                <w:szCs w:val="28"/>
                <w:lang w:val="uk-UA"/>
              </w:rPr>
              <w:lastRenderedPageBreak/>
              <w:t xml:space="preserve">Об’єкт </w:t>
            </w:r>
            <w:r w:rsidR="000A4C00" w:rsidRPr="00196145">
              <w:rPr>
                <w:b/>
                <w:color w:val="auto"/>
                <w:sz w:val="28"/>
                <w:szCs w:val="28"/>
                <w:lang w:val="uk-UA"/>
              </w:rPr>
              <w:t>впливу</w:t>
            </w:r>
          </w:p>
        </w:tc>
        <w:tc>
          <w:tcPr>
            <w:tcW w:w="5103" w:type="dxa"/>
            <w:vAlign w:val="center"/>
          </w:tcPr>
          <w:p w:rsidR="000A4C00" w:rsidRPr="00196145" w:rsidRDefault="000A4C00" w:rsidP="006174A4">
            <w:pPr>
              <w:pStyle w:val="a3"/>
              <w:spacing w:before="0" w:beforeAutospacing="0" w:after="0" w:afterAutospacing="0"/>
              <w:ind w:firstLine="34"/>
              <w:jc w:val="center"/>
              <w:rPr>
                <w:b/>
                <w:color w:val="auto"/>
                <w:sz w:val="28"/>
                <w:szCs w:val="28"/>
                <w:lang w:val="uk-UA"/>
              </w:rPr>
            </w:pPr>
            <w:r w:rsidRPr="00196145">
              <w:rPr>
                <w:b/>
                <w:color w:val="auto"/>
                <w:sz w:val="28"/>
                <w:szCs w:val="28"/>
                <w:lang w:val="uk-UA"/>
              </w:rPr>
              <w:t>Вигоди</w:t>
            </w:r>
          </w:p>
        </w:tc>
        <w:tc>
          <w:tcPr>
            <w:tcW w:w="2268" w:type="dxa"/>
            <w:vAlign w:val="center"/>
          </w:tcPr>
          <w:p w:rsidR="000A4C00" w:rsidRPr="00196145" w:rsidRDefault="000A4C00" w:rsidP="006174A4">
            <w:pPr>
              <w:pStyle w:val="a3"/>
              <w:spacing w:before="0" w:beforeAutospacing="0" w:after="0" w:afterAutospacing="0"/>
              <w:ind w:firstLine="34"/>
              <w:jc w:val="center"/>
              <w:rPr>
                <w:b/>
                <w:color w:val="auto"/>
                <w:sz w:val="28"/>
                <w:szCs w:val="28"/>
                <w:lang w:val="uk-UA"/>
              </w:rPr>
            </w:pPr>
            <w:r w:rsidRPr="00196145">
              <w:rPr>
                <w:b/>
                <w:color w:val="auto"/>
                <w:sz w:val="28"/>
                <w:szCs w:val="28"/>
                <w:lang w:val="uk-UA"/>
              </w:rPr>
              <w:t>Витрати</w:t>
            </w:r>
          </w:p>
        </w:tc>
      </w:tr>
      <w:tr w:rsidR="000A4C00" w:rsidRPr="00196145" w:rsidTr="00782B2D">
        <w:trPr>
          <w:trHeight w:val="640"/>
        </w:trPr>
        <w:tc>
          <w:tcPr>
            <w:tcW w:w="2268" w:type="dxa"/>
          </w:tcPr>
          <w:p w:rsidR="000A4C00" w:rsidRPr="00196145" w:rsidRDefault="000A4C00" w:rsidP="00AD77F2">
            <w:pPr>
              <w:pStyle w:val="a3"/>
              <w:spacing w:before="0" w:beforeAutospacing="0" w:after="0" w:afterAutospacing="0"/>
              <w:ind w:left="34"/>
              <w:jc w:val="both"/>
              <w:rPr>
                <w:color w:val="auto"/>
                <w:sz w:val="28"/>
                <w:szCs w:val="28"/>
                <w:lang w:val="uk-UA"/>
              </w:rPr>
            </w:pPr>
            <w:r w:rsidRPr="00196145">
              <w:rPr>
                <w:color w:val="auto"/>
                <w:sz w:val="28"/>
                <w:szCs w:val="28"/>
                <w:lang w:val="uk-UA"/>
              </w:rPr>
              <w:t>Сфера інтересів держави</w:t>
            </w:r>
          </w:p>
        </w:tc>
        <w:tc>
          <w:tcPr>
            <w:tcW w:w="5103" w:type="dxa"/>
          </w:tcPr>
          <w:p w:rsidR="000A4C00" w:rsidRPr="00BF653A" w:rsidRDefault="00BF653A" w:rsidP="00AD77F2">
            <w:pPr>
              <w:pStyle w:val="a3"/>
              <w:spacing w:before="0" w:beforeAutospacing="0" w:after="0" w:afterAutospacing="0"/>
              <w:jc w:val="both"/>
              <w:rPr>
                <w:color w:val="auto"/>
                <w:sz w:val="28"/>
                <w:szCs w:val="28"/>
                <w:lang w:val="uk-UA"/>
              </w:rPr>
            </w:pPr>
            <w:r w:rsidRPr="00BF653A">
              <w:rPr>
                <w:color w:val="auto"/>
                <w:sz w:val="28"/>
                <w:szCs w:val="28"/>
                <w:lang w:val="uk-UA"/>
              </w:rPr>
              <w:t xml:space="preserve">Встановлення єдиних вимог щодо списання майна, виявленого в результаті інвентаризації як нестача, спрощення процедури списання </w:t>
            </w:r>
            <w:r w:rsidRPr="00BF653A">
              <w:rPr>
                <w:bCs/>
                <w:sz w:val="28"/>
                <w:szCs w:val="28"/>
                <w:lang w:val="uk-UA"/>
              </w:rPr>
              <w:t>повністю амортизованих основних фондів (засобів), інших необоротних матеріальних активів</w:t>
            </w:r>
          </w:p>
        </w:tc>
        <w:tc>
          <w:tcPr>
            <w:tcW w:w="2268" w:type="dxa"/>
          </w:tcPr>
          <w:p w:rsidR="000A4C00" w:rsidRPr="00196145" w:rsidRDefault="000A4C00" w:rsidP="00AD77F2">
            <w:pPr>
              <w:pStyle w:val="a3"/>
              <w:spacing w:before="0" w:beforeAutospacing="0" w:after="0" w:afterAutospacing="0"/>
              <w:ind w:left="34"/>
              <w:rPr>
                <w:color w:val="auto"/>
                <w:sz w:val="28"/>
                <w:szCs w:val="28"/>
                <w:lang w:val="uk-UA"/>
              </w:rPr>
            </w:pPr>
            <w:r w:rsidRPr="00196145">
              <w:rPr>
                <w:color w:val="auto"/>
                <w:sz w:val="28"/>
                <w:szCs w:val="28"/>
                <w:lang w:val="uk-UA"/>
              </w:rPr>
              <w:t>Додаткові витрати державного</w:t>
            </w:r>
            <w:r w:rsidR="00E95295" w:rsidRPr="00196145">
              <w:rPr>
                <w:color w:val="auto"/>
                <w:sz w:val="28"/>
                <w:szCs w:val="28"/>
                <w:lang w:val="uk-UA"/>
              </w:rPr>
              <w:t xml:space="preserve"> і місцевих</w:t>
            </w:r>
            <w:r w:rsidRPr="00196145">
              <w:rPr>
                <w:color w:val="auto"/>
                <w:sz w:val="28"/>
                <w:szCs w:val="28"/>
                <w:lang w:val="uk-UA"/>
              </w:rPr>
              <w:t xml:space="preserve"> бюджет</w:t>
            </w:r>
            <w:r w:rsidR="00E95295" w:rsidRPr="00196145">
              <w:rPr>
                <w:color w:val="auto"/>
                <w:sz w:val="28"/>
                <w:szCs w:val="28"/>
                <w:lang w:val="uk-UA"/>
              </w:rPr>
              <w:t>ів</w:t>
            </w:r>
            <w:r w:rsidRPr="00196145">
              <w:rPr>
                <w:color w:val="auto"/>
                <w:sz w:val="28"/>
                <w:szCs w:val="28"/>
                <w:lang w:val="uk-UA"/>
              </w:rPr>
              <w:t xml:space="preserve"> не виникають</w:t>
            </w:r>
          </w:p>
        </w:tc>
      </w:tr>
      <w:tr w:rsidR="00E46163" w:rsidRPr="00196145" w:rsidTr="00782B2D">
        <w:trPr>
          <w:trHeight w:val="415"/>
        </w:trPr>
        <w:tc>
          <w:tcPr>
            <w:tcW w:w="2268" w:type="dxa"/>
          </w:tcPr>
          <w:p w:rsidR="00E46163" w:rsidRPr="00196145" w:rsidRDefault="00E46163" w:rsidP="00AD77F2">
            <w:pPr>
              <w:pStyle w:val="a3"/>
              <w:spacing w:before="0" w:beforeAutospacing="0" w:after="0" w:afterAutospacing="0"/>
              <w:ind w:left="34"/>
              <w:jc w:val="both"/>
              <w:rPr>
                <w:color w:val="auto"/>
                <w:sz w:val="28"/>
                <w:szCs w:val="28"/>
                <w:lang w:val="uk-UA"/>
              </w:rPr>
            </w:pPr>
            <w:r w:rsidRPr="00196145">
              <w:rPr>
                <w:color w:val="auto"/>
                <w:sz w:val="28"/>
                <w:szCs w:val="28"/>
                <w:lang w:val="uk-UA"/>
              </w:rPr>
              <w:t>Сфера інтересів суб’єктів господарювання</w:t>
            </w:r>
          </w:p>
        </w:tc>
        <w:tc>
          <w:tcPr>
            <w:tcW w:w="5103" w:type="dxa"/>
          </w:tcPr>
          <w:p w:rsidR="00E46163" w:rsidRPr="00BF653A" w:rsidRDefault="00BF653A" w:rsidP="00AD77F2">
            <w:pPr>
              <w:pStyle w:val="a3"/>
              <w:spacing w:before="0" w:beforeAutospacing="0" w:after="0" w:afterAutospacing="0"/>
              <w:jc w:val="both"/>
              <w:rPr>
                <w:color w:val="auto"/>
                <w:sz w:val="28"/>
                <w:szCs w:val="28"/>
                <w:lang w:val="uk-UA"/>
              </w:rPr>
            </w:pPr>
            <w:r w:rsidRPr="00BF653A">
              <w:rPr>
                <w:color w:val="auto"/>
                <w:sz w:val="28"/>
                <w:szCs w:val="28"/>
                <w:lang w:val="uk-UA"/>
              </w:rPr>
              <w:t xml:space="preserve">Встановлення єдиних вимог щодо списання майна, виявленого в результаті інвентаризації як нестача, спрощення процедури списання </w:t>
            </w:r>
            <w:r w:rsidRPr="00BF653A">
              <w:rPr>
                <w:bCs/>
                <w:sz w:val="28"/>
                <w:szCs w:val="28"/>
                <w:lang w:val="uk-UA"/>
              </w:rPr>
              <w:t>повністю амортизованих основних фондів (засобів), інших необоротних матеріальних активів</w:t>
            </w:r>
          </w:p>
        </w:tc>
        <w:tc>
          <w:tcPr>
            <w:tcW w:w="2268" w:type="dxa"/>
          </w:tcPr>
          <w:p w:rsidR="00E46163" w:rsidRPr="00196145" w:rsidRDefault="00E46163" w:rsidP="00AD77F2">
            <w:pPr>
              <w:pStyle w:val="a3"/>
              <w:spacing w:before="0" w:beforeAutospacing="0" w:after="0" w:afterAutospacing="0"/>
              <w:ind w:left="34"/>
              <w:jc w:val="both"/>
              <w:rPr>
                <w:color w:val="auto"/>
                <w:sz w:val="28"/>
                <w:szCs w:val="28"/>
                <w:lang w:val="uk-UA"/>
              </w:rPr>
            </w:pPr>
            <w:r w:rsidRPr="00196145">
              <w:rPr>
                <w:color w:val="auto"/>
                <w:sz w:val="28"/>
                <w:szCs w:val="28"/>
                <w:lang w:val="uk-UA"/>
              </w:rPr>
              <w:t>Додаткові витрати суб’єктів господарювання не виникають</w:t>
            </w:r>
          </w:p>
        </w:tc>
      </w:tr>
      <w:tr w:rsidR="000A4C00" w:rsidRPr="00196145" w:rsidTr="00782B2D">
        <w:trPr>
          <w:trHeight w:val="326"/>
        </w:trPr>
        <w:tc>
          <w:tcPr>
            <w:tcW w:w="2268" w:type="dxa"/>
          </w:tcPr>
          <w:p w:rsidR="000A4C00" w:rsidRPr="00196145" w:rsidRDefault="000A4C00" w:rsidP="00AD77F2">
            <w:pPr>
              <w:pStyle w:val="a3"/>
              <w:spacing w:before="0" w:beforeAutospacing="0" w:after="0" w:afterAutospacing="0"/>
              <w:ind w:left="34"/>
              <w:jc w:val="both"/>
              <w:rPr>
                <w:color w:val="auto"/>
                <w:sz w:val="28"/>
                <w:szCs w:val="28"/>
                <w:lang w:val="uk-UA"/>
              </w:rPr>
            </w:pPr>
            <w:r w:rsidRPr="00196145">
              <w:rPr>
                <w:color w:val="auto"/>
                <w:sz w:val="28"/>
                <w:szCs w:val="28"/>
                <w:lang w:val="uk-UA"/>
              </w:rPr>
              <w:t>Сфера інтересів громадян</w:t>
            </w:r>
          </w:p>
        </w:tc>
        <w:tc>
          <w:tcPr>
            <w:tcW w:w="5103" w:type="dxa"/>
          </w:tcPr>
          <w:p w:rsidR="000A4C00" w:rsidRPr="00196145" w:rsidRDefault="000A4C00" w:rsidP="00AD77F2">
            <w:pPr>
              <w:pStyle w:val="a3"/>
              <w:spacing w:before="0" w:beforeAutospacing="0" w:after="0" w:afterAutospacing="0"/>
              <w:jc w:val="both"/>
              <w:rPr>
                <w:color w:val="auto"/>
                <w:sz w:val="28"/>
                <w:szCs w:val="28"/>
                <w:lang w:val="uk-UA"/>
              </w:rPr>
            </w:pPr>
            <w:r w:rsidRPr="00196145">
              <w:rPr>
                <w:color w:val="auto"/>
                <w:sz w:val="28"/>
                <w:szCs w:val="28"/>
                <w:lang w:val="uk-UA"/>
              </w:rPr>
              <w:t>Не зачіпає інтересів громадян</w:t>
            </w:r>
          </w:p>
        </w:tc>
        <w:tc>
          <w:tcPr>
            <w:tcW w:w="2268" w:type="dxa"/>
          </w:tcPr>
          <w:p w:rsidR="000A4C00" w:rsidRPr="00196145" w:rsidRDefault="000A4C00" w:rsidP="00AD77F2">
            <w:pPr>
              <w:pStyle w:val="a3"/>
              <w:spacing w:before="0" w:beforeAutospacing="0" w:after="0" w:afterAutospacing="0"/>
              <w:ind w:left="34"/>
              <w:jc w:val="both"/>
              <w:rPr>
                <w:color w:val="auto"/>
                <w:sz w:val="28"/>
                <w:szCs w:val="28"/>
                <w:lang w:val="uk-UA"/>
              </w:rPr>
            </w:pPr>
            <w:r w:rsidRPr="00196145">
              <w:rPr>
                <w:color w:val="auto"/>
                <w:sz w:val="28"/>
                <w:szCs w:val="28"/>
                <w:lang w:val="uk-UA"/>
              </w:rPr>
              <w:t>Витрати громадян не виникають</w:t>
            </w:r>
          </w:p>
        </w:tc>
      </w:tr>
    </w:tbl>
    <w:p w:rsidR="00E3593E" w:rsidRPr="00196145" w:rsidRDefault="00E3593E" w:rsidP="006174A4">
      <w:pPr>
        <w:pStyle w:val="a3"/>
        <w:spacing w:before="0" w:beforeAutospacing="0" w:after="0" w:afterAutospacing="0"/>
        <w:ind w:firstLine="709"/>
        <w:jc w:val="both"/>
        <w:rPr>
          <w:b/>
          <w:bCs/>
          <w:sz w:val="28"/>
          <w:szCs w:val="28"/>
          <w:lang w:val="uk-UA"/>
        </w:rPr>
      </w:pPr>
    </w:p>
    <w:p w:rsidR="000A4C00" w:rsidRPr="00196145" w:rsidRDefault="000A4C00" w:rsidP="006174A4">
      <w:pPr>
        <w:pStyle w:val="a3"/>
        <w:spacing w:before="0" w:beforeAutospacing="0" w:after="0" w:afterAutospacing="0"/>
        <w:ind w:firstLine="709"/>
        <w:jc w:val="both"/>
      </w:pPr>
      <w:r w:rsidRPr="00196145">
        <w:rPr>
          <w:b/>
          <w:bCs/>
          <w:sz w:val="28"/>
          <w:szCs w:val="28"/>
          <w:lang w:val="uk-UA"/>
        </w:rPr>
        <w:t xml:space="preserve">7. </w:t>
      </w:r>
      <w:r w:rsidR="00741FF7" w:rsidRPr="00196145">
        <w:rPr>
          <w:b/>
          <w:bCs/>
          <w:sz w:val="28"/>
          <w:szCs w:val="28"/>
          <w:lang w:val="uk-UA"/>
        </w:rPr>
        <w:t>Строк</w:t>
      </w:r>
      <w:r w:rsidRPr="00196145">
        <w:rPr>
          <w:b/>
          <w:bCs/>
          <w:sz w:val="28"/>
          <w:szCs w:val="28"/>
          <w:lang w:val="uk-UA"/>
        </w:rPr>
        <w:t xml:space="preserve"> дії акта</w:t>
      </w:r>
    </w:p>
    <w:p w:rsidR="000A4C00" w:rsidRPr="00196145" w:rsidRDefault="00782B2D" w:rsidP="006174A4">
      <w:pPr>
        <w:widowControl w:val="0"/>
        <w:ind w:firstLine="709"/>
        <w:jc w:val="both"/>
        <w:rPr>
          <w:sz w:val="28"/>
          <w:szCs w:val="28"/>
        </w:rPr>
      </w:pPr>
      <w:r>
        <w:rPr>
          <w:sz w:val="28"/>
          <w:szCs w:val="28"/>
        </w:rPr>
        <w:t>Строк</w:t>
      </w:r>
      <w:r w:rsidR="000A4C00" w:rsidRPr="00196145">
        <w:rPr>
          <w:sz w:val="28"/>
          <w:szCs w:val="28"/>
        </w:rPr>
        <w:t xml:space="preserve"> дії </w:t>
      </w:r>
      <w:r>
        <w:rPr>
          <w:sz w:val="28"/>
          <w:szCs w:val="28"/>
        </w:rPr>
        <w:t>акта</w:t>
      </w:r>
      <w:r w:rsidR="00AB65B7" w:rsidRPr="00196145">
        <w:rPr>
          <w:sz w:val="28"/>
          <w:szCs w:val="28"/>
        </w:rPr>
        <w:t xml:space="preserve"> </w:t>
      </w:r>
      <w:r w:rsidR="000A4C00" w:rsidRPr="00196145">
        <w:rPr>
          <w:sz w:val="28"/>
          <w:szCs w:val="28"/>
        </w:rPr>
        <w:t xml:space="preserve"> – постійно.</w:t>
      </w:r>
    </w:p>
    <w:p w:rsidR="000A4C00" w:rsidRPr="00196145" w:rsidRDefault="00782B2D" w:rsidP="006174A4">
      <w:pPr>
        <w:widowControl w:val="0"/>
        <w:ind w:firstLine="709"/>
        <w:jc w:val="both"/>
        <w:rPr>
          <w:sz w:val="28"/>
          <w:szCs w:val="28"/>
        </w:rPr>
      </w:pPr>
      <w:r>
        <w:rPr>
          <w:sz w:val="28"/>
          <w:szCs w:val="28"/>
        </w:rPr>
        <w:t>Строк</w:t>
      </w:r>
      <w:r w:rsidRPr="00196145">
        <w:rPr>
          <w:sz w:val="28"/>
          <w:szCs w:val="28"/>
        </w:rPr>
        <w:t xml:space="preserve"> дії </w:t>
      </w:r>
      <w:r>
        <w:rPr>
          <w:sz w:val="28"/>
          <w:szCs w:val="28"/>
        </w:rPr>
        <w:t>акта</w:t>
      </w:r>
      <w:r w:rsidR="000A4C00" w:rsidRPr="00196145">
        <w:rPr>
          <w:sz w:val="28"/>
          <w:szCs w:val="28"/>
        </w:rPr>
        <w:t xml:space="preserve"> може бути обмежено лише втратою чинності </w:t>
      </w:r>
      <w:r w:rsidR="00B621E5">
        <w:rPr>
          <w:sz w:val="28"/>
          <w:szCs w:val="28"/>
        </w:rPr>
        <w:t>Порядком</w:t>
      </w:r>
      <w:r w:rsidR="000A4C00" w:rsidRPr="00196145">
        <w:rPr>
          <w:sz w:val="28"/>
          <w:szCs w:val="28"/>
        </w:rPr>
        <w:t>.</w:t>
      </w:r>
    </w:p>
    <w:p w:rsidR="000A4C00" w:rsidRPr="00C024F7" w:rsidRDefault="000A4C00" w:rsidP="006174A4">
      <w:pPr>
        <w:pStyle w:val="a3"/>
        <w:spacing w:before="0" w:beforeAutospacing="0" w:after="0" w:afterAutospacing="0"/>
        <w:ind w:firstLine="709"/>
        <w:jc w:val="both"/>
        <w:rPr>
          <w:color w:val="auto"/>
          <w:sz w:val="28"/>
          <w:szCs w:val="28"/>
          <w:lang w:val="uk-UA"/>
        </w:rPr>
      </w:pPr>
    </w:p>
    <w:p w:rsidR="000A4C00" w:rsidRPr="00196145" w:rsidRDefault="000A4C00" w:rsidP="006174A4">
      <w:pPr>
        <w:pStyle w:val="a3"/>
        <w:spacing w:before="0" w:beforeAutospacing="0" w:after="0" w:afterAutospacing="0"/>
        <w:ind w:firstLine="709"/>
        <w:jc w:val="both"/>
      </w:pPr>
      <w:r w:rsidRPr="00196145">
        <w:rPr>
          <w:b/>
          <w:bCs/>
          <w:color w:val="auto"/>
          <w:sz w:val="28"/>
          <w:szCs w:val="28"/>
          <w:lang w:val="uk-UA"/>
        </w:rPr>
        <w:t>8. Показники результативності регуляторного акта</w:t>
      </w:r>
    </w:p>
    <w:p w:rsidR="000A4C00" w:rsidRPr="00FA5532" w:rsidRDefault="000A4C00" w:rsidP="00FA5532">
      <w:pPr>
        <w:widowControl w:val="0"/>
        <w:ind w:firstLine="709"/>
        <w:jc w:val="both"/>
        <w:rPr>
          <w:color w:val="000000"/>
          <w:spacing w:val="-4"/>
          <w:sz w:val="28"/>
          <w:szCs w:val="28"/>
        </w:rPr>
      </w:pPr>
      <w:r w:rsidRPr="00196145">
        <w:rPr>
          <w:sz w:val="28"/>
          <w:szCs w:val="28"/>
        </w:rPr>
        <w:t xml:space="preserve">Реалізація </w:t>
      </w:r>
      <w:r w:rsidR="00BF653A">
        <w:rPr>
          <w:sz w:val="28"/>
          <w:szCs w:val="28"/>
        </w:rPr>
        <w:t>проекту постанови</w:t>
      </w:r>
      <w:r w:rsidR="00473A69">
        <w:rPr>
          <w:sz w:val="28"/>
          <w:szCs w:val="28"/>
        </w:rPr>
        <w:t xml:space="preserve">: </w:t>
      </w:r>
      <w:r w:rsidR="00B5662E">
        <w:rPr>
          <w:sz w:val="28"/>
          <w:szCs w:val="28"/>
        </w:rPr>
        <w:t xml:space="preserve">забезпечить встановлення </w:t>
      </w:r>
      <w:r w:rsidR="00B5662E" w:rsidRPr="00BF653A">
        <w:rPr>
          <w:sz w:val="28"/>
          <w:szCs w:val="28"/>
        </w:rPr>
        <w:t>єдиних вимог щодо списання майна, виявленого в результаті інвентаризації як нестача</w:t>
      </w:r>
      <w:r w:rsidR="00473A69">
        <w:rPr>
          <w:color w:val="000000"/>
          <w:spacing w:val="-4"/>
          <w:sz w:val="28"/>
          <w:szCs w:val="28"/>
        </w:rPr>
        <w:t xml:space="preserve">, </w:t>
      </w:r>
      <w:r w:rsidR="00B5662E" w:rsidRPr="00BF653A">
        <w:rPr>
          <w:sz w:val="28"/>
          <w:szCs w:val="28"/>
        </w:rPr>
        <w:t xml:space="preserve">спрощення процедури списання </w:t>
      </w:r>
      <w:r w:rsidR="00B5662E" w:rsidRPr="00BF653A">
        <w:rPr>
          <w:bCs/>
          <w:color w:val="000000"/>
          <w:sz w:val="28"/>
          <w:szCs w:val="28"/>
        </w:rPr>
        <w:t>повністю амортизованих основних фондів (засобів), інших необоротних матеріальних активів</w:t>
      </w:r>
      <w:r w:rsidR="00473A69">
        <w:rPr>
          <w:bCs/>
          <w:color w:val="000000"/>
          <w:sz w:val="28"/>
          <w:szCs w:val="28"/>
        </w:rPr>
        <w:t xml:space="preserve"> та </w:t>
      </w:r>
      <w:r w:rsidR="00B5662E">
        <w:rPr>
          <w:bCs/>
          <w:color w:val="000000"/>
          <w:sz w:val="28"/>
          <w:szCs w:val="28"/>
        </w:rPr>
        <w:t>можливість передачі до сфери управління місцевих органів виконавчої влади морально застарілого та фізично зношеного майна, придатного для подальшого використання;</w:t>
      </w:r>
      <w:r w:rsidR="00473A69">
        <w:rPr>
          <w:color w:val="000000"/>
          <w:spacing w:val="-4"/>
          <w:sz w:val="28"/>
          <w:szCs w:val="28"/>
        </w:rPr>
        <w:t xml:space="preserve"> </w:t>
      </w:r>
      <w:r w:rsidRPr="00196145">
        <w:rPr>
          <w:sz w:val="28"/>
          <w:szCs w:val="28"/>
        </w:rPr>
        <w:t xml:space="preserve">не потребує виділення додаткових коштів з </w:t>
      </w:r>
      <w:r w:rsidR="00281389" w:rsidRPr="00196145">
        <w:rPr>
          <w:sz w:val="28"/>
          <w:szCs w:val="28"/>
        </w:rPr>
        <w:t xml:space="preserve">державного та місцевих </w:t>
      </w:r>
      <w:r w:rsidRPr="00196145">
        <w:rPr>
          <w:sz w:val="28"/>
          <w:szCs w:val="28"/>
        </w:rPr>
        <w:t>бюджет</w:t>
      </w:r>
      <w:r w:rsidR="00281389" w:rsidRPr="00196145">
        <w:rPr>
          <w:sz w:val="28"/>
          <w:szCs w:val="28"/>
        </w:rPr>
        <w:t>ів</w:t>
      </w:r>
      <w:r w:rsidR="00473A69">
        <w:rPr>
          <w:sz w:val="28"/>
          <w:szCs w:val="28"/>
        </w:rPr>
        <w:t xml:space="preserve"> та </w:t>
      </w:r>
      <w:r w:rsidRPr="00196145">
        <w:rPr>
          <w:sz w:val="28"/>
          <w:szCs w:val="28"/>
        </w:rPr>
        <w:t>не передбачає витрачання додаткових коштів суб’єктів господарювання, пов’язаних з виконанням вимог акта</w:t>
      </w:r>
      <w:r w:rsidR="00FA5532">
        <w:rPr>
          <w:sz w:val="28"/>
          <w:szCs w:val="28"/>
        </w:rPr>
        <w:t>.</w:t>
      </w:r>
    </w:p>
    <w:p w:rsidR="000A4C00" w:rsidRPr="00196145" w:rsidRDefault="00281389" w:rsidP="006174A4">
      <w:pPr>
        <w:widowControl w:val="0"/>
        <w:ind w:firstLine="709"/>
        <w:jc w:val="both"/>
        <w:rPr>
          <w:sz w:val="28"/>
          <w:szCs w:val="28"/>
        </w:rPr>
      </w:pPr>
      <w:r w:rsidRPr="00196145">
        <w:rPr>
          <w:sz w:val="28"/>
          <w:szCs w:val="28"/>
        </w:rPr>
        <w:t>Р</w:t>
      </w:r>
      <w:r w:rsidR="000A4C00" w:rsidRPr="00196145">
        <w:rPr>
          <w:sz w:val="28"/>
          <w:szCs w:val="28"/>
        </w:rPr>
        <w:t>івень поінформованості суб</w:t>
      </w:r>
      <w:r w:rsidR="00782B2D">
        <w:rPr>
          <w:sz w:val="28"/>
          <w:szCs w:val="28"/>
        </w:rPr>
        <w:t>’</w:t>
      </w:r>
      <w:r w:rsidR="000A4C00" w:rsidRPr="00196145">
        <w:rPr>
          <w:sz w:val="28"/>
          <w:szCs w:val="28"/>
        </w:rPr>
        <w:t xml:space="preserve">єктів господарювання з основними положеннями </w:t>
      </w:r>
      <w:r w:rsidR="007924AD">
        <w:rPr>
          <w:sz w:val="28"/>
          <w:szCs w:val="28"/>
        </w:rPr>
        <w:t>проекту постанови</w:t>
      </w:r>
      <w:r w:rsidR="000A4C00" w:rsidRPr="00196145">
        <w:rPr>
          <w:sz w:val="28"/>
          <w:szCs w:val="28"/>
        </w:rPr>
        <w:t xml:space="preserve"> – середній. </w:t>
      </w:r>
      <w:r w:rsidR="00765C2B" w:rsidRPr="00196145">
        <w:rPr>
          <w:sz w:val="28"/>
          <w:szCs w:val="28"/>
        </w:rPr>
        <w:t>З</w:t>
      </w:r>
      <w:r w:rsidR="000A4C00" w:rsidRPr="00196145">
        <w:rPr>
          <w:sz w:val="28"/>
          <w:szCs w:val="28"/>
        </w:rPr>
        <w:t xml:space="preserve"> метою громадського обговорення </w:t>
      </w:r>
      <w:r w:rsidR="007924AD">
        <w:rPr>
          <w:sz w:val="28"/>
          <w:szCs w:val="28"/>
        </w:rPr>
        <w:t>проект постанови</w:t>
      </w:r>
      <w:r w:rsidR="00765C2B" w:rsidRPr="00196145">
        <w:rPr>
          <w:sz w:val="28"/>
          <w:szCs w:val="28"/>
        </w:rPr>
        <w:t xml:space="preserve"> </w:t>
      </w:r>
      <w:r w:rsidR="000A4C00" w:rsidRPr="00196145">
        <w:rPr>
          <w:sz w:val="28"/>
          <w:szCs w:val="28"/>
        </w:rPr>
        <w:t xml:space="preserve">оприлюднений на офіційній </w:t>
      </w:r>
      <w:proofErr w:type="spellStart"/>
      <w:r w:rsidR="00782B2D">
        <w:rPr>
          <w:sz w:val="28"/>
          <w:szCs w:val="28"/>
        </w:rPr>
        <w:t>веб-</w:t>
      </w:r>
      <w:r w:rsidR="000A4C00" w:rsidRPr="00196145">
        <w:rPr>
          <w:sz w:val="28"/>
          <w:szCs w:val="28"/>
        </w:rPr>
        <w:t>сторінці</w:t>
      </w:r>
      <w:proofErr w:type="spellEnd"/>
      <w:r w:rsidR="000A4C00" w:rsidRPr="00196145">
        <w:rPr>
          <w:sz w:val="28"/>
          <w:szCs w:val="28"/>
        </w:rPr>
        <w:t xml:space="preserve"> Міністерства фінансів України (</w:t>
      </w:r>
      <w:proofErr w:type="spellStart"/>
      <w:r w:rsidR="000A4C00" w:rsidRPr="00196145">
        <w:rPr>
          <w:sz w:val="28"/>
          <w:szCs w:val="28"/>
        </w:rPr>
        <w:t>www.minfin.gov.ua</w:t>
      </w:r>
      <w:proofErr w:type="spellEnd"/>
      <w:r w:rsidR="000A4C00" w:rsidRPr="00196145">
        <w:rPr>
          <w:sz w:val="28"/>
          <w:szCs w:val="28"/>
        </w:rPr>
        <w:t xml:space="preserve">) у рубриці </w:t>
      </w:r>
      <w:r w:rsidR="00765C2B" w:rsidRPr="00196145">
        <w:rPr>
          <w:sz w:val="28"/>
          <w:szCs w:val="28"/>
        </w:rPr>
        <w:t>«Законодавство</w:t>
      </w:r>
      <w:r w:rsidR="00FA5532">
        <w:rPr>
          <w:sz w:val="28"/>
          <w:szCs w:val="28"/>
        </w:rPr>
        <w:t> </w:t>
      </w:r>
      <w:r w:rsidR="00765C2B" w:rsidRPr="00196145">
        <w:rPr>
          <w:sz w:val="28"/>
          <w:szCs w:val="28"/>
        </w:rPr>
        <w:t>/</w:t>
      </w:r>
      <w:r w:rsidR="00137A5C">
        <w:rPr>
          <w:sz w:val="28"/>
          <w:szCs w:val="28"/>
        </w:rPr>
        <w:t> </w:t>
      </w:r>
      <w:r w:rsidR="00765C2B" w:rsidRPr="00196145">
        <w:rPr>
          <w:sz w:val="28"/>
          <w:szCs w:val="28"/>
        </w:rPr>
        <w:t>Проекти документів</w:t>
      </w:r>
      <w:r w:rsidR="00137A5C">
        <w:rPr>
          <w:sz w:val="28"/>
          <w:szCs w:val="28"/>
        </w:rPr>
        <w:t> </w:t>
      </w:r>
      <w:r w:rsidR="00765C2B" w:rsidRPr="00196145">
        <w:rPr>
          <w:sz w:val="28"/>
          <w:szCs w:val="28"/>
        </w:rPr>
        <w:t>/</w:t>
      </w:r>
      <w:r w:rsidR="00137A5C">
        <w:rPr>
          <w:sz w:val="28"/>
          <w:szCs w:val="28"/>
        </w:rPr>
        <w:t> </w:t>
      </w:r>
      <w:r w:rsidR="00765C2B" w:rsidRPr="00196145">
        <w:rPr>
          <w:sz w:val="28"/>
          <w:szCs w:val="28"/>
        </w:rPr>
        <w:t>Проекти регуляторних актів для обговорення</w:t>
      </w:r>
      <w:r w:rsidR="00782B2D">
        <w:rPr>
          <w:sz w:val="28"/>
          <w:szCs w:val="28"/>
        </w:rPr>
        <w:t xml:space="preserve"> – 2016</w:t>
      </w:r>
      <w:r w:rsidR="00765C2B" w:rsidRPr="00196145">
        <w:rPr>
          <w:sz w:val="28"/>
          <w:szCs w:val="28"/>
        </w:rPr>
        <w:t>» розділу «Аспекти роботи».</w:t>
      </w:r>
      <w:r w:rsidR="000A4C00" w:rsidRPr="00196145">
        <w:rPr>
          <w:sz w:val="28"/>
          <w:szCs w:val="28"/>
        </w:rPr>
        <w:t xml:space="preserve"> Соціологічні опитування не проводилися.</w:t>
      </w:r>
    </w:p>
    <w:p w:rsidR="000A4C00" w:rsidRPr="00613D11" w:rsidRDefault="000A4C00" w:rsidP="006174A4">
      <w:pPr>
        <w:widowControl w:val="0"/>
        <w:autoSpaceDE w:val="0"/>
        <w:autoSpaceDN w:val="0"/>
        <w:adjustRightInd w:val="0"/>
        <w:ind w:firstLine="709"/>
        <w:jc w:val="both"/>
        <w:rPr>
          <w:b/>
          <w:sz w:val="28"/>
          <w:szCs w:val="28"/>
          <w:lang w:val="ru-RU"/>
        </w:rPr>
      </w:pPr>
    </w:p>
    <w:p w:rsidR="000A4C00" w:rsidRPr="00196145" w:rsidRDefault="000A4C00" w:rsidP="006174A4">
      <w:pPr>
        <w:ind w:firstLine="709"/>
        <w:jc w:val="both"/>
        <w:rPr>
          <w:b/>
          <w:bCs/>
          <w:sz w:val="28"/>
          <w:szCs w:val="28"/>
        </w:rPr>
      </w:pPr>
      <w:r w:rsidRPr="00196145">
        <w:rPr>
          <w:b/>
          <w:bCs/>
          <w:sz w:val="28"/>
          <w:szCs w:val="28"/>
        </w:rPr>
        <w:t>9. Заходи, за допомогою яких буде здійснюватись відстеження результат</w:t>
      </w:r>
      <w:r w:rsidR="00782B2D">
        <w:rPr>
          <w:b/>
          <w:bCs/>
          <w:sz w:val="28"/>
          <w:szCs w:val="28"/>
        </w:rPr>
        <w:t>ивності акта</w:t>
      </w:r>
    </w:p>
    <w:p w:rsidR="000A4C00" w:rsidRPr="00196145" w:rsidRDefault="000A4C00" w:rsidP="006174A4">
      <w:pPr>
        <w:widowControl w:val="0"/>
        <w:ind w:firstLine="709"/>
        <w:jc w:val="both"/>
        <w:rPr>
          <w:sz w:val="28"/>
          <w:szCs w:val="28"/>
        </w:rPr>
      </w:pPr>
      <w:r w:rsidRPr="00196145">
        <w:rPr>
          <w:sz w:val="28"/>
          <w:szCs w:val="28"/>
        </w:rPr>
        <w:t>Відстеження результативності акт</w:t>
      </w:r>
      <w:r w:rsidR="00AB65B7" w:rsidRPr="00196145">
        <w:rPr>
          <w:sz w:val="28"/>
          <w:szCs w:val="28"/>
        </w:rPr>
        <w:t>а</w:t>
      </w:r>
      <w:r w:rsidRPr="00196145">
        <w:rPr>
          <w:sz w:val="28"/>
          <w:szCs w:val="28"/>
        </w:rPr>
        <w:t xml:space="preserve"> </w:t>
      </w:r>
      <w:r w:rsidR="00765C2B" w:rsidRPr="00196145">
        <w:rPr>
          <w:sz w:val="28"/>
          <w:szCs w:val="28"/>
        </w:rPr>
        <w:t>(у разі його прийняття)</w:t>
      </w:r>
      <w:r w:rsidRPr="00196145">
        <w:rPr>
          <w:sz w:val="28"/>
          <w:szCs w:val="28"/>
        </w:rPr>
        <w:t xml:space="preserve"> здійснюватиметься з періодичністю, визначеною Законом України «Про </w:t>
      </w:r>
      <w:r w:rsidRPr="00196145">
        <w:rPr>
          <w:sz w:val="28"/>
          <w:szCs w:val="28"/>
        </w:rPr>
        <w:lastRenderedPageBreak/>
        <w:t>засади державної регуляторної політики у сфері господарської діяльності».</w:t>
      </w:r>
    </w:p>
    <w:p w:rsidR="000A4C00" w:rsidRPr="00196145" w:rsidRDefault="000A4C00" w:rsidP="006174A4">
      <w:pPr>
        <w:widowControl w:val="0"/>
        <w:ind w:firstLine="709"/>
        <w:jc w:val="both"/>
        <w:rPr>
          <w:sz w:val="28"/>
          <w:szCs w:val="28"/>
        </w:rPr>
      </w:pPr>
      <w:r w:rsidRPr="00196145">
        <w:rPr>
          <w:sz w:val="28"/>
          <w:szCs w:val="28"/>
        </w:rPr>
        <w:t xml:space="preserve">Базове відстеження результативності акта буде проведено до </w:t>
      </w:r>
      <w:r w:rsidR="00782B2D">
        <w:rPr>
          <w:sz w:val="28"/>
          <w:szCs w:val="28"/>
        </w:rPr>
        <w:t>набрання</w:t>
      </w:r>
      <w:r w:rsidRPr="00196145">
        <w:rPr>
          <w:sz w:val="28"/>
          <w:szCs w:val="28"/>
        </w:rPr>
        <w:t xml:space="preserve"> ним чинності за соціологічним методом шляхом збору та аналізу пропозицій та зауважень суб’єктів господарювання.</w:t>
      </w:r>
    </w:p>
    <w:p w:rsidR="00AB65B7" w:rsidRPr="00196145" w:rsidRDefault="00AB65B7" w:rsidP="006174A4">
      <w:pPr>
        <w:widowControl w:val="0"/>
        <w:ind w:firstLine="709"/>
        <w:jc w:val="both"/>
        <w:rPr>
          <w:sz w:val="28"/>
          <w:szCs w:val="28"/>
        </w:rPr>
      </w:pPr>
      <w:r w:rsidRPr="00196145">
        <w:rPr>
          <w:sz w:val="28"/>
          <w:szCs w:val="28"/>
        </w:rPr>
        <w:t xml:space="preserve">Повторне відстеження планується здійснити через рік шляхом аналізу соціологічних даних, але не пізніше ніж через два роки після </w:t>
      </w:r>
      <w:r w:rsidR="00782B2D">
        <w:rPr>
          <w:sz w:val="28"/>
          <w:szCs w:val="28"/>
        </w:rPr>
        <w:t>набрання</w:t>
      </w:r>
      <w:r w:rsidRPr="00196145">
        <w:rPr>
          <w:sz w:val="28"/>
          <w:szCs w:val="28"/>
        </w:rPr>
        <w:t xml:space="preserve"> чинності регуляторним актом, у результаті якого відбудеться порівняння показників базового та повторного відстеження.</w:t>
      </w:r>
    </w:p>
    <w:p w:rsidR="00AB65B7" w:rsidRPr="00196145" w:rsidRDefault="00AB65B7" w:rsidP="006174A4">
      <w:pPr>
        <w:widowControl w:val="0"/>
        <w:ind w:firstLine="709"/>
        <w:jc w:val="both"/>
        <w:rPr>
          <w:sz w:val="28"/>
          <w:szCs w:val="28"/>
        </w:rPr>
      </w:pPr>
      <w:r w:rsidRPr="00196145">
        <w:rPr>
          <w:sz w:val="28"/>
          <w:szCs w:val="28"/>
        </w:rPr>
        <w:t>Періодичне відстеження результативності регуляторного акта здійснюватиметься раз на три роки, починаючи з дня закінчення заходів з по</w:t>
      </w:r>
      <w:r w:rsidR="00782B2D">
        <w:rPr>
          <w:sz w:val="28"/>
          <w:szCs w:val="28"/>
        </w:rPr>
        <w:t>вт</w:t>
      </w:r>
      <w:r w:rsidRPr="00196145">
        <w:rPr>
          <w:sz w:val="28"/>
          <w:szCs w:val="28"/>
        </w:rPr>
        <w:t>орного відстеження результативності цього акта.</w:t>
      </w:r>
    </w:p>
    <w:p w:rsidR="000A4C00" w:rsidRPr="00196145" w:rsidRDefault="000A4C00" w:rsidP="006174A4">
      <w:pPr>
        <w:widowControl w:val="0"/>
        <w:ind w:firstLine="709"/>
        <w:jc w:val="both"/>
        <w:rPr>
          <w:sz w:val="28"/>
          <w:szCs w:val="28"/>
        </w:rPr>
      </w:pPr>
      <w:r w:rsidRPr="00196145">
        <w:rPr>
          <w:sz w:val="28"/>
          <w:szCs w:val="28"/>
        </w:rPr>
        <w:t xml:space="preserve">У разі встановлення за результатами відстеження неврегульованих та проблемних питань буде розглядатись можливість їх </w:t>
      </w:r>
      <w:r w:rsidR="00816B58">
        <w:rPr>
          <w:sz w:val="28"/>
          <w:szCs w:val="28"/>
        </w:rPr>
        <w:t>вирішення</w:t>
      </w:r>
      <w:r w:rsidRPr="00196145">
        <w:rPr>
          <w:sz w:val="28"/>
          <w:szCs w:val="28"/>
        </w:rPr>
        <w:t xml:space="preserve"> шляхом внесення відповідних змін.</w:t>
      </w:r>
    </w:p>
    <w:p w:rsidR="00196145" w:rsidRDefault="00196145" w:rsidP="006174A4">
      <w:pPr>
        <w:pStyle w:val="a3"/>
        <w:spacing w:before="0" w:beforeAutospacing="0" w:after="0" w:afterAutospacing="0"/>
        <w:ind w:firstLine="709"/>
        <w:jc w:val="both"/>
        <w:rPr>
          <w:color w:val="auto"/>
          <w:sz w:val="28"/>
          <w:szCs w:val="28"/>
          <w:lang w:val="uk-UA"/>
        </w:rPr>
      </w:pPr>
    </w:p>
    <w:p w:rsidR="00C024F7" w:rsidRPr="00196145" w:rsidRDefault="00C024F7" w:rsidP="006174A4">
      <w:pPr>
        <w:pStyle w:val="a3"/>
        <w:spacing w:before="0" w:beforeAutospacing="0" w:after="0" w:afterAutospacing="0"/>
        <w:ind w:firstLine="709"/>
        <w:jc w:val="both"/>
        <w:rPr>
          <w:color w:val="auto"/>
          <w:sz w:val="28"/>
          <w:szCs w:val="28"/>
          <w:lang w:val="uk-UA"/>
        </w:rPr>
      </w:pPr>
    </w:p>
    <w:p w:rsidR="00816B58" w:rsidRDefault="00741FF7" w:rsidP="00196145">
      <w:pPr>
        <w:pStyle w:val="a3"/>
        <w:spacing w:before="0" w:beforeAutospacing="0" w:after="0" w:afterAutospacing="0"/>
        <w:jc w:val="both"/>
        <w:rPr>
          <w:b/>
          <w:color w:val="auto"/>
          <w:sz w:val="28"/>
          <w:szCs w:val="28"/>
          <w:lang w:val="uk-UA"/>
        </w:rPr>
      </w:pPr>
      <w:r w:rsidRPr="00196145">
        <w:rPr>
          <w:b/>
          <w:color w:val="auto"/>
          <w:sz w:val="28"/>
          <w:szCs w:val="28"/>
          <w:lang w:val="uk-UA"/>
        </w:rPr>
        <w:t>З</w:t>
      </w:r>
      <w:r w:rsidR="000A4C00" w:rsidRPr="00196145">
        <w:rPr>
          <w:b/>
          <w:color w:val="auto"/>
          <w:sz w:val="28"/>
          <w:szCs w:val="28"/>
          <w:lang w:val="uk-UA"/>
        </w:rPr>
        <w:t xml:space="preserve">аступник Міністра </w:t>
      </w:r>
    </w:p>
    <w:p w:rsidR="00760923" w:rsidRPr="00196145" w:rsidRDefault="00816B58" w:rsidP="00196145">
      <w:pPr>
        <w:pStyle w:val="a3"/>
        <w:spacing w:before="0" w:beforeAutospacing="0" w:after="0" w:afterAutospacing="0"/>
        <w:jc w:val="both"/>
      </w:pPr>
      <w:r>
        <w:rPr>
          <w:b/>
          <w:color w:val="auto"/>
          <w:sz w:val="28"/>
          <w:szCs w:val="28"/>
          <w:lang w:val="uk-UA"/>
        </w:rPr>
        <w:t>фінансів України</w:t>
      </w:r>
      <w:r w:rsidR="000A4C00" w:rsidRPr="00196145">
        <w:rPr>
          <w:b/>
          <w:color w:val="auto"/>
          <w:sz w:val="28"/>
          <w:szCs w:val="28"/>
          <w:lang w:val="uk-UA"/>
        </w:rPr>
        <w:t xml:space="preserve"> </w:t>
      </w:r>
      <w:r>
        <w:rPr>
          <w:b/>
          <w:color w:val="auto"/>
          <w:sz w:val="28"/>
          <w:szCs w:val="28"/>
          <w:lang w:val="uk-UA"/>
        </w:rPr>
        <w:t xml:space="preserve">      </w:t>
      </w:r>
      <w:r w:rsidR="000A4C00" w:rsidRPr="00196145">
        <w:rPr>
          <w:b/>
          <w:color w:val="auto"/>
          <w:sz w:val="28"/>
          <w:szCs w:val="28"/>
          <w:lang w:val="uk-UA"/>
        </w:rPr>
        <w:t xml:space="preserve">  </w:t>
      </w:r>
      <w:r w:rsidR="00184785" w:rsidRPr="00196145">
        <w:rPr>
          <w:b/>
          <w:color w:val="auto"/>
          <w:sz w:val="28"/>
          <w:szCs w:val="28"/>
          <w:lang w:val="uk-UA"/>
        </w:rPr>
        <w:t xml:space="preserve">         </w:t>
      </w:r>
      <w:r w:rsidR="00741FF7" w:rsidRPr="00196145">
        <w:rPr>
          <w:b/>
          <w:color w:val="auto"/>
          <w:sz w:val="28"/>
          <w:szCs w:val="28"/>
          <w:lang w:val="uk-UA"/>
        </w:rPr>
        <w:t xml:space="preserve">             </w:t>
      </w:r>
      <w:r w:rsidR="00196145" w:rsidRPr="00196145">
        <w:rPr>
          <w:b/>
          <w:color w:val="auto"/>
          <w:sz w:val="28"/>
          <w:szCs w:val="28"/>
          <w:lang w:val="uk-UA"/>
        </w:rPr>
        <w:t xml:space="preserve"> </w:t>
      </w:r>
      <w:r w:rsidR="00184785" w:rsidRPr="00196145">
        <w:rPr>
          <w:b/>
          <w:color w:val="auto"/>
          <w:sz w:val="28"/>
          <w:szCs w:val="28"/>
          <w:lang w:val="uk-UA"/>
        </w:rPr>
        <w:t xml:space="preserve"> </w:t>
      </w:r>
      <w:r w:rsidR="00A7747A" w:rsidRPr="00196145">
        <w:rPr>
          <w:b/>
          <w:color w:val="auto"/>
          <w:sz w:val="28"/>
          <w:szCs w:val="28"/>
          <w:lang w:val="uk-UA"/>
        </w:rPr>
        <w:t xml:space="preserve">                 </w:t>
      </w:r>
      <w:r w:rsidR="00184785" w:rsidRPr="00196145">
        <w:rPr>
          <w:b/>
          <w:color w:val="auto"/>
          <w:sz w:val="28"/>
          <w:szCs w:val="28"/>
          <w:lang w:val="uk-UA"/>
        </w:rPr>
        <w:t xml:space="preserve">                     </w:t>
      </w:r>
      <w:r w:rsidR="000A4C00" w:rsidRPr="00196145">
        <w:rPr>
          <w:b/>
          <w:color w:val="auto"/>
          <w:sz w:val="28"/>
          <w:szCs w:val="28"/>
          <w:lang w:val="uk-UA"/>
        </w:rPr>
        <w:t xml:space="preserve"> </w:t>
      </w:r>
      <w:r w:rsidR="00FB19B0" w:rsidRPr="00196145">
        <w:rPr>
          <w:b/>
          <w:color w:val="auto"/>
          <w:sz w:val="28"/>
          <w:szCs w:val="28"/>
          <w:lang w:val="uk-UA"/>
        </w:rPr>
        <w:t xml:space="preserve">     </w:t>
      </w:r>
      <w:r w:rsidR="000A4C00" w:rsidRPr="00196145">
        <w:rPr>
          <w:b/>
          <w:color w:val="auto"/>
          <w:sz w:val="28"/>
          <w:szCs w:val="28"/>
          <w:lang w:val="uk-UA"/>
        </w:rPr>
        <w:t xml:space="preserve"> </w:t>
      </w:r>
      <w:r w:rsidR="00741FF7" w:rsidRPr="00196145">
        <w:rPr>
          <w:b/>
          <w:color w:val="auto"/>
          <w:sz w:val="28"/>
          <w:szCs w:val="28"/>
          <w:lang w:val="uk-UA"/>
        </w:rPr>
        <w:t>О. МАКЕЄВА</w:t>
      </w:r>
    </w:p>
    <w:sectPr w:rsidR="00760923" w:rsidRPr="00196145" w:rsidSect="00196145">
      <w:headerReference w:type="even" r:id="rId9"/>
      <w:headerReference w:type="default" r:id="rId10"/>
      <w:pgSz w:w="11906" w:h="16838"/>
      <w:pgMar w:top="1135" w:right="72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72" w:rsidRDefault="00411272">
      <w:r>
        <w:separator/>
      </w:r>
    </w:p>
  </w:endnote>
  <w:endnote w:type="continuationSeparator" w:id="0">
    <w:p w:rsidR="00411272" w:rsidRDefault="0041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72" w:rsidRDefault="00411272">
      <w:r>
        <w:separator/>
      </w:r>
    </w:p>
  </w:footnote>
  <w:footnote w:type="continuationSeparator" w:id="0">
    <w:p w:rsidR="00411272" w:rsidRDefault="00411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A1" w:rsidRDefault="00FB19B0" w:rsidP="00A2095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22FA1" w:rsidRDefault="0041127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A1" w:rsidRDefault="00FB19B0" w:rsidP="008C343C">
    <w:pPr>
      <w:pStyle w:val="a4"/>
      <w:framePr w:wrap="around" w:vAnchor="text" w:hAnchor="page" w:x="5981" w:y="-208"/>
      <w:rPr>
        <w:rStyle w:val="a6"/>
      </w:rPr>
    </w:pPr>
    <w:r>
      <w:rPr>
        <w:rStyle w:val="a6"/>
      </w:rPr>
      <w:fldChar w:fldCharType="begin"/>
    </w:r>
    <w:r>
      <w:rPr>
        <w:rStyle w:val="a6"/>
      </w:rPr>
      <w:instrText xml:space="preserve">PAGE  </w:instrText>
    </w:r>
    <w:r>
      <w:rPr>
        <w:rStyle w:val="a6"/>
      </w:rPr>
      <w:fldChar w:fldCharType="separate"/>
    </w:r>
    <w:r w:rsidR="00434C96">
      <w:rPr>
        <w:rStyle w:val="a6"/>
        <w:noProof/>
      </w:rPr>
      <w:t>4</w:t>
    </w:r>
    <w:r>
      <w:rPr>
        <w:rStyle w:val="a6"/>
      </w:rPr>
      <w:fldChar w:fldCharType="end"/>
    </w:r>
  </w:p>
  <w:p w:rsidR="00122FA1" w:rsidRDefault="004112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14399"/>
    <w:multiLevelType w:val="hybridMultilevel"/>
    <w:tmpl w:val="48929358"/>
    <w:lvl w:ilvl="0" w:tplc="CCD241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7CB86D82"/>
    <w:multiLevelType w:val="hybridMultilevel"/>
    <w:tmpl w:val="DED87FBC"/>
    <w:lvl w:ilvl="0" w:tplc="0D2E0DDA">
      <w:start w:val="1"/>
      <w:numFmt w:val="decimal"/>
      <w:lvlText w:val="%1."/>
      <w:lvlJc w:val="left"/>
      <w:pPr>
        <w:ind w:left="1527" w:hanging="9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00"/>
    <w:rsid w:val="0000238B"/>
    <w:rsid w:val="0004197E"/>
    <w:rsid w:val="00074A63"/>
    <w:rsid w:val="0009059D"/>
    <w:rsid w:val="000A4C00"/>
    <w:rsid w:val="000E61CF"/>
    <w:rsid w:val="00134AAC"/>
    <w:rsid w:val="00137A5C"/>
    <w:rsid w:val="0015341B"/>
    <w:rsid w:val="00156971"/>
    <w:rsid w:val="00162645"/>
    <w:rsid w:val="00184785"/>
    <w:rsid w:val="00196145"/>
    <w:rsid w:val="001C20A9"/>
    <w:rsid w:val="001D1D61"/>
    <w:rsid w:val="001D5E57"/>
    <w:rsid w:val="001E4FBB"/>
    <w:rsid w:val="001E5D99"/>
    <w:rsid w:val="0020213D"/>
    <w:rsid w:val="00204AD6"/>
    <w:rsid w:val="00244390"/>
    <w:rsid w:val="00252029"/>
    <w:rsid w:val="00263209"/>
    <w:rsid w:val="00267FC8"/>
    <w:rsid w:val="00281389"/>
    <w:rsid w:val="00283FAE"/>
    <w:rsid w:val="00284994"/>
    <w:rsid w:val="00284B8E"/>
    <w:rsid w:val="002B62DF"/>
    <w:rsid w:val="002C45D5"/>
    <w:rsid w:val="002C674A"/>
    <w:rsid w:val="00316B80"/>
    <w:rsid w:val="003179AC"/>
    <w:rsid w:val="003233FF"/>
    <w:rsid w:val="0034170B"/>
    <w:rsid w:val="00353930"/>
    <w:rsid w:val="003923C2"/>
    <w:rsid w:val="003B7F19"/>
    <w:rsid w:val="003D08F0"/>
    <w:rsid w:val="003D3A47"/>
    <w:rsid w:val="003E26B2"/>
    <w:rsid w:val="003E2F08"/>
    <w:rsid w:val="003E30A7"/>
    <w:rsid w:val="003E3F7D"/>
    <w:rsid w:val="00402B35"/>
    <w:rsid w:val="00411272"/>
    <w:rsid w:val="00434C96"/>
    <w:rsid w:val="00441854"/>
    <w:rsid w:val="00456B5D"/>
    <w:rsid w:val="0046063F"/>
    <w:rsid w:val="004712CB"/>
    <w:rsid w:val="00473A69"/>
    <w:rsid w:val="004805ED"/>
    <w:rsid w:val="00485478"/>
    <w:rsid w:val="00491417"/>
    <w:rsid w:val="0049162C"/>
    <w:rsid w:val="00492E95"/>
    <w:rsid w:val="004933C3"/>
    <w:rsid w:val="004C3E0C"/>
    <w:rsid w:val="004E25DC"/>
    <w:rsid w:val="0050249C"/>
    <w:rsid w:val="0052489F"/>
    <w:rsid w:val="005255B8"/>
    <w:rsid w:val="00526D8C"/>
    <w:rsid w:val="00544FB7"/>
    <w:rsid w:val="00563B5E"/>
    <w:rsid w:val="00583AB2"/>
    <w:rsid w:val="005871EB"/>
    <w:rsid w:val="00590562"/>
    <w:rsid w:val="005A749D"/>
    <w:rsid w:val="005A7C15"/>
    <w:rsid w:val="005B6A28"/>
    <w:rsid w:val="005F20ED"/>
    <w:rsid w:val="0060088F"/>
    <w:rsid w:val="00601856"/>
    <w:rsid w:val="0061074A"/>
    <w:rsid w:val="00613D11"/>
    <w:rsid w:val="00616413"/>
    <w:rsid w:val="006174A4"/>
    <w:rsid w:val="0062194D"/>
    <w:rsid w:val="00670EA6"/>
    <w:rsid w:val="00683480"/>
    <w:rsid w:val="006D24B4"/>
    <w:rsid w:val="006F42D1"/>
    <w:rsid w:val="006F672E"/>
    <w:rsid w:val="00705848"/>
    <w:rsid w:val="00713021"/>
    <w:rsid w:val="00726856"/>
    <w:rsid w:val="007303AF"/>
    <w:rsid w:val="00741FF7"/>
    <w:rsid w:val="00744563"/>
    <w:rsid w:val="007473AE"/>
    <w:rsid w:val="00760923"/>
    <w:rsid w:val="0076281B"/>
    <w:rsid w:val="00765C2B"/>
    <w:rsid w:val="00770D73"/>
    <w:rsid w:val="00782B2D"/>
    <w:rsid w:val="00787356"/>
    <w:rsid w:val="007924AD"/>
    <w:rsid w:val="007C6555"/>
    <w:rsid w:val="007E7031"/>
    <w:rsid w:val="007F28CC"/>
    <w:rsid w:val="008159FE"/>
    <w:rsid w:val="00816B58"/>
    <w:rsid w:val="00844E7D"/>
    <w:rsid w:val="00847D6B"/>
    <w:rsid w:val="008719C3"/>
    <w:rsid w:val="008C7CAE"/>
    <w:rsid w:val="0090046E"/>
    <w:rsid w:val="0090788F"/>
    <w:rsid w:val="00926B91"/>
    <w:rsid w:val="009405ED"/>
    <w:rsid w:val="00992A9C"/>
    <w:rsid w:val="009B0A2A"/>
    <w:rsid w:val="009C47AF"/>
    <w:rsid w:val="009C4AB1"/>
    <w:rsid w:val="009C7D17"/>
    <w:rsid w:val="009F5378"/>
    <w:rsid w:val="00A06C89"/>
    <w:rsid w:val="00A0720C"/>
    <w:rsid w:val="00A16492"/>
    <w:rsid w:val="00A46499"/>
    <w:rsid w:val="00A54892"/>
    <w:rsid w:val="00A608CC"/>
    <w:rsid w:val="00A7109D"/>
    <w:rsid w:val="00A7747A"/>
    <w:rsid w:val="00A861E9"/>
    <w:rsid w:val="00AA2B52"/>
    <w:rsid w:val="00AB65B7"/>
    <w:rsid w:val="00AD77F2"/>
    <w:rsid w:val="00AE0017"/>
    <w:rsid w:val="00AF5375"/>
    <w:rsid w:val="00AF707B"/>
    <w:rsid w:val="00B24122"/>
    <w:rsid w:val="00B2578B"/>
    <w:rsid w:val="00B342D7"/>
    <w:rsid w:val="00B4367C"/>
    <w:rsid w:val="00B5662E"/>
    <w:rsid w:val="00B574B5"/>
    <w:rsid w:val="00B621E5"/>
    <w:rsid w:val="00B823E1"/>
    <w:rsid w:val="00BA2BAF"/>
    <w:rsid w:val="00BC3105"/>
    <w:rsid w:val="00BF0FB0"/>
    <w:rsid w:val="00BF653A"/>
    <w:rsid w:val="00C024F7"/>
    <w:rsid w:val="00C025FC"/>
    <w:rsid w:val="00C5125E"/>
    <w:rsid w:val="00C55E91"/>
    <w:rsid w:val="00C66ACC"/>
    <w:rsid w:val="00C8055F"/>
    <w:rsid w:val="00CB44FC"/>
    <w:rsid w:val="00D24AED"/>
    <w:rsid w:val="00D36AB6"/>
    <w:rsid w:val="00D55B25"/>
    <w:rsid w:val="00D77C42"/>
    <w:rsid w:val="00D84B5F"/>
    <w:rsid w:val="00D86951"/>
    <w:rsid w:val="00DA7398"/>
    <w:rsid w:val="00DB2B86"/>
    <w:rsid w:val="00DD5383"/>
    <w:rsid w:val="00DE71EB"/>
    <w:rsid w:val="00DE7330"/>
    <w:rsid w:val="00DF5DC7"/>
    <w:rsid w:val="00E277C8"/>
    <w:rsid w:val="00E3593E"/>
    <w:rsid w:val="00E37829"/>
    <w:rsid w:val="00E46163"/>
    <w:rsid w:val="00E95295"/>
    <w:rsid w:val="00EB3010"/>
    <w:rsid w:val="00ED728A"/>
    <w:rsid w:val="00F1258D"/>
    <w:rsid w:val="00F22985"/>
    <w:rsid w:val="00F4263A"/>
    <w:rsid w:val="00F87B2E"/>
    <w:rsid w:val="00F96DCD"/>
    <w:rsid w:val="00FA3EC3"/>
    <w:rsid w:val="00FA5532"/>
    <w:rsid w:val="00FB0F20"/>
    <w:rsid w:val="00FB19B0"/>
    <w:rsid w:val="00FB7B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C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4C00"/>
    <w:pPr>
      <w:spacing w:before="100" w:beforeAutospacing="1" w:after="100" w:afterAutospacing="1"/>
    </w:pPr>
    <w:rPr>
      <w:color w:val="000000"/>
      <w:lang w:val="ru-RU"/>
    </w:rPr>
  </w:style>
  <w:style w:type="paragraph" w:styleId="a4">
    <w:name w:val="header"/>
    <w:basedOn w:val="a"/>
    <w:link w:val="a5"/>
    <w:rsid w:val="000A4C00"/>
    <w:pPr>
      <w:tabs>
        <w:tab w:val="center" w:pos="4677"/>
        <w:tab w:val="right" w:pos="9355"/>
      </w:tabs>
    </w:pPr>
  </w:style>
  <w:style w:type="character" w:customStyle="1" w:styleId="a5">
    <w:name w:val="Верхній колонтитул Знак"/>
    <w:basedOn w:val="a0"/>
    <w:link w:val="a4"/>
    <w:rsid w:val="000A4C00"/>
    <w:rPr>
      <w:rFonts w:ascii="Times New Roman" w:eastAsia="Times New Roman" w:hAnsi="Times New Roman" w:cs="Times New Roman"/>
      <w:sz w:val="24"/>
      <w:szCs w:val="24"/>
      <w:lang w:eastAsia="ru-RU"/>
    </w:rPr>
  </w:style>
  <w:style w:type="character" w:styleId="a6">
    <w:name w:val="page number"/>
    <w:basedOn w:val="a0"/>
    <w:rsid w:val="000A4C00"/>
  </w:style>
  <w:style w:type="paragraph" w:styleId="a7">
    <w:name w:val="List Paragraph"/>
    <w:basedOn w:val="a"/>
    <w:uiPriority w:val="34"/>
    <w:qFormat/>
    <w:rsid w:val="000A4C00"/>
    <w:pPr>
      <w:ind w:left="720"/>
      <w:contextualSpacing/>
    </w:pPr>
  </w:style>
  <w:style w:type="paragraph" w:styleId="a8">
    <w:name w:val="Balloon Text"/>
    <w:basedOn w:val="a"/>
    <w:link w:val="a9"/>
    <w:uiPriority w:val="99"/>
    <w:semiHidden/>
    <w:unhideWhenUsed/>
    <w:rsid w:val="0090046E"/>
    <w:rPr>
      <w:rFonts w:ascii="Tahoma" w:hAnsi="Tahoma" w:cs="Tahoma"/>
      <w:sz w:val="16"/>
      <w:szCs w:val="16"/>
    </w:rPr>
  </w:style>
  <w:style w:type="character" w:customStyle="1" w:styleId="a9">
    <w:name w:val="Текст у виносці Знак"/>
    <w:basedOn w:val="a0"/>
    <w:link w:val="a8"/>
    <w:uiPriority w:val="99"/>
    <w:semiHidden/>
    <w:rsid w:val="0090046E"/>
    <w:rPr>
      <w:rFonts w:ascii="Tahoma" w:eastAsia="Times New Roman" w:hAnsi="Tahoma" w:cs="Tahoma"/>
      <w:sz w:val="16"/>
      <w:szCs w:val="16"/>
      <w:lang w:eastAsia="ru-RU"/>
    </w:rPr>
  </w:style>
  <w:style w:type="paragraph" w:styleId="aa">
    <w:name w:val="footer"/>
    <w:basedOn w:val="a"/>
    <w:link w:val="ab"/>
    <w:uiPriority w:val="99"/>
    <w:unhideWhenUsed/>
    <w:rsid w:val="00765C2B"/>
    <w:pPr>
      <w:tabs>
        <w:tab w:val="center" w:pos="4819"/>
        <w:tab w:val="right" w:pos="9639"/>
      </w:tabs>
    </w:pPr>
  </w:style>
  <w:style w:type="character" w:customStyle="1" w:styleId="ab">
    <w:name w:val="Нижній колонтитул Знак"/>
    <w:basedOn w:val="a0"/>
    <w:link w:val="aa"/>
    <w:uiPriority w:val="99"/>
    <w:rsid w:val="00765C2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C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4C00"/>
    <w:pPr>
      <w:spacing w:before="100" w:beforeAutospacing="1" w:after="100" w:afterAutospacing="1"/>
    </w:pPr>
    <w:rPr>
      <w:color w:val="000000"/>
      <w:lang w:val="ru-RU"/>
    </w:rPr>
  </w:style>
  <w:style w:type="paragraph" w:styleId="a4">
    <w:name w:val="header"/>
    <w:basedOn w:val="a"/>
    <w:link w:val="a5"/>
    <w:rsid w:val="000A4C00"/>
    <w:pPr>
      <w:tabs>
        <w:tab w:val="center" w:pos="4677"/>
        <w:tab w:val="right" w:pos="9355"/>
      </w:tabs>
    </w:pPr>
  </w:style>
  <w:style w:type="character" w:customStyle="1" w:styleId="a5">
    <w:name w:val="Верхній колонтитул Знак"/>
    <w:basedOn w:val="a0"/>
    <w:link w:val="a4"/>
    <w:rsid w:val="000A4C00"/>
    <w:rPr>
      <w:rFonts w:ascii="Times New Roman" w:eastAsia="Times New Roman" w:hAnsi="Times New Roman" w:cs="Times New Roman"/>
      <w:sz w:val="24"/>
      <w:szCs w:val="24"/>
      <w:lang w:eastAsia="ru-RU"/>
    </w:rPr>
  </w:style>
  <w:style w:type="character" w:styleId="a6">
    <w:name w:val="page number"/>
    <w:basedOn w:val="a0"/>
    <w:rsid w:val="000A4C00"/>
  </w:style>
  <w:style w:type="paragraph" w:styleId="a7">
    <w:name w:val="List Paragraph"/>
    <w:basedOn w:val="a"/>
    <w:uiPriority w:val="34"/>
    <w:qFormat/>
    <w:rsid w:val="000A4C00"/>
    <w:pPr>
      <w:ind w:left="720"/>
      <w:contextualSpacing/>
    </w:pPr>
  </w:style>
  <w:style w:type="paragraph" w:styleId="a8">
    <w:name w:val="Balloon Text"/>
    <w:basedOn w:val="a"/>
    <w:link w:val="a9"/>
    <w:uiPriority w:val="99"/>
    <w:semiHidden/>
    <w:unhideWhenUsed/>
    <w:rsid w:val="0090046E"/>
    <w:rPr>
      <w:rFonts w:ascii="Tahoma" w:hAnsi="Tahoma" w:cs="Tahoma"/>
      <w:sz w:val="16"/>
      <w:szCs w:val="16"/>
    </w:rPr>
  </w:style>
  <w:style w:type="character" w:customStyle="1" w:styleId="a9">
    <w:name w:val="Текст у виносці Знак"/>
    <w:basedOn w:val="a0"/>
    <w:link w:val="a8"/>
    <w:uiPriority w:val="99"/>
    <w:semiHidden/>
    <w:rsid w:val="0090046E"/>
    <w:rPr>
      <w:rFonts w:ascii="Tahoma" w:eastAsia="Times New Roman" w:hAnsi="Tahoma" w:cs="Tahoma"/>
      <w:sz w:val="16"/>
      <w:szCs w:val="16"/>
      <w:lang w:eastAsia="ru-RU"/>
    </w:rPr>
  </w:style>
  <w:style w:type="paragraph" w:styleId="aa">
    <w:name w:val="footer"/>
    <w:basedOn w:val="a"/>
    <w:link w:val="ab"/>
    <w:uiPriority w:val="99"/>
    <w:unhideWhenUsed/>
    <w:rsid w:val="00765C2B"/>
    <w:pPr>
      <w:tabs>
        <w:tab w:val="center" w:pos="4819"/>
        <w:tab w:val="right" w:pos="9639"/>
      </w:tabs>
    </w:pPr>
  </w:style>
  <w:style w:type="character" w:customStyle="1" w:styleId="ab">
    <w:name w:val="Нижній колонтитул Знак"/>
    <w:basedOn w:val="a0"/>
    <w:link w:val="aa"/>
    <w:uiPriority w:val="99"/>
    <w:rsid w:val="00765C2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buh.com.ua/ua/documents/oneregulations/7473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5243</Words>
  <Characters>2990</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tokareva</cp:lastModifiedBy>
  <cp:revision>16</cp:revision>
  <cp:lastPrinted>2013-06-07T10:20:00Z</cp:lastPrinted>
  <dcterms:created xsi:type="dcterms:W3CDTF">2016-02-16T15:48:00Z</dcterms:created>
  <dcterms:modified xsi:type="dcterms:W3CDTF">2016-02-24T10:06:00Z</dcterms:modified>
</cp:coreProperties>
</file>