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FB3" w:rsidRDefault="00D01FB3">
      <w:pPr>
        <w:ind w:hanging="567"/>
        <w:jc w:val="center"/>
        <w:rPr>
          <w:b/>
          <w:bCs/>
        </w:rPr>
      </w:pPr>
    </w:p>
    <w:p w:rsidR="00C97943" w:rsidRDefault="00C97943">
      <w:pPr>
        <w:ind w:hanging="567"/>
        <w:jc w:val="center"/>
        <w:rPr>
          <w:b/>
          <w:bCs/>
        </w:rPr>
      </w:pPr>
    </w:p>
    <w:p w:rsidR="00C97943" w:rsidRDefault="00C97943">
      <w:pPr>
        <w:ind w:hanging="567"/>
        <w:jc w:val="center"/>
        <w:rPr>
          <w:b/>
          <w:bCs/>
        </w:rPr>
      </w:pPr>
    </w:p>
    <w:p w:rsidR="00C97943" w:rsidRDefault="00C97943">
      <w:pPr>
        <w:ind w:hanging="567"/>
        <w:jc w:val="center"/>
        <w:rPr>
          <w:b/>
          <w:bCs/>
        </w:rPr>
      </w:pPr>
    </w:p>
    <w:p w:rsidR="00C97943" w:rsidRDefault="00C97943">
      <w:pPr>
        <w:ind w:hanging="567"/>
        <w:jc w:val="center"/>
        <w:rPr>
          <w:b/>
          <w:bCs/>
        </w:rPr>
      </w:pPr>
    </w:p>
    <w:p w:rsidR="00C97943" w:rsidRDefault="00C97943">
      <w:pPr>
        <w:ind w:hanging="567"/>
        <w:jc w:val="center"/>
        <w:rPr>
          <w:b/>
          <w:bCs/>
        </w:rPr>
      </w:pPr>
      <w:bookmarkStart w:id="0" w:name="_GoBack"/>
      <w:bookmarkEnd w:id="0"/>
    </w:p>
    <w:p w:rsidR="00D01FB3" w:rsidRDefault="00D01FB3">
      <w:pPr>
        <w:jc w:val="center"/>
        <w:rPr>
          <w:b/>
          <w:bCs/>
        </w:rPr>
      </w:pPr>
    </w:p>
    <w:p w:rsidR="00D01FB3" w:rsidRDefault="0069205D">
      <w:pPr>
        <w:jc w:val="center"/>
        <w:rPr>
          <w:b/>
          <w:bCs/>
        </w:rPr>
      </w:pPr>
      <w:r>
        <w:rPr>
          <w:b/>
          <w:bCs/>
        </w:rPr>
        <w:t>Графік проведення аукціонів з розміщення облігацій внутрішньої державної позики (ОВДП)</w:t>
      </w:r>
    </w:p>
    <w:p w:rsidR="00D01FB3" w:rsidRDefault="0069205D">
      <w:pPr>
        <w:ind w:right="283" w:firstLine="540"/>
        <w:jc w:val="center"/>
        <w:rPr>
          <w:b/>
          <w:bCs/>
        </w:rPr>
      </w:pPr>
      <w:r>
        <w:rPr>
          <w:b/>
          <w:bCs/>
        </w:rPr>
        <w:t>на жовтень 2026 року</w:t>
      </w:r>
    </w:p>
    <w:p w:rsidR="00D01FB3" w:rsidRDefault="0069205D">
      <w:pPr>
        <w:ind w:right="283" w:firstLine="540"/>
        <w:jc w:val="center"/>
        <w:rPr>
          <w:bCs/>
        </w:rPr>
      </w:pPr>
      <w:r>
        <w:rPr>
          <w:bCs/>
        </w:rPr>
        <w:t>(станом на 22.10.2026)*</w:t>
      </w:r>
    </w:p>
    <w:p w:rsidR="00D01FB3" w:rsidRDefault="00D01FB3">
      <w:pPr>
        <w:ind w:right="283"/>
        <w:rPr>
          <w:bCs/>
        </w:rPr>
      </w:pPr>
    </w:p>
    <w:tbl>
      <w:tblPr>
        <w:tblStyle w:val="aff3"/>
        <w:tblW w:w="12044" w:type="dxa"/>
        <w:jc w:val="center"/>
        <w:tblLook w:val="04A0" w:firstRow="1" w:lastRow="0" w:firstColumn="1" w:lastColumn="0" w:noHBand="0" w:noVBand="1"/>
      </w:tblPr>
      <w:tblGrid>
        <w:gridCol w:w="3255"/>
        <w:gridCol w:w="2268"/>
        <w:gridCol w:w="2268"/>
        <w:gridCol w:w="2126"/>
        <w:gridCol w:w="2127"/>
      </w:tblGrid>
      <w:tr w:rsidR="00D01FB3">
        <w:trPr>
          <w:trHeight w:val="446"/>
          <w:jc w:val="center"/>
        </w:trPr>
        <w:tc>
          <w:tcPr>
            <w:tcW w:w="3255" w:type="dxa"/>
            <w:vAlign w:val="center"/>
          </w:tcPr>
          <w:p w:rsidR="00D01FB3" w:rsidRDefault="0069205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Календарний місяць*</w:t>
            </w:r>
          </w:p>
        </w:tc>
        <w:tc>
          <w:tcPr>
            <w:tcW w:w="8789" w:type="dxa"/>
            <w:gridSpan w:val="4"/>
            <w:vAlign w:val="center"/>
          </w:tcPr>
          <w:p w:rsidR="00D01FB3" w:rsidRDefault="006920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Дати проведення розміщень та погашень ОВДП</w:t>
            </w:r>
          </w:p>
        </w:tc>
      </w:tr>
      <w:tr w:rsidR="00D01FB3">
        <w:trPr>
          <w:trHeight w:val="329"/>
          <w:jc w:val="center"/>
        </w:trPr>
        <w:tc>
          <w:tcPr>
            <w:tcW w:w="3255" w:type="dxa"/>
            <w:vMerge w:val="restart"/>
            <w:vAlign w:val="center"/>
          </w:tcPr>
          <w:p w:rsidR="00D01FB3" w:rsidRDefault="0069205D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Жовтень</w:t>
            </w:r>
          </w:p>
        </w:tc>
        <w:tc>
          <w:tcPr>
            <w:tcW w:w="2268" w:type="dxa"/>
            <w:vAlign w:val="center"/>
          </w:tcPr>
          <w:p w:rsidR="00D01FB3" w:rsidRDefault="006920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06/10/2026</w:t>
            </w:r>
          </w:p>
        </w:tc>
        <w:tc>
          <w:tcPr>
            <w:tcW w:w="2268" w:type="dxa"/>
            <w:vAlign w:val="center"/>
          </w:tcPr>
          <w:p w:rsidR="00D01FB3" w:rsidRDefault="0069205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13/10/2026</w:t>
            </w:r>
          </w:p>
        </w:tc>
        <w:tc>
          <w:tcPr>
            <w:tcW w:w="2126" w:type="dxa"/>
            <w:vAlign w:val="center"/>
          </w:tcPr>
          <w:p w:rsidR="00D01FB3" w:rsidRDefault="0069205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20/10/2026</w:t>
            </w:r>
          </w:p>
        </w:tc>
        <w:tc>
          <w:tcPr>
            <w:tcW w:w="2127" w:type="dxa"/>
            <w:vAlign w:val="center"/>
          </w:tcPr>
          <w:p w:rsidR="00D01FB3" w:rsidRDefault="006920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27/10/2026</w:t>
            </w:r>
          </w:p>
        </w:tc>
      </w:tr>
      <w:tr w:rsidR="00D01FB3">
        <w:trPr>
          <w:trHeight w:val="843"/>
          <w:jc w:val="center"/>
        </w:trPr>
        <w:tc>
          <w:tcPr>
            <w:tcW w:w="3255" w:type="dxa"/>
            <w:vMerge/>
            <w:vAlign w:val="center"/>
          </w:tcPr>
          <w:p w:rsidR="00D01FB3" w:rsidRDefault="00D01FB3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:rsidR="00D01FB3" w:rsidRDefault="0069205D">
            <w:pPr>
              <w:jc w:val="center"/>
              <w:rPr>
                <w:sz w:val="20"/>
                <w:szCs w:val="20"/>
              </w:rPr>
            </w:pPr>
            <w:bookmarkStart w:id="1" w:name="_Hlk228353473"/>
            <w:r>
              <w:rPr>
                <w:sz w:val="20"/>
                <w:szCs w:val="20"/>
              </w:rPr>
              <w:t>15/09/2027</w:t>
            </w:r>
          </w:p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UA400023911</w:t>
            </w:r>
            <w:bookmarkEnd w:id="1"/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15/09/2027</w:t>
            </w:r>
          </w:p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UA4000239115</w:t>
            </w:r>
          </w:p>
        </w:tc>
        <w:tc>
          <w:tcPr>
            <w:tcW w:w="2126" w:type="dxa"/>
            <w:vAlign w:val="center"/>
          </w:tcPr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15/09/2027</w:t>
            </w:r>
          </w:p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UA4000239115</w:t>
            </w:r>
          </w:p>
        </w:tc>
        <w:tc>
          <w:tcPr>
            <w:tcW w:w="2127" w:type="dxa"/>
            <w:vAlign w:val="center"/>
          </w:tcPr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15/09/2027</w:t>
            </w:r>
          </w:p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UA4000239115</w:t>
            </w:r>
          </w:p>
        </w:tc>
      </w:tr>
      <w:tr w:rsidR="00D01FB3">
        <w:trPr>
          <w:trHeight w:val="842"/>
          <w:jc w:val="center"/>
        </w:trPr>
        <w:tc>
          <w:tcPr>
            <w:tcW w:w="3255" w:type="dxa"/>
            <w:vMerge/>
            <w:vAlign w:val="center"/>
          </w:tcPr>
          <w:p w:rsidR="00D01FB3" w:rsidRDefault="00D01FB3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21/03/2029</w:t>
            </w:r>
          </w:p>
          <w:p w:rsidR="00D01FB3" w:rsidRDefault="006920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UA4000239131</w:t>
            </w:r>
          </w:p>
        </w:tc>
        <w:tc>
          <w:tcPr>
            <w:tcW w:w="2268" w:type="dxa"/>
            <w:vAlign w:val="center"/>
          </w:tcPr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21/03/2029</w:t>
            </w:r>
          </w:p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UA4000239131</w:t>
            </w:r>
          </w:p>
        </w:tc>
        <w:tc>
          <w:tcPr>
            <w:tcW w:w="2126" w:type="dxa"/>
            <w:vAlign w:val="center"/>
          </w:tcPr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21/03/2029</w:t>
            </w:r>
          </w:p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UA4000239131</w:t>
            </w:r>
          </w:p>
        </w:tc>
        <w:tc>
          <w:tcPr>
            <w:tcW w:w="2127" w:type="dxa"/>
            <w:vAlign w:val="center"/>
          </w:tcPr>
          <w:p w:rsidR="00D01FB3" w:rsidRDefault="0069205D">
            <w:pPr>
              <w:jc w:val="center"/>
              <w:rPr>
                <w:color w:val="000000"/>
                <w:sz w:val="20"/>
                <w:szCs w:val="22"/>
                <w:lang w:val="en-US"/>
              </w:rPr>
            </w:pPr>
            <w:r>
              <w:rPr>
                <w:color w:val="000000"/>
                <w:sz w:val="20"/>
                <w:szCs w:val="22"/>
                <w:lang w:val="en-US"/>
              </w:rPr>
              <w:t>20/02/2030</w:t>
            </w:r>
          </w:p>
          <w:p w:rsidR="00D01FB3" w:rsidRDefault="006920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2"/>
                <w:lang w:val="en-US"/>
              </w:rPr>
              <w:t>UA4000239081</w:t>
            </w:r>
          </w:p>
        </w:tc>
      </w:tr>
      <w:tr w:rsidR="00D01FB3">
        <w:trPr>
          <w:trHeight w:val="842"/>
          <w:jc w:val="center"/>
        </w:trPr>
        <w:tc>
          <w:tcPr>
            <w:tcW w:w="3255" w:type="dxa"/>
            <w:vMerge/>
            <w:vAlign w:val="center"/>
          </w:tcPr>
          <w:p w:rsidR="00D01FB3" w:rsidRDefault="00D01FB3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vAlign w:val="center"/>
          </w:tcPr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2"/>
              </w:rPr>
              <w:t>-</w:t>
            </w:r>
          </w:p>
        </w:tc>
        <w:tc>
          <w:tcPr>
            <w:tcW w:w="2127" w:type="dxa"/>
            <w:vAlign w:val="center"/>
          </w:tcPr>
          <w:p w:rsidR="00D01FB3" w:rsidRDefault="0069205D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05/12/2029</w:t>
            </w:r>
          </w:p>
          <w:p w:rsidR="00D01FB3" w:rsidRDefault="0069205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UA4000239073</w:t>
            </w:r>
          </w:p>
        </w:tc>
      </w:tr>
    </w:tbl>
    <w:p w:rsidR="00D01FB3" w:rsidRDefault="00D01FB3">
      <w:pPr>
        <w:rPr>
          <w:b/>
        </w:rPr>
      </w:pPr>
    </w:p>
    <w:p w:rsidR="00D01FB3" w:rsidRDefault="00D01FB3">
      <w:pPr>
        <w:rPr>
          <w:b/>
        </w:rPr>
      </w:pPr>
    </w:p>
    <w:p w:rsidR="00D01FB3" w:rsidRDefault="00D01FB3" w:rsidP="007B4E4B">
      <w:pPr>
        <w:rPr>
          <w:b/>
        </w:rPr>
      </w:pPr>
    </w:p>
    <w:sectPr w:rsidR="00D01FB3">
      <w:footerReference w:type="default" r:id="rId12"/>
      <w:pgSz w:w="16838" w:h="11906" w:orient="landscape"/>
      <w:pgMar w:top="568" w:right="312" w:bottom="567" w:left="567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71FC" w:rsidRDefault="00A971FC"/>
  </w:endnote>
  <w:endnote w:type="continuationSeparator" w:id="0">
    <w:p w:rsidR="00A971FC" w:rsidRDefault="00A971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1FB3" w:rsidRDefault="0069205D">
    <w:pPr>
      <w:pStyle w:val="af8"/>
      <w:rPr>
        <w:sz w:val="16"/>
        <w:szCs w:val="16"/>
      </w:rPr>
    </w:pPr>
    <w:r>
      <w:rPr>
        <w:sz w:val="16"/>
        <w:szCs w:val="16"/>
      </w:rPr>
      <w:t>*- За результатами оцінки попиту після консультацій з первинними дилерами, остаточний перелік ОВДП, що розміщуються, може коригуватися при оголошенні аукціонів</w:t>
    </w:r>
  </w:p>
  <w:p w:rsidR="00D01FB3" w:rsidRDefault="0069205D">
    <w:pPr>
      <w:spacing w:line="236" w:lineRule="auto"/>
      <w:ind w:right="547"/>
    </w:pPr>
    <w:r>
      <w:rPr>
        <w:sz w:val="16"/>
      </w:rPr>
      <w:t>** - Обсяг розміщення може бути обмежено для досягнення цільового рівня розміщення</w:t>
    </w:r>
    <w:r>
      <w:rPr>
        <w:i/>
        <w:sz w:val="16"/>
      </w:rPr>
      <w:t xml:space="preserve"> </w:t>
    </w:r>
    <w:r>
      <w:rPr>
        <w:sz w:val="16"/>
      </w:rPr>
      <w:t xml:space="preserve">облігацій </w:t>
    </w:r>
  </w:p>
  <w:p w:rsidR="00D01FB3" w:rsidRDefault="00D01FB3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71FC" w:rsidRDefault="00A971FC"/>
  </w:footnote>
  <w:footnote w:type="continuationSeparator" w:id="0">
    <w:p w:rsidR="00A971FC" w:rsidRDefault="00A971F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77CBE"/>
    <w:multiLevelType w:val="hybridMultilevel"/>
    <w:tmpl w:val="B098629E"/>
    <w:lvl w:ilvl="0" w:tplc="F634A920"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24E17D2D"/>
    <w:multiLevelType w:val="hybridMultilevel"/>
    <w:tmpl w:val="1F8476B2"/>
    <w:lvl w:ilvl="0" w:tplc="CCF2FDD2">
      <w:start w:val="1"/>
      <w:numFmt w:val="upperLetter"/>
      <w:lvlText w:val="%1."/>
      <w:lvlJc w:val="left"/>
      <w:pPr>
        <w:ind w:left="7023" w:hanging="360"/>
      </w:pPr>
    </w:lvl>
    <w:lvl w:ilvl="1" w:tplc="04220019">
      <w:start w:val="1"/>
      <w:numFmt w:val="lowerLetter"/>
      <w:lvlText w:val="%2."/>
      <w:lvlJc w:val="left"/>
      <w:pPr>
        <w:ind w:left="7743" w:hanging="360"/>
      </w:pPr>
    </w:lvl>
    <w:lvl w:ilvl="2" w:tplc="0422001B">
      <w:start w:val="1"/>
      <w:numFmt w:val="lowerRoman"/>
      <w:lvlText w:val="%3."/>
      <w:lvlJc w:val="right"/>
      <w:pPr>
        <w:ind w:left="8463" w:hanging="180"/>
      </w:pPr>
    </w:lvl>
    <w:lvl w:ilvl="3" w:tplc="0422000F">
      <w:start w:val="1"/>
      <w:numFmt w:val="decimal"/>
      <w:lvlText w:val="%4."/>
      <w:lvlJc w:val="left"/>
      <w:pPr>
        <w:ind w:left="9183" w:hanging="360"/>
      </w:pPr>
    </w:lvl>
    <w:lvl w:ilvl="4" w:tplc="04220019">
      <w:start w:val="1"/>
      <w:numFmt w:val="lowerLetter"/>
      <w:lvlText w:val="%5."/>
      <w:lvlJc w:val="left"/>
      <w:pPr>
        <w:ind w:left="9903" w:hanging="360"/>
      </w:pPr>
    </w:lvl>
    <w:lvl w:ilvl="5" w:tplc="0422001B">
      <w:start w:val="1"/>
      <w:numFmt w:val="lowerRoman"/>
      <w:lvlText w:val="%6."/>
      <w:lvlJc w:val="right"/>
      <w:pPr>
        <w:ind w:left="10623" w:hanging="180"/>
      </w:pPr>
    </w:lvl>
    <w:lvl w:ilvl="6" w:tplc="0422000F">
      <w:start w:val="1"/>
      <w:numFmt w:val="decimal"/>
      <w:lvlText w:val="%7."/>
      <w:lvlJc w:val="left"/>
      <w:pPr>
        <w:ind w:left="11343" w:hanging="360"/>
      </w:pPr>
    </w:lvl>
    <w:lvl w:ilvl="7" w:tplc="04220019">
      <w:start w:val="1"/>
      <w:numFmt w:val="lowerLetter"/>
      <w:lvlText w:val="%8."/>
      <w:lvlJc w:val="left"/>
      <w:pPr>
        <w:ind w:left="12063" w:hanging="360"/>
      </w:pPr>
    </w:lvl>
    <w:lvl w:ilvl="8" w:tplc="0422001B">
      <w:start w:val="1"/>
      <w:numFmt w:val="lowerRoman"/>
      <w:lvlText w:val="%9."/>
      <w:lvlJc w:val="right"/>
      <w:pPr>
        <w:ind w:left="12783" w:hanging="180"/>
      </w:pPr>
    </w:lvl>
  </w:abstractNum>
  <w:abstractNum w:abstractNumId="2" w15:restartNumberingAfterBreak="0">
    <w:nsid w:val="28E80416"/>
    <w:multiLevelType w:val="hybridMultilevel"/>
    <w:tmpl w:val="979CCAD4"/>
    <w:lvl w:ilvl="0" w:tplc="7B025940">
      <w:numFmt w:val="bullet"/>
      <w:lvlText w:val="-"/>
      <w:lvlJc w:val="left"/>
      <w:pPr>
        <w:ind w:left="41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13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185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57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29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01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473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45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170" w:hanging="360"/>
      </w:pPr>
      <w:rPr>
        <w:rFonts w:ascii="Wingdings" w:hAnsi="Wingdings"/>
      </w:rPr>
    </w:lvl>
  </w:abstractNum>
  <w:abstractNum w:abstractNumId="3" w15:restartNumberingAfterBreak="0">
    <w:nsid w:val="44664AC8"/>
    <w:multiLevelType w:val="hybridMultilevel"/>
    <w:tmpl w:val="506EEA6A"/>
    <w:lvl w:ilvl="0" w:tplc="2CBA4D02">
      <w:start w:val="9"/>
      <w:numFmt w:val="bullet"/>
      <w:lvlText w:val="*"/>
      <w:lvlJc w:val="left"/>
      <w:pPr>
        <w:ind w:left="927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4" w15:restartNumberingAfterBreak="0">
    <w:nsid w:val="4EBF368C"/>
    <w:multiLevelType w:val="hybridMultilevel"/>
    <w:tmpl w:val="39967DF4"/>
    <w:lvl w:ilvl="0" w:tplc="E8E41998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7F528CA"/>
    <w:multiLevelType w:val="hybridMultilevel"/>
    <w:tmpl w:val="A502C548"/>
    <w:lvl w:ilvl="0" w:tplc="5CDCFBEE">
      <w:numFmt w:val="bullet"/>
      <w:lvlText w:val="-"/>
      <w:lvlJc w:val="left"/>
      <w:pPr>
        <w:ind w:left="77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49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21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93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5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7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9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81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530" w:hanging="360"/>
      </w:pPr>
      <w:rPr>
        <w:rFonts w:ascii="Wingdings" w:hAnsi="Wingdings"/>
      </w:rPr>
    </w:lvl>
  </w:abstractNum>
  <w:abstractNum w:abstractNumId="6" w15:restartNumberingAfterBreak="0">
    <w:nsid w:val="68BD653D"/>
    <w:multiLevelType w:val="hybridMultilevel"/>
    <w:tmpl w:val="A2BCB088"/>
    <w:lvl w:ilvl="0" w:tplc="D6588C48">
      <w:numFmt w:val="bullet"/>
      <w:lvlText w:val="-"/>
      <w:lvlJc w:val="left"/>
      <w:pPr>
        <w:ind w:left="720" w:hanging="360"/>
      </w:pPr>
      <w:rPr>
        <w:rFonts w:ascii="Times New Roman" w:hAnsi="Times New Roman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FB3"/>
    <w:rsid w:val="0069205D"/>
    <w:rsid w:val="007B4E4B"/>
    <w:rsid w:val="00A971FC"/>
    <w:rsid w:val="00C97943"/>
    <w:rsid w:val="00D0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9D9E8"/>
  <w15:docId w15:val="{A1861AF6-5DBD-452C-9DC7-3B87A6F5F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qFormat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/>
      <w:sz w:val="16"/>
      <w:szCs w:val="16"/>
    </w:rPr>
  </w:style>
  <w:style w:type="paragraph" w:styleId="a4">
    <w:name w:val="List Paragraph"/>
    <w:basedOn w:val="a"/>
    <w:qFormat/>
    <w:pPr>
      <w:ind w:left="720"/>
      <w:contextualSpacing/>
    </w:pPr>
  </w:style>
  <w:style w:type="paragraph" w:styleId="a5">
    <w:name w:val="footnote text"/>
    <w:basedOn w:val="a"/>
    <w:link w:val="a6"/>
    <w:rPr>
      <w:sz w:val="20"/>
      <w:szCs w:val="20"/>
    </w:rPr>
  </w:style>
  <w:style w:type="paragraph" w:styleId="a7">
    <w:name w:val="endnote text"/>
    <w:basedOn w:val="a"/>
    <w:link w:val="a8"/>
    <w:semiHidden/>
    <w:rPr>
      <w:sz w:val="20"/>
      <w:szCs w:val="20"/>
    </w:rPr>
  </w:style>
  <w:style w:type="paragraph" w:styleId="a9">
    <w:name w:val="Body Text"/>
    <w:basedOn w:val="a"/>
    <w:link w:val="aa"/>
    <w:pPr>
      <w:jc w:val="both"/>
    </w:pPr>
    <w:rPr>
      <w:szCs w:val="20"/>
    </w:rPr>
  </w:style>
  <w:style w:type="paragraph" w:styleId="ab">
    <w:name w:val="caption"/>
    <w:basedOn w:val="a"/>
    <w:next w:val="a"/>
    <w:semiHidden/>
    <w:pPr>
      <w:spacing w:after="200"/>
    </w:pPr>
    <w:rPr>
      <w:i/>
      <w:iCs/>
      <w:color w:val="1F497D" w:themeColor="text2"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uiPriority w:val="11"/>
    <w:qFormat/>
    <w:pPr>
      <w:spacing w:after="60"/>
      <w:jc w:val="center"/>
      <w:outlineLvl w:val="1"/>
    </w:pPr>
  </w:style>
  <w:style w:type="paragraph" w:styleId="af0">
    <w:name w:val="No Spacing"/>
    <w:basedOn w:val="a"/>
    <w:qFormat/>
    <w:rPr>
      <w:szCs w:val="32"/>
    </w:rPr>
  </w:style>
  <w:style w:type="paragraph" w:styleId="af1">
    <w:name w:val="Quote"/>
    <w:basedOn w:val="a"/>
    <w:next w:val="a"/>
    <w:link w:val="af2"/>
    <w:qFormat/>
    <w:rPr>
      <w:i/>
    </w:rPr>
  </w:style>
  <w:style w:type="paragraph" w:styleId="af3">
    <w:name w:val="Intense Quote"/>
    <w:basedOn w:val="a"/>
    <w:next w:val="a"/>
    <w:link w:val="af4"/>
    <w:qFormat/>
    <w:pPr>
      <w:ind w:left="720" w:right="720"/>
    </w:pPr>
    <w:rPr>
      <w:b/>
      <w:i/>
      <w:szCs w:val="22"/>
    </w:rPr>
  </w:style>
  <w:style w:type="paragraph" w:styleId="af5">
    <w:name w:val="TOC Heading"/>
    <w:basedOn w:val="1"/>
    <w:next w:val="a"/>
    <w:semiHidden/>
    <w:qFormat/>
    <w:pPr>
      <w:outlineLvl w:val="9"/>
    </w:pPr>
  </w:style>
  <w:style w:type="paragraph" w:styleId="af6">
    <w:name w:val="header"/>
    <w:basedOn w:val="a"/>
    <w:link w:val="af7"/>
    <w:pPr>
      <w:tabs>
        <w:tab w:val="center" w:pos="4819"/>
        <w:tab w:val="right" w:pos="9639"/>
      </w:tabs>
    </w:pPr>
  </w:style>
  <w:style w:type="paragraph" w:styleId="af8">
    <w:name w:val="footer"/>
    <w:basedOn w:val="a"/>
    <w:link w:val="af9"/>
    <w:pPr>
      <w:tabs>
        <w:tab w:val="center" w:pos="4819"/>
        <w:tab w:val="right" w:pos="9639"/>
      </w:tabs>
    </w:pPr>
  </w:style>
  <w:style w:type="character" w:styleId="afa">
    <w:name w:val="line number"/>
    <w:basedOn w:val="a0"/>
    <w:semiHidden/>
  </w:style>
  <w:style w:type="character" w:styleId="afb">
    <w:name w:val="Hyperlink"/>
    <w:rPr>
      <w:color w:val="0000FF"/>
      <w:u w:val="single"/>
    </w:rPr>
  </w:style>
  <w:style w:type="character" w:customStyle="1" w:styleId="a6">
    <w:name w:val="Текст виноски Знак"/>
    <w:basedOn w:val="a0"/>
    <w:link w:val="a5"/>
    <w:rPr>
      <w:lang w:val="ru-RU" w:eastAsia="ru-RU"/>
    </w:rPr>
  </w:style>
  <w:style w:type="character" w:styleId="afc">
    <w:name w:val="footnote reference"/>
    <w:basedOn w:val="a0"/>
    <w:rPr>
      <w:vertAlign w:val="superscript"/>
    </w:rPr>
  </w:style>
  <w:style w:type="character" w:customStyle="1" w:styleId="a8">
    <w:name w:val="Текст кінцевої виноски Знак"/>
    <w:basedOn w:val="a0"/>
    <w:link w:val="a7"/>
    <w:semiHidden/>
    <w:rPr>
      <w:lang w:val="ru-RU" w:eastAsia="ru-RU"/>
    </w:rPr>
  </w:style>
  <w:style w:type="character" w:styleId="afd">
    <w:name w:val="endnote reference"/>
    <w:basedOn w:val="a0"/>
    <w:semiHidden/>
    <w:rPr>
      <w:vertAlign w:val="superscript"/>
    </w:rPr>
  </w:style>
  <w:style w:type="character" w:customStyle="1" w:styleId="aa">
    <w:name w:val="Основний текст Знак"/>
    <w:basedOn w:val="a0"/>
    <w:link w:val="a9"/>
    <w:rPr>
      <w:sz w:val="24"/>
      <w:lang w:eastAsia="ru-RU"/>
    </w:rPr>
  </w:style>
  <w:style w:type="character" w:customStyle="1" w:styleId="10">
    <w:name w:val="Заголовок 1 Знак"/>
    <w:basedOn w:val="a0"/>
    <w:link w:val="1"/>
    <w:rPr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Pr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Pr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Pr>
      <w:b/>
      <w:bCs/>
    </w:rPr>
  </w:style>
  <w:style w:type="character" w:customStyle="1" w:styleId="70">
    <w:name w:val="Заголовок 7 Знак"/>
    <w:basedOn w:val="a0"/>
    <w:link w:val="7"/>
    <w:semiHidden/>
    <w:rPr>
      <w:sz w:val="24"/>
      <w:szCs w:val="24"/>
    </w:rPr>
  </w:style>
  <w:style w:type="character" w:customStyle="1" w:styleId="80">
    <w:name w:val="Заголовок 8 Знак"/>
    <w:basedOn w:val="a0"/>
    <w:link w:val="8"/>
    <w:semiHidden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</w:style>
  <w:style w:type="character" w:customStyle="1" w:styleId="ad">
    <w:name w:val="Назва Знак"/>
    <w:basedOn w:val="a0"/>
    <w:link w:val="ac"/>
    <w:rPr>
      <w:b/>
      <w:bCs/>
      <w:kern w:val="28"/>
      <w:sz w:val="32"/>
      <w:szCs w:val="32"/>
    </w:rPr>
  </w:style>
  <w:style w:type="character" w:customStyle="1" w:styleId="af">
    <w:name w:val="Підзаголовок Знак"/>
    <w:basedOn w:val="a0"/>
    <w:link w:val="ae"/>
    <w:rPr>
      <w:sz w:val="24"/>
      <w:szCs w:val="24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Emphasis"/>
    <w:basedOn w:val="a0"/>
    <w:qFormat/>
    <w:rPr>
      <w:b/>
      <w:i/>
      <w:iCs/>
    </w:rPr>
  </w:style>
  <w:style w:type="character" w:customStyle="1" w:styleId="af2">
    <w:name w:val="Цитата Знак"/>
    <w:basedOn w:val="a0"/>
    <w:link w:val="af1"/>
    <w:rPr>
      <w:i/>
      <w:sz w:val="24"/>
      <w:szCs w:val="24"/>
    </w:rPr>
  </w:style>
  <w:style w:type="character" w:customStyle="1" w:styleId="af4">
    <w:name w:val="Насичена цитата Знак"/>
    <w:basedOn w:val="a0"/>
    <w:link w:val="af3"/>
    <w:rPr>
      <w:b/>
      <w:i/>
      <w:sz w:val="24"/>
    </w:rPr>
  </w:style>
  <w:style w:type="character" w:styleId="aff0">
    <w:name w:val="Subtle Emphasis"/>
    <w:qFormat/>
    <w:rPr>
      <w:i/>
      <w:color w:val="5A5A5A" w:themeColor="text1" w:themeTint="A5"/>
    </w:rPr>
  </w:style>
  <w:style w:type="character" w:styleId="aff1">
    <w:name w:val="Intense Emphasis"/>
    <w:basedOn w:val="a0"/>
    <w:qFormat/>
    <w:rPr>
      <w:b/>
      <w:i/>
      <w:sz w:val="24"/>
      <w:szCs w:val="24"/>
      <w:u w:val="single"/>
    </w:rPr>
  </w:style>
  <w:style w:type="character" w:customStyle="1" w:styleId="SubtleReference1">
    <w:name w:val="Subtle Reference1"/>
    <w:basedOn w:val="a0"/>
    <w:qFormat/>
    <w:rPr>
      <w:sz w:val="24"/>
      <w:szCs w:val="24"/>
      <w:u w:val="single"/>
    </w:rPr>
  </w:style>
  <w:style w:type="character" w:customStyle="1" w:styleId="IntenseReference1">
    <w:name w:val="Intense Reference1"/>
    <w:basedOn w:val="a0"/>
    <w:qFormat/>
    <w:rPr>
      <w:b/>
      <w:sz w:val="24"/>
      <w:u w:val="single"/>
    </w:rPr>
  </w:style>
  <w:style w:type="character" w:styleId="aff2">
    <w:name w:val="Book Title"/>
    <w:basedOn w:val="a0"/>
    <w:qFormat/>
    <w:rPr>
      <w:b/>
      <w:i/>
      <w:sz w:val="24"/>
      <w:szCs w:val="24"/>
    </w:rPr>
  </w:style>
  <w:style w:type="character" w:customStyle="1" w:styleId="af7">
    <w:name w:val="Верхній колонтитул Знак"/>
    <w:basedOn w:val="a0"/>
    <w:link w:val="af6"/>
    <w:rPr>
      <w:sz w:val="24"/>
      <w:szCs w:val="24"/>
    </w:rPr>
  </w:style>
  <w:style w:type="character" w:customStyle="1" w:styleId="af9">
    <w:name w:val="Нижній колонтитул Знак"/>
    <w:basedOn w:val="a0"/>
    <w:link w:val="af8"/>
    <w:rPr>
      <w:sz w:val="24"/>
      <w:szCs w:val="24"/>
    </w:rPr>
  </w:style>
  <w:style w:type="character" w:customStyle="1" w:styleId="FootnoteTextChar">
    <w:name w:val="Footnote Text Char"/>
    <w:semiHidden/>
    <w:rPr>
      <w:sz w:val="20"/>
      <w:szCs w:val="20"/>
    </w:rPr>
  </w:style>
  <w:style w:type="character" w:customStyle="1" w:styleId="EndnoteTextChar">
    <w:name w:val="Endnote Text Char"/>
    <w:semiHidden/>
    <w:rPr>
      <w:sz w:val="20"/>
      <w:szCs w:val="20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cedc1b3-a6a6-4744-bb8f-c9b717f8a9c9">MFWF-334-63455</_dlc_DocId>
    <_dlc_DocIdUrl xmlns="acedc1b3-a6a6-4744-bb8f-c9b717f8a9c9">
      <Url>http://workflow/12000/12100/12120/_layouts/DocIdRedir.aspx?ID=MFWF-334-63455</Url>
      <Description>MFWF-334-63455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FECC2-5163-47C1-AE04-AC43BB028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91C9DF-DF6E-413C-A78E-2E46ECE05C8A}">
  <ds:schemaRefs>
    <ds:schemaRef ds:uri="http://schemas.microsoft.com/office/2006/metadata/properties"/>
    <ds:schemaRef ds:uri="http://schemas.microsoft.com/office/infopath/2007/PartnerControls"/>
    <ds:schemaRef ds:uri="acedc1b3-a6a6-4744-bb8f-c9b717f8a9c9"/>
  </ds:schemaRefs>
</ds:datastoreItem>
</file>

<file path=customXml/itemProps3.xml><?xml version="1.0" encoding="utf-8"?>
<ds:datastoreItem xmlns:ds="http://schemas.openxmlformats.org/officeDocument/2006/customXml" ds:itemID="{E1F9F57D-684C-4EA5-8ACF-DE0F877CA4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A80A3D-AF31-47B7-B59D-03247A0CF21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77E31CB-29B7-4EAB-91FE-CE4C8A7BE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178</Characters>
  <Application>Microsoft Office Word</Application>
  <DocSecurity>0</DocSecurity>
  <Lines>1</Lines>
  <Paragraphs>1</Paragraphs>
  <ScaleCrop>false</ScaleCrop>
  <Company>МФУ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Графік розміщення облігацій внутрішньої державної позики (ОВДП) на травень-липень  2009 року</dc:title>
  <dc:creator>sinelnik</dc:creator>
  <cp:lastModifiedBy>САРАФАНЮК Єгор Сергійович</cp:lastModifiedBy>
  <cp:revision>5</cp:revision>
  <cp:lastPrinted>2026-09-24T09:28:00Z</cp:lastPrinted>
  <dcterms:created xsi:type="dcterms:W3CDTF">2026-10-22T14:09:00Z</dcterms:created>
  <dcterms:modified xsi:type="dcterms:W3CDTF">2026-10-23T09:15:00Z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e996d4ce-7d74-44ac-a05a-a726c1aaf9a0</vt:lpwstr>
  </property>
  <property fmtid="{D5CDD505-2E9C-101B-9397-08002B2CF9AE}" pid="3" name="ContentTypeId">
    <vt:lpwstr>0x010100999078101DEA6D49A403647DBE5E54B9</vt:lpwstr>
  </property>
</Properties>
</file>