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D9" w:rsidRPr="00896D0A" w:rsidRDefault="00A73DD9" w:rsidP="00A73DD9">
      <w:pPr>
        <w:ind w:left="5529"/>
      </w:pPr>
      <w:r w:rsidRPr="00896D0A">
        <w:t xml:space="preserve">Додаток </w:t>
      </w:r>
    </w:p>
    <w:p w:rsidR="00A73DD9" w:rsidRPr="00896D0A" w:rsidRDefault="00A73DD9" w:rsidP="0081586D">
      <w:pPr>
        <w:ind w:left="5529"/>
      </w:pPr>
      <w:r w:rsidRPr="00896D0A">
        <w:t xml:space="preserve">до Аналізу регуляторного впливу до </w:t>
      </w:r>
      <w:r w:rsidR="0046342E">
        <w:t xml:space="preserve">проєкту </w:t>
      </w:r>
      <w:r w:rsidR="0081586D">
        <w:t>постанови Кабінету Міністрів України «</w:t>
      </w:r>
      <w:r w:rsidR="003E0FF5">
        <w:t>Про затвердження вимог до облаштування та функціонування систем відеоспостереження на об’єктах підприємств, яким надано авторизації на провадження експлуатації митного складу та складу тимчасового зберігання, дозволи на провадження діяльності з експлуатації магазину безмитної торгівлі та вільної митної зони комерційного або сервісного типу</w:t>
      </w:r>
      <w:r w:rsidR="0081586D">
        <w:t>»</w:t>
      </w:r>
      <w:r w:rsidRPr="00896D0A">
        <w:t xml:space="preserve"> </w:t>
      </w:r>
    </w:p>
    <w:p w:rsidR="00A73DD9" w:rsidRPr="00896D0A" w:rsidRDefault="00A73DD9" w:rsidP="00A73DD9">
      <w:pPr>
        <w:pStyle w:val="Default"/>
        <w:tabs>
          <w:tab w:val="left" w:pos="5880"/>
        </w:tabs>
        <w:ind w:left="5529"/>
        <w:rPr>
          <w:rFonts w:eastAsia="Times New Roman"/>
          <w:color w:val="auto"/>
          <w:lang w:eastAsia="ru-RU"/>
        </w:rPr>
      </w:pPr>
      <w:r w:rsidRPr="00896D0A">
        <w:rPr>
          <w:rFonts w:eastAsia="Times New Roman"/>
          <w:color w:val="auto"/>
          <w:lang w:eastAsia="ru-RU"/>
        </w:rPr>
        <w:t>(розділ ІІІ)</w:t>
      </w:r>
    </w:p>
    <w:p w:rsidR="00A73DD9" w:rsidRDefault="00A73DD9" w:rsidP="0062070A">
      <w:pPr>
        <w:widowControl w:val="0"/>
        <w:autoSpaceDE w:val="0"/>
        <w:autoSpaceDN w:val="0"/>
        <w:adjustRightInd w:val="0"/>
        <w:rPr>
          <w:b/>
          <w:bCs/>
          <w:lang w:eastAsia="uk-UA"/>
        </w:rPr>
      </w:pPr>
    </w:p>
    <w:p w:rsidR="00A73DD9" w:rsidRPr="006D6E1C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lang w:eastAsia="uk-UA"/>
        </w:rPr>
        <w:t>ВИТРАТИ</w:t>
      </w:r>
    </w:p>
    <w:p w:rsidR="00A73DD9" w:rsidRPr="0050068A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color w:val="333333"/>
          <w:shd w:val="clear" w:color="auto" w:fill="FFFFFF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A73DD9" w:rsidRDefault="00A73DD9" w:rsidP="00A73DD9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607"/>
        <w:gridCol w:w="1134"/>
        <w:gridCol w:w="1422"/>
      </w:tblGrid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Порядковий номер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перший рік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п’ять років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847F1B" w:rsidP="00902F63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183795" w:rsidRPr="00183795">
              <w:rPr>
                <w:lang w:eastAsia="uk-UA"/>
              </w:rPr>
              <w:t xml:space="preserve"> 096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847F1B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183795" w:rsidRPr="00183795">
              <w:rPr>
                <w:lang w:eastAsia="uk-UA"/>
              </w:rPr>
              <w:t xml:space="preserve"> 480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2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3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4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5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6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lastRenderedPageBreak/>
              <w:t>7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8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 xml:space="preserve">Інше (можливі трудові втрати, пов’язані із ознайомленням працівника суб’єкта господарювання з прийнятою постановою. Для такого ознайомлення </w:t>
            </w:r>
            <w:r w:rsidR="00610796">
              <w:rPr>
                <w:lang w:eastAsia="uk-UA"/>
              </w:rPr>
              <w:t>додатково необхідно суб’єкту 1 людино-годину</w:t>
            </w:r>
            <w:r w:rsidRPr="00FD2DB6">
              <w:rPr>
                <w:lang w:eastAsia="uk-UA"/>
              </w:rPr>
              <w:t>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9C52EE" w:rsidRDefault="00610796" w:rsidP="007254AC">
            <w:pPr>
              <w:spacing w:before="150" w:after="150"/>
              <w:jc w:val="center"/>
              <w:rPr>
                <w:lang w:eastAsia="uk-UA"/>
              </w:rPr>
            </w:pPr>
            <w:r w:rsidRPr="009C52EE">
              <w:rPr>
                <w:lang w:eastAsia="uk-UA"/>
              </w:rPr>
              <w:t>48</w:t>
            </w:r>
            <w:r w:rsidR="008F36A2">
              <w:rPr>
                <w:lang w:eastAsia="uk-UA"/>
              </w:rPr>
              <w:t>*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9C52EE" w:rsidRDefault="00610796" w:rsidP="007254AC">
            <w:pPr>
              <w:spacing w:before="150" w:after="150"/>
              <w:jc w:val="center"/>
              <w:rPr>
                <w:lang w:eastAsia="uk-UA"/>
              </w:rPr>
            </w:pPr>
            <w:r w:rsidRPr="009C52EE">
              <w:rPr>
                <w:lang w:eastAsia="uk-UA"/>
              </w:rPr>
              <w:t>48</w:t>
            </w:r>
          </w:p>
          <w:p w:rsidR="00A73DD9" w:rsidRPr="009C52EE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9C52EE">
              <w:t>(припущено, що суб’єкт господарювання повинен ознайомитися лише в перший рік)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9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847F1B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183795">
              <w:rPr>
                <w:lang w:eastAsia="uk-UA"/>
              </w:rPr>
              <w:t> 144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847F1B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183795">
              <w:rPr>
                <w:lang w:eastAsia="uk-UA"/>
              </w:rPr>
              <w:t> 528</w:t>
            </w:r>
          </w:p>
        </w:tc>
      </w:tr>
      <w:tr w:rsidR="00A73DD9" w:rsidRPr="00FD2DB6" w:rsidTr="00FC1D24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10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одиниць*</w:t>
            </w:r>
            <w:r w:rsidR="00935E91">
              <w:rPr>
                <w:lang w:eastAsia="uk-U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11E7" w:rsidRPr="00446961" w:rsidRDefault="008F36A2" w:rsidP="00FC1D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104</w:t>
            </w:r>
            <w:r w:rsidR="00446961">
              <w:rPr>
                <w:lang w:val="en-US" w:eastAsia="uk-UA"/>
              </w:rPr>
              <w:t>***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11E7" w:rsidRPr="00446961" w:rsidRDefault="008F36A2" w:rsidP="00FC1D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104</w:t>
            </w:r>
            <w:r w:rsidR="00446961">
              <w:rPr>
                <w:lang w:val="en-US" w:eastAsia="uk-UA"/>
              </w:rPr>
              <w:t>***</w:t>
            </w:r>
          </w:p>
        </w:tc>
      </w:tr>
      <w:tr w:rsidR="00A73DD9" w:rsidRPr="00FD2DB6" w:rsidTr="00FC1D24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11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11E7" w:rsidRPr="00003353" w:rsidRDefault="00847F1B" w:rsidP="008F36A2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</w:t>
            </w:r>
            <w:r w:rsidR="008F36A2">
              <w:rPr>
                <w:lang w:eastAsia="uk-UA"/>
              </w:rPr>
              <w:t>262 976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11E7" w:rsidRPr="00003353" w:rsidRDefault="00847F1B" w:rsidP="00FC1D24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8F36A2">
              <w:rPr>
                <w:lang w:eastAsia="uk-UA"/>
              </w:rPr>
              <w:t> 3</w:t>
            </w:r>
            <w:r>
              <w:rPr>
                <w:lang w:eastAsia="uk-UA"/>
              </w:rPr>
              <w:t>02</w:t>
            </w:r>
            <w:r w:rsidR="008F36A2">
              <w:rPr>
                <w:lang w:eastAsia="uk-UA"/>
              </w:rPr>
              <w:t> 912</w:t>
            </w:r>
          </w:p>
        </w:tc>
      </w:tr>
    </w:tbl>
    <w:p w:rsidR="00A73DD9" w:rsidRPr="00FD2DB6" w:rsidRDefault="00A73DD9" w:rsidP="00A73DD9">
      <w:pPr>
        <w:shd w:val="clear" w:color="auto" w:fill="FFFFFF"/>
        <w:spacing w:after="150"/>
        <w:ind w:right="450"/>
        <w:rPr>
          <w:color w:val="333333"/>
          <w:lang w:eastAsia="uk-UA"/>
        </w:rPr>
      </w:pPr>
      <w:bookmarkStart w:id="0" w:name="n179"/>
      <w:bookmarkEnd w:id="0"/>
      <w:r>
        <w:rPr>
          <w:color w:val="333333"/>
          <w:lang w:eastAsia="uk-UA"/>
        </w:rPr>
        <w:br w:type="textWrapping" w:clear="all"/>
      </w:r>
      <w:r w:rsidRPr="00FD2DB6">
        <w:rPr>
          <w:color w:val="333333"/>
          <w:lang w:eastAsia="uk-UA"/>
        </w:rPr>
        <w:t>__________</w:t>
      </w:r>
    </w:p>
    <w:p w:rsidR="00A73DD9" w:rsidRPr="00FD2DB6" w:rsidRDefault="008F36A2" w:rsidP="0044696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*</w:t>
      </w:r>
      <w:r w:rsidR="00610796" w:rsidRPr="00610796">
        <w:rPr>
          <w:color w:val="000000"/>
          <w:sz w:val="20"/>
          <w:szCs w:val="20"/>
          <w:lang w:eastAsia="uk-UA"/>
        </w:rPr>
        <w:t>Для обрахунку: приймаємо за основу мінімальну заробітну плату, визначену у погодинному розмірі, що становить 48 грн/год відповідно до Закону України «Про Державний бюджет України на 2025 рік»</w:t>
      </w:r>
      <w:r w:rsidR="00A73DD9">
        <w:rPr>
          <w:color w:val="000000"/>
          <w:sz w:val="20"/>
          <w:szCs w:val="20"/>
          <w:lang w:eastAsia="uk-UA"/>
        </w:rPr>
        <w:t>.</w:t>
      </w:r>
      <w:r w:rsidR="00A73DD9" w:rsidRPr="00FD2DB6">
        <w:rPr>
          <w:color w:val="000000"/>
          <w:sz w:val="20"/>
          <w:szCs w:val="20"/>
          <w:lang w:eastAsia="uk-UA"/>
        </w:rPr>
        <w:t xml:space="preserve"> </w:t>
      </w:r>
    </w:p>
    <w:p w:rsidR="00446961" w:rsidRDefault="00935E91" w:rsidP="00446961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**</w:t>
      </w:r>
      <w:r w:rsidRPr="00935E91">
        <w:rPr>
          <w:b w:val="0"/>
          <w:bCs w:val="0"/>
          <w:sz w:val="20"/>
          <w:szCs w:val="20"/>
        </w:rPr>
        <w:t>Аналіз здійснювався лише щодо діючих підприємств (крім тимчасового окупованих територій та територій, де відбуваються бойові дії).</w:t>
      </w:r>
    </w:p>
    <w:p w:rsidR="00A73DD9" w:rsidRPr="006F3B15" w:rsidRDefault="00446961" w:rsidP="00A95848">
      <w:pPr>
        <w:pStyle w:val="3"/>
        <w:spacing w:before="0" w:beforeAutospacing="0" w:after="0" w:afterAutospacing="0"/>
        <w:jc w:val="both"/>
        <w:rPr>
          <w:lang w:eastAsia="uk-UA"/>
        </w:rPr>
      </w:pPr>
      <w:r w:rsidRPr="006F3B15">
        <w:rPr>
          <w:sz w:val="20"/>
          <w:szCs w:val="20"/>
          <w:lang w:val="ru-RU" w:eastAsia="uk-UA"/>
        </w:rPr>
        <w:t>***</w:t>
      </w:r>
      <w:r w:rsidRPr="006F3B15">
        <w:rPr>
          <w:b w:val="0"/>
          <w:sz w:val="20"/>
          <w:szCs w:val="20"/>
          <w:lang w:eastAsia="uk-UA"/>
        </w:rPr>
        <w:t>На основі даних митниць проведено попередню оцінку технічного стану засобів відеоспостереження на підприємствах, у результаті чого орієнтовно 104 суб’єкти великого та середнього бізнесу були ідентифіковані як такі, що можуть</w:t>
      </w:r>
      <w:bookmarkStart w:id="1" w:name="_GoBack"/>
      <w:bookmarkEnd w:id="1"/>
      <w:r w:rsidRPr="006F3B15">
        <w:rPr>
          <w:b w:val="0"/>
          <w:sz w:val="20"/>
          <w:szCs w:val="20"/>
          <w:lang w:eastAsia="uk-UA"/>
        </w:rPr>
        <w:t xml:space="preserve"> потребувати додаткових витрат </w:t>
      </w:r>
      <w:r w:rsidR="000A51BB" w:rsidRPr="006F3B15">
        <w:rPr>
          <w:b w:val="0"/>
          <w:sz w:val="20"/>
          <w:szCs w:val="20"/>
          <w:lang w:eastAsia="uk-UA"/>
        </w:rPr>
        <w:t>на</w:t>
      </w:r>
      <w:r w:rsidRPr="006F3B15">
        <w:rPr>
          <w:b w:val="0"/>
          <w:sz w:val="20"/>
          <w:szCs w:val="20"/>
          <w:lang w:eastAsia="uk-UA"/>
        </w:rPr>
        <w:t xml:space="preserve"> модернізацію відповідного обладнання.</w:t>
      </w:r>
      <w:r w:rsidRPr="006F3B15">
        <w:rPr>
          <w:b w:val="0"/>
          <w:sz w:val="20"/>
          <w:szCs w:val="20"/>
          <w:lang w:val="ru-RU" w:eastAsia="uk-UA"/>
        </w:rPr>
        <w:t xml:space="preserve"> </w:t>
      </w:r>
      <w:r w:rsidRPr="006F3B15">
        <w:rPr>
          <w:b w:val="0"/>
          <w:sz w:val="20"/>
          <w:szCs w:val="20"/>
          <w:lang w:eastAsia="uk-UA"/>
        </w:rPr>
        <w:t>Тобто значення використовується як середньо-репрезентативний показник потенційного кола суб’єктів середнього та великого підприємництва, які можуть зазнати найбільш відчутного регуляторного впливу у частині модернізації технічних засобів контролю</w:t>
      </w:r>
      <w:r w:rsidR="00A95848" w:rsidRPr="006F3B15">
        <w:rPr>
          <w:b w:val="0"/>
          <w:sz w:val="20"/>
          <w:szCs w:val="20"/>
          <w:lang w:eastAsia="uk-UA"/>
        </w:rPr>
        <w:t>.</w:t>
      </w:r>
    </w:p>
    <w:p w:rsidR="00A73DD9" w:rsidRPr="00DC40DA" w:rsidRDefault="00A73DD9" w:rsidP="00A73DD9">
      <w:pPr>
        <w:shd w:val="clear" w:color="auto" w:fill="FFFFFF"/>
        <w:spacing w:after="150"/>
        <w:ind w:left="450" w:right="450"/>
        <w:jc w:val="center"/>
        <w:rPr>
          <w:color w:val="333333"/>
          <w:lang w:eastAsia="uk-UA"/>
        </w:rPr>
      </w:pPr>
      <w:r w:rsidRPr="00DC40DA">
        <w:rPr>
          <w:color w:val="333333"/>
          <w:lang w:eastAsia="uk-UA"/>
        </w:rPr>
        <w:t>Розрахунок відповідних витрат на одного суб’єкта господарювання</w:t>
      </w:r>
      <w:r w:rsidR="00DB7F58">
        <w:rPr>
          <w:color w:val="333333"/>
          <w:lang w:eastAsia="uk-UA"/>
        </w:rPr>
        <w:t>*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01"/>
        <w:gridCol w:w="1658"/>
        <w:gridCol w:w="1658"/>
        <w:gridCol w:w="1712"/>
      </w:tblGrid>
      <w:tr w:rsidR="00A73DD9" w:rsidRPr="00DC40DA" w:rsidTr="002209A5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Default="00A73DD9" w:rsidP="007254AC">
            <w:pPr>
              <w:jc w:val="center"/>
              <w:rPr>
                <w:lang w:eastAsia="uk-UA"/>
              </w:rPr>
            </w:pPr>
            <w:bookmarkStart w:id="2" w:name="n180"/>
            <w:bookmarkEnd w:id="2"/>
            <w:r w:rsidRPr="00DC40DA">
              <w:rPr>
                <w:lang w:eastAsia="uk-UA"/>
              </w:rPr>
              <w:t>Вид витрат</w:t>
            </w:r>
            <w:r>
              <w:rPr>
                <w:lang w:eastAsia="uk-UA"/>
              </w:rPr>
              <w:t>:</w:t>
            </w:r>
          </w:p>
          <w:p w:rsidR="00A73DD9" w:rsidRPr="00DC40DA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 xml:space="preserve">на придбання обладнання </w:t>
            </w:r>
            <w:r w:rsidRPr="00050C29">
              <w:rPr>
                <w:lang w:val="ru-RU" w:eastAsia="uk-UA"/>
              </w:rPr>
              <w:t>(в</w:t>
            </w:r>
            <w:r w:rsidRPr="00050C29">
              <w:rPr>
                <w:lang w:eastAsia="uk-UA"/>
              </w:rPr>
              <w:t>і</w:t>
            </w:r>
            <w:r w:rsidRPr="00050C29">
              <w:rPr>
                <w:lang w:val="ru-RU" w:eastAsia="uk-UA"/>
              </w:rPr>
              <w:t>деокамер):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У перший рік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 (за рік)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2209A5" w:rsidRPr="00050C29" w:rsidTr="002209A5">
        <w:tc>
          <w:tcPr>
            <w:tcW w:w="23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09A5" w:rsidRPr="0027034C" w:rsidRDefault="00DB7F58" w:rsidP="002209A5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3E34A2">
              <w:rPr>
                <w:color w:val="000000"/>
                <w:sz w:val="22"/>
                <w:szCs w:val="22"/>
                <w:lang w:eastAsia="uk-UA"/>
              </w:rPr>
              <w:t>. </w:t>
            </w:r>
            <w:r w:rsidRPr="00DB7F58">
              <w:rPr>
                <w:color w:val="000000"/>
                <w:sz w:val="22"/>
                <w:szCs w:val="22"/>
                <w:lang w:eastAsia="uk-UA"/>
              </w:rPr>
              <w:t>Кількість СВС, які потребують удосконаленню роздільної здатності відеозображення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7F58" w:rsidRPr="00DB7F58" w:rsidRDefault="00847F1B" w:rsidP="00DB7F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12</w:t>
            </w:r>
            <w:r w:rsidR="00DB7F58" w:rsidRPr="00DB7F58">
              <w:rPr>
                <w:sz w:val="22"/>
                <w:szCs w:val="22"/>
                <w:lang w:eastAsia="uk-UA"/>
              </w:rPr>
              <w:t xml:space="preserve"> 000 грн </w:t>
            </w:r>
          </w:p>
          <w:p w:rsidR="002209A5" w:rsidRPr="0027034C" w:rsidRDefault="00847F1B" w:rsidP="00DB7F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(30</w:t>
            </w:r>
            <w:r w:rsidR="00DB7F58" w:rsidRPr="00DB7F58">
              <w:rPr>
                <w:sz w:val="22"/>
                <w:szCs w:val="22"/>
                <w:lang w:eastAsia="uk-UA"/>
              </w:rPr>
              <w:t>00**х4)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09A5" w:rsidRPr="00050C29" w:rsidRDefault="002209A5" w:rsidP="002209A5">
            <w:pPr>
              <w:jc w:val="center"/>
              <w:rPr>
                <w:lang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09A5" w:rsidRPr="00050C29" w:rsidRDefault="00847F1B" w:rsidP="002209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12</w:t>
            </w:r>
            <w:r w:rsidR="00DB7F58" w:rsidRPr="00DB7F58">
              <w:rPr>
                <w:sz w:val="22"/>
                <w:szCs w:val="22"/>
                <w:lang w:eastAsia="uk-UA"/>
              </w:rPr>
              <w:t xml:space="preserve"> 000 грн (середній термін функціонування камери за умови своєчасного технічного обслуговування, становить не менше 5 років)</w:t>
            </w:r>
          </w:p>
        </w:tc>
      </w:tr>
      <w:tr w:rsidR="006C2D3E" w:rsidRPr="00050C29" w:rsidTr="002209A5">
        <w:tc>
          <w:tcPr>
            <w:tcW w:w="23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DB7F58" w:rsidP="007A177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6C2D3E" w:rsidRPr="00050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 </w:t>
            </w:r>
            <w:r w:rsidRPr="00DB7F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Повідомленням про відключення, припинення функціонування СВС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7F58" w:rsidRDefault="00DB7F58" w:rsidP="00DB7F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96 грн</w:t>
            </w:r>
          </w:p>
          <w:p w:rsidR="006C2D3E" w:rsidRPr="00050C29" w:rsidRDefault="00DB7F58" w:rsidP="00DB7F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(2х48***)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6C2D3E" w:rsidP="006C2D3E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7F58" w:rsidRDefault="00DB7F58" w:rsidP="00DB7F58">
            <w:pPr>
              <w:jc w:val="center"/>
            </w:pPr>
            <w:r>
              <w:t>480 грн</w:t>
            </w:r>
          </w:p>
          <w:p w:rsidR="006C2D3E" w:rsidRPr="00050C29" w:rsidRDefault="00372469" w:rsidP="00DB7F58">
            <w:pPr>
              <w:jc w:val="center"/>
              <w:rPr>
                <w:lang w:eastAsia="uk-UA"/>
              </w:rPr>
            </w:pPr>
            <w:r>
              <w:t>(96х5</w:t>
            </w:r>
            <w:r w:rsidR="006C2D3E" w:rsidRPr="00610796">
              <w:t>)</w:t>
            </w:r>
          </w:p>
        </w:tc>
      </w:tr>
      <w:tr w:rsidR="006C2D3E" w:rsidRPr="00050C29" w:rsidTr="002209A5">
        <w:tc>
          <w:tcPr>
            <w:tcW w:w="23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183795" w:rsidP="006C2D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РАЗОМ (сума рядків: 1+2</w:t>
            </w:r>
            <w:r w:rsidR="006C2D3E" w:rsidRPr="00050C29">
              <w:rPr>
                <w:lang w:eastAsia="uk-UA"/>
              </w:rPr>
              <w:t>), гривень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847F1B" w:rsidP="006C2D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DB7F58" w:rsidRPr="00DB7F58">
              <w:rPr>
                <w:lang w:eastAsia="uk-UA"/>
              </w:rPr>
              <w:t xml:space="preserve"> 096 грн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6C2D3E" w:rsidP="006C2D3E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Pr="00050C29" w:rsidRDefault="00847F1B" w:rsidP="006C2D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 w:rsidR="00DB7F58" w:rsidRPr="00DB7F58">
              <w:rPr>
                <w:lang w:eastAsia="uk-UA"/>
              </w:rPr>
              <w:t xml:space="preserve"> 480 грн</w:t>
            </w:r>
          </w:p>
        </w:tc>
      </w:tr>
      <w:tr w:rsidR="006C2D3E" w:rsidRPr="00DC40DA" w:rsidTr="007254AC"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2D3E" w:rsidRDefault="006C2D3E" w:rsidP="006C2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</w:p>
          <w:p w:rsidR="008F36A2" w:rsidRDefault="00A94302" w:rsidP="00A943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*</w:t>
            </w:r>
            <w:r w:rsidR="00DB7F58">
              <w:t>А</w:t>
            </w:r>
            <w:r w:rsidR="00DB7F58" w:rsidRPr="00DB7F58">
              <w:rPr>
                <w:color w:val="000000"/>
                <w:sz w:val="20"/>
                <w:szCs w:val="20"/>
                <w:lang w:eastAsia="uk-UA"/>
              </w:rPr>
              <w:t xml:space="preserve">наліз здійснювався лише щодо діючих підприємств (крім тимчасового окупованих територій та територій, де відбуваються бойові дії). </w:t>
            </w:r>
          </w:p>
          <w:p w:rsidR="00A94302" w:rsidRPr="00A94302" w:rsidRDefault="00A94302" w:rsidP="00A943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94302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</w:t>
            </w:r>
            <w:r w:rsidR="00DB7F58" w:rsidRPr="00DB7F58">
              <w:rPr>
                <w:bCs/>
                <w:sz w:val="20"/>
                <w:szCs w:val="20"/>
              </w:rPr>
              <w:t>Вартість розрахована з урахуванням середньої вартості 4 відеокамер та відеореєстратора найбільш розповсюджених на ринку.</w:t>
            </w:r>
          </w:p>
          <w:p w:rsidR="008F36A2" w:rsidRPr="008F36A2" w:rsidRDefault="00A94302" w:rsidP="008F36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**</w:t>
            </w:r>
            <w:r w:rsidR="006C2D3E" w:rsidRPr="00050C29">
              <w:rPr>
                <w:color w:val="000000"/>
                <w:sz w:val="20"/>
                <w:szCs w:val="20"/>
                <w:lang w:eastAsia="uk-UA"/>
              </w:rPr>
              <w:t>*</w:t>
            </w:r>
            <w:r w:rsidR="008F36A2" w:rsidRPr="008F36A2">
              <w:rPr>
                <w:color w:val="000000"/>
                <w:sz w:val="20"/>
                <w:szCs w:val="20"/>
                <w:lang w:eastAsia="uk-UA"/>
              </w:rPr>
              <w:t xml:space="preserve"> Для обрахунку: приймаємо за основу мінімальну заробітну плату, визначену у погодинному розмірі, що становить 48 грн/год відповідно до Закону України «Про Державний бюджет України на 2025 рік». </w:t>
            </w:r>
          </w:p>
          <w:p w:rsidR="006C2D3E" w:rsidRPr="00050C29" w:rsidRDefault="006C2D3E" w:rsidP="006C2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</w:p>
          <w:p w:rsidR="006C2D3E" w:rsidRPr="00050C29" w:rsidRDefault="006C2D3E" w:rsidP="00A9430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6C2D3E" w:rsidRPr="00DC40DA" w:rsidTr="002209A5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C2D3E" w:rsidRPr="00DC40DA" w:rsidRDefault="006C2D3E" w:rsidP="006C2D3E">
            <w:pPr>
              <w:spacing w:before="150" w:after="150"/>
              <w:jc w:val="center"/>
              <w:rPr>
                <w:lang w:eastAsia="uk-UA"/>
              </w:rPr>
            </w:pPr>
            <w:bookmarkStart w:id="3" w:name="n181"/>
            <w:bookmarkEnd w:id="3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C2D3E" w:rsidRPr="00DC40DA" w:rsidRDefault="006C2D3E" w:rsidP="006C2D3E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C2D3E" w:rsidRPr="00DC40DA" w:rsidRDefault="006C2D3E" w:rsidP="006C2D3E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6C2D3E" w:rsidRPr="00DC40DA" w:rsidTr="002209A5">
        <w:tc>
          <w:tcPr>
            <w:tcW w:w="23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2D3E" w:rsidRPr="00DC40DA" w:rsidRDefault="006C2D3E" w:rsidP="006C2D3E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2D3E" w:rsidRPr="00DC40DA" w:rsidRDefault="006C2D3E" w:rsidP="006C2D3E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2D3E" w:rsidRPr="00DC40DA" w:rsidRDefault="006C2D3E" w:rsidP="006C2D3E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4" w:name="n182"/>
      <w:bookmarkEnd w:id="4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1"/>
        <w:gridCol w:w="1887"/>
        <w:gridCol w:w="1768"/>
        <w:gridCol w:w="1670"/>
        <w:gridCol w:w="1473"/>
      </w:tblGrid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5" w:name="n183"/>
      <w:bookmarkEnd w:id="5"/>
      <w:r w:rsidRPr="00DC40DA">
        <w:rPr>
          <w:color w:val="333333"/>
          <w:sz w:val="20"/>
          <w:szCs w:val="20"/>
          <w:lang w:eastAsia="uk-UA"/>
        </w:rPr>
        <w:t>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A73DD9" w:rsidRPr="0062070A" w:rsidRDefault="00A73DD9" w:rsidP="00A73DD9">
      <w:pPr>
        <w:shd w:val="clear" w:color="auto" w:fill="FFFFFF"/>
        <w:spacing w:after="150"/>
        <w:jc w:val="both"/>
        <w:rPr>
          <w:color w:val="333333"/>
          <w:sz w:val="16"/>
          <w:szCs w:val="16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2357"/>
        <w:gridCol w:w="1670"/>
        <w:gridCol w:w="1277"/>
        <w:gridCol w:w="1277"/>
      </w:tblGrid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6" w:name="n184"/>
            <w:bookmarkEnd w:id="6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7" w:name="n185"/>
      <w:bookmarkEnd w:id="7"/>
      <w:r w:rsidRPr="00DC40DA">
        <w:rPr>
          <w:color w:val="333333"/>
          <w:sz w:val="20"/>
          <w:szCs w:val="20"/>
          <w:lang w:eastAsia="uk-UA"/>
        </w:rPr>
        <w:lastRenderedPageBreak/>
        <w:t>__________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A73DD9" w:rsidRPr="0062070A" w:rsidRDefault="00A73DD9" w:rsidP="00A73DD9">
      <w:pPr>
        <w:shd w:val="clear" w:color="auto" w:fill="FFFFFF"/>
        <w:spacing w:after="150"/>
        <w:jc w:val="both"/>
        <w:rPr>
          <w:color w:val="333333"/>
          <w:sz w:val="16"/>
          <w:szCs w:val="16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A73DD9" w:rsidRPr="00DC40DA" w:rsidTr="009A4A1F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8" w:name="n186"/>
            <w:bookmarkEnd w:id="8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 (стартовий)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9A4A1F">
        <w:tc>
          <w:tcPr>
            <w:tcW w:w="15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A73DD9" w:rsidRPr="00DC40DA" w:rsidTr="009A4A1F"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9" w:name="n187"/>
            <w:bookmarkEnd w:id="9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рік (стартовий)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</w:t>
            </w:r>
            <w:r w:rsidRPr="00DC40DA">
              <w:rPr>
                <w:lang w:eastAsia="uk-UA"/>
              </w:rPr>
              <w:br/>
              <w:t>(за наступний рік)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9A4A1F">
        <w:tc>
          <w:tcPr>
            <w:tcW w:w="194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10" w:name="n188"/>
      <w:bookmarkEnd w:id="10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80"/>
        <w:gridCol w:w="4112"/>
        <w:gridCol w:w="1837"/>
      </w:tblGrid>
      <w:tr w:rsidR="00A73DD9" w:rsidRPr="00DC40DA" w:rsidTr="00473979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9A4A1F">
            <w:pPr>
              <w:spacing w:before="150" w:after="150"/>
              <w:ind w:left="-8" w:firstLine="8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</w:t>
            </w:r>
            <w:r w:rsidRPr="00DC40DA">
              <w:rPr>
                <w:lang w:eastAsia="uk-UA"/>
              </w:rPr>
              <w:br/>
              <w:t>п’ять років</w:t>
            </w:r>
          </w:p>
        </w:tc>
      </w:tr>
      <w:tr w:rsidR="00A73DD9" w:rsidRPr="00DC40DA" w:rsidTr="00473979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</w:tr>
    </w:tbl>
    <w:p w:rsidR="00A73DD9" w:rsidRPr="0062070A" w:rsidRDefault="00A73DD9" w:rsidP="00A73DD9">
      <w:pPr>
        <w:rPr>
          <w:sz w:val="16"/>
          <w:szCs w:val="16"/>
        </w:rPr>
      </w:pPr>
    </w:p>
    <w:p w:rsidR="008C111C" w:rsidRPr="0062070A" w:rsidRDefault="00A73DD9" w:rsidP="0062070A">
      <w:pPr>
        <w:tabs>
          <w:tab w:val="left" w:pos="4368"/>
        </w:tabs>
        <w:jc w:val="center"/>
        <w:rPr>
          <w:sz w:val="28"/>
        </w:rPr>
      </w:pPr>
      <w:r>
        <w:t>____________________________________</w:t>
      </w:r>
      <w:r>
        <w:rPr>
          <w:sz w:val="28"/>
        </w:rPr>
        <w:t>_______</w:t>
      </w:r>
    </w:p>
    <w:sectPr w:rsidR="008C111C" w:rsidRPr="0062070A" w:rsidSect="00620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07" w:rsidRDefault="00B01C07">
      <w:r>
        <w:separator/>
      </w:r>
    </w:p>
  </w:endnote>
  <w:endnote w:type="continuationSeparator" w:id="0">
    <w:p w:rsidR="00B01C07" w:rsidRDefault="00B0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B01C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B01C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B01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07" w:rsidRDefault="00B01C07">
      <w:r>
        <w:separator/>
      </w:r>
    </w:p>
  </w:footnote>
  <w:footnote w:type="continuationSeparator" w:id="0">
    <w:p w:rsidR="00B01C07" w:rsidRDefault="00B0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B01C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721476"/>
      <w:docPartObj>
        <w:docPartGallery w:val="Page Numbers (Top of Page)"/>
        <w:docPartUnique/>
      </w:docPartObj>
    </w:sdtPr>
    <w:sdtEndPr/>
    <w:sdtContent>
      <w:p w:rsidR="006D6E1C" w:rsidRDefault="00A73DD9" w:rsidP="005B68D2">
        <w:pPr>
          <w:pStyle w:val="a5"/>
          <w:jc w:val="center"/>
        </w:pPr>
        <w:r>
          <w:t xml:space="preserve">                                                   </w:t>
        </w:r>
        <w:r w:rsidR="0017668C">
          <w:fldChar w:fldCharType="begin"/>
        </w:r>
        <w:r>
          <w:instrText>PAGE   \* MERGEFORMAT</w:instrText>
        </w:r>
        <w:r w:rsidR="0017668C">
          <w:fldChar w:fldCharType="separate"/>
        </w:r>
        <w:r w:rsidR="00F066B1">
          <w:rPr>
            <w:noProof/>
          </w:rPr>
          <w:t>4</w:t>
        </w:r>
        <w:r w:rsidR="0017668C">
          <w:fldChar w:fldCharType="end"/>
        </w:r>
        <w:r>
          <w:t xml:space="preserve">                            Продовження додатка</w:t>
        </w:r>
      </w:p>
    </w:sdtContent>
  </w:sdt>
  <w:p w:rsidR="006D6E1C" w:rsidRDefault="00B01C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B01C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9"/>
    <w:rsid w:val="00020A1F"/>
    <w:rsid w:val="0009144A"/>
    <w:rsid w:val="000A51BB"/>
    <w:rsid w:val="000B532D"/>
    <w:rsid w:val="0017668C"/>
    <w:rsid w:val="00183795"/>
    <w:rsid w:val="001928DD"/>
    <w:rsid w:val="002209A5"/>
    <w:rsid w:val="002678FA"/>
    <w:rsid w:val="002840A0"/>
    <w:rsid w:val="00372469"/>
    <w:rsid w:val="0037341F"/>
    <w:rsid w:val="00380DE0"/>
    <w:rsid w:val="003A32AA"/>
    <w:rsid w:val="003E0FF5"/>
    <w:rsid w:val="003E34A2"/>
    <w:rsid w:val="003F11E7"/>
    <w:rsid w:val="00446961"/>
    <w:rsid w:val="0046342E"/>
    <w:rsid w:val="00473979"/>
    <w:rsid w:val="004F177F"/>
    <w:rsid w:val="004F3C94"/>
    <w:rsid w:val="0052499F"/>
    <w:rsid w:val="00560B69"/>
    <w:rsid w:val="005806D4"/>
    <w:rsid w:val="005D5870"/>
    <w:rsid w:val="00610796"/>
    <w:rsid w:val="0062070A"/>
    <w:rsid w:val="006B5125"/>
    <w:rsid w:val="006C2D3E"/>
    <w:rsid w:val="006C494A"/>
    <w:rsid w:val="006F3B15"/>
    <w:rsid w:val="007676A4"/>
    <w:rsid w:val="007A177E"/>
    <w:rsid w:val="007D7E56"/>
    <w:rsid w:val="008020AF"/>
    <w:rsid w:val="0081586D"/>
    <w:rsid w:val="00847F1B"/>
    <w:rsid w:val="008C111C"/>
    <w:rsid w:val="008F36A2"/>
    <w:rsid w:val="00902F63"/>
    <w:rsid w:val="00935E91"/>
    <w:rsid w:val="009A4A1F"/>
    <w:rsid w:val="009C52EE"/>
    <w:rsid w:val="009C6E8E"/>
    <w:rsid w:val="00A514E2"/>
    <w:rsid w:val="00A73DD9"/>
    <w:rsid w:val="00A93241"/>
    <w:rsid w:val="00A94302"/>
    <w:rsid w:val="00A95848"/>
    <w:rsid w:val="00B01C07"/>
    <w:rsid w:val="00B34B96"/>
    <w:rsid w:val="00B732BC"/>
    <w:rsid w:val="00BF6452"/>
    <w:rsid w:val="00C63810"/>
    <w:rsid w:val="00C75082"/>
    <w:rsid w:val="00CE1662"/>
    <w:rsid w:val="00D67DF3"/>
    <w:rsid w:val="00D71C12"/>
    <w:rsid w:val="00DA4827"/>
    <w:rsid w:val="00DB46EC"/>
    <w:rsid w:val="00DB7F58"/>
    <w:rsid w:val="00DC6E20"/>
    <w:rsid w:val="00E74BA3"/>
    <w:rsid w:val="00F066B1"/>
    <w:rsid w:val="00F92310"/>
    <w:rsid w:val="00FA1A07"/>
    <w:rsid w:val="00FB214C"/>
    <w:rsid w:val="00FB70BD"/>
    <w:rsid w:val="00FC1D24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CB1E-7DE6-4F3C-B0C3-4591F0D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A73D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A73DD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locked/>
    <w:rsid w:val="00A73DD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7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DF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7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5457</Characters>
  <Application>Microsoft Office Word</Application>
  <DocSecurity>0</DocSecurity>
  <Lines>287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2025-04-08T04:28:00Z</cp:lastPrinted>
  <dcterms:created xsi:type="dcterms:W3CDTF">2025-04-10T11:59:00Z</dcterms:created>
  <dcterms:modified xsi:type="dcterms:W3CDTF">2025-04-10T11:59:00Z</dcterms:modified>
</cp:coreProperties>
</file>