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FD" w:rsidRPr="000078B2" w:rsidRDefault="00B0238E">
      <w:pPr>
        <w:pStyle w:val="ShapkaDocumentu"/>
        <w:jc w:val="right"/>
        <w:rPr>
          <w:rFonts w:ascii="Times New Roman" w:hAnsi="Times New Roman"/>
          <w:sz w:val="28"/>
          <w:szCs w:val="28"/>
        </w:rPr>
      </w:pPr>
      <w:r w:rsidRPr="000078B2">
        <w:rPr>
          <w:rFonts w:ascii="Times New Roman" w:hAnsi="Times New Roman"/>
          <w:sz w:val="28"/>
          <w:szCs w:val="22"/>
        </w:rPr>
        <w:t>ПРОЄКТ</w:t>
      </w:r>
    </w:p>
    <w:p w:rsidR="00A319FD" w:rsidRPr="000078B2" w:rsidRDefault="00B0238E">
      <w:pPr>
        <w:pStyle w:val="ShapkaDocumentu"/>
        <w:rPr>
          <w:rFonts w:ascii="Times New Roman" w:hAnsi="Times New Roman"/>
          <w:sz w:val="28"/>
          <w:szCs w:val="28"/>
        </w:rPr>
      </w:pPr>
      <w:r w:rsidRPr="000078B2">
        <w:rPr>
          <w:rFonts w:ascii="Times New Roman" w:hAnsi="Times New Roman"/>
          <w:sz w:val="28"/>
          <w:szCs w:val="28"/>
        </w:rPr>
        <w:t>ЗАТВЕРДЖЕНО</w:t>
      </w:r>
      <w:r w:rsidRPr="000078B2">
        <w:rPr>
          <w:rFonts w:ascii="Times New Roman" w:hAnsi="Times New Roman"/>
          <w:sz w:val="28"/>
          <w:szCs w:val="28"/>
        </w:rPr>
        <w:br/>
        <w:t>постановою Кабінету Міністрів України</w:t>
      </w:r>
      <w:r w:rsidRPr="000078B2">
        <w:rPr>
          <w:rFonts w:ascii="Times New Roman" w:hAnsi="Times New Roman"/>
          <w:sz w:val="28"/>
          <w:szCs w:val="28"/>
        </w:rPr>
        <w:br/>
        <w:t xml:space="preserve">від </w:t>
      </w:r>
      <w:r w:rsidR="00EF1AE5" w:rsidRPr="000078B2">
        <w:rPr>
          <w:rFonts w:ascii="Times New Roman" w:hAnsi="Times New Roman"/>
          <w:sz w:val="28"/>
          <w:szCs w:val="28"/>
        </w:rPr>
        <w:t>______________</w:t>
      </w:r>
      <w:r w:rsidRPr="000078B2">
        <w:rPr>
          <w:rFonts w:ascii="Times New Roman" w:hAnsi="Times New Roman"/>
          <w:sz w:val="28"/>
          <w:szCs w:val="28"/>
        </w:rPr>
        <w:t xml:space="preserve"> 202</w:t>
      </w:r>
      <w:r w:rsidR="009A12CD" w:rsidRPr="000078B2">
        <w:rPr>
          <w:rFonts w:ascii="Times New Roman" w:hAnsi="Times New Roman"/>
          <w:sz w:val="28"/>
          <w:szCs w:val="28"/>
        </w:rPr>
        <w:t>5</w:t>
      </w:r>
      <w:r w:rsidRPr="000078B2">
        <w:rPr>
          <w:rFonts w:ascii="Times New Roman" w:hAnsi="Times New Roman"/>
          <w:sz w:val="28"/>
          <w:szCs w:val="28"/>
        </w:rPr>
        <w:t xml:space="preserve"> р. №</w:t>
      </w:r>
      <w:r w:rsidR="00EF1AE5" w:rsidRPr="000078B2">
        <w:rPr>
          <w:rFonts w:ascii="Times New Roman" w:hAnsi="Times New Roman"/>
          <w:sz w:val="28"/>
          <w:szCs w:val="28"/>
        </w:rPr>
        <w:t>______</w:t>
      </w:r>
    </w:p>
    <w:p w:rsidR="00A319FD" w:rsidRPr="000078B2" w:rsidRDefault="00A319FD">
      <w:pPr>
        <w:tabs>
          <w:tab w:val="left" w:pos="7230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</w:p>
    <w:p w:rsidR="00A319FD" w:rsidRPr="000078B2" w:rsidRDefault="00A319F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uk-UA"/>
        </w:rPr>
      </w:pPr>
    </w:p>
    <w:p w:rsidR="00A319FD" w:rsidRPr="000078B2" w:rsidRDefault="00B0238E" w:rsidP="007C40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078B2">
        <w:rPr>
          <w:rFonts w:ascii="Times New Roman" w:hAnsi="Times New Roman"/>
          <w:b/>
          <w:sz w:val="32"/>
          <w:szCs w:val="32"/>
        </w:rPr>
        <w:t xml:space="preserve">ПОРЯДОК </w:t>
      </w:r>
    </w:p>
    <w:p w:rsidR="00A319FD" w:rsidRPr="000078B2" w:rsidRDefault="00B0238E" w:rsidP="007C409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/>
          <w:sz w:val="28"/>
          <w:szCs w:val="28"/>
        </w:rPr>
        <w:t>маркування алкогольних напоїв, тютюнових виробів та рідин, що використовуються в електронних сигаретах</w:t>
      </w:r>
    </w:p>
    <w:p w:rsidR="00A319FD" w:rsidRPr="000078B2" w:rsidRDefault="00A319F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A319FD" w:rsidRPr="000078B2" w:rsidRDefault="00A319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A319FD" w:rsidRPr="000078B2" w:rsidRDefault="00B0238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sz w:val="28"/>
          <w:szCs w:val="28"/>
          <w:lang w:eastAsia="uk-UA"/>
        </w:rPr>
        <w:t>1. Цей Порядок визначає механізм</w:t>
      </w:r>
      <w:r w:rsidRPr="000078B2">
        <w:rPr>
          <w:rFonts w:ascii="Times New Roman" w:hAnsi="Times New Roman"/>
          <w:sz w:val="28"/>
          <w:szCs w:val="28"/>
        </w:rPr>
        <w:t xml:space="preserve"> здійснення маркування алкогольних напоїв, тютюнових виробів та рідин, що використовуються в електронних сигаретах, 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відповідно до статей 226 та </w:t>
      </w:r>
      <w:r w:rsidR="00322E75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227 Податкового </w:t>
      </w:r>
      <w:r w:rsidR="004C73EB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кодексу </w:t>
      </w:r>
      <w:r w:rsidR="00322E75" w:rsidRPr="000078B2">
        <w:rPr>
          <w:rFonts w:ascii="Times New Roman" w:hAnsi="Times New Roman"/>
          <w:bCs/>
          <w:sz w:val="28"/>
          <w:szCs w:val="28"/>
          <w:lang w:eastAsia="uk-UA"/>
        </w:rPr>
        <w:t>України</w:t>
      </w:r>
      <w:r w:rsidR="007B1C5B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471A0B" w:rsidRPr="000078B2">
        <w:rPr>
          <w:rFonts w:ascii="Times New Roman" w:hAnsi="Times New Roman"/>
          <w:bCs/>
          <w:sz w:val="28"/>
          <w:szCs w:val="28"/>
          <w:lang w:eastAsia="uk-UA"/>
        </w:rPr>
        <w:br/>
      </w:r>
      <w:r w:rsidR="007B1C5B" w:rsidRPr="000078B2">
        <w:rPr>
          <w:rFonts w:ascii="Times New Roman" w:hAnsi="Times New Roman"/>
          <w:bCs/>
          <w:sz w:val="28"/>
          <w:szCs w:val="28"/>
          <w:lang w:eastAsia="uk-UA"/>
        </w:rPr>
        <w:t>(далі – Кодекс)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та Закону України «</w:t>
      </w:r>
      <w:r w:rsidR="00D765D3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Про внесення змін до Податкового кодексу України та інших законів України у зв’язку із запровадженням електронної </w:t>
      </w:r>
      <w:proofErr w:type="spellStart"/>
      <w:r w:rsidR="00D765D3" w:rsidRPr="000078B2">
        <w:rPr>
          <w:rFonts w:ascii="Times New Roman" w:hAnsi="Times New Roman"/>
          <w:bCs/>
          <w:sz w:val="28"/>
          <w:szCs w:val="28"/>
          <w:lang w:eastAsia="uk-UA"/>
        </w:rPr>
        <w:t>простежуваності</w:t>
      </w:r>
      <w:proofErr w:type="spellEnd"/>
      <w:r w:rsidR="00D765D3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обігу алкогольних напоїв, тютюнових виробів та рідин, що використовуються в електронних сигаретах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»</w:t>
      </w:r>
      <w:r w:rsidR="007B1C5B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(далі – Закон)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.</w:t>
      </w:r>
      <w:bookmarkStart w:id="0" w:name="_GoBack"/>
      <w:bookmarkEnd w:id="0"/>
    </w:p>
    <w:p w:rsidR="007B1C5B" w:rsidRPr="000078B2" w:rsidRDefault="007B1C5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У цьому порядку терміни вживаються </w:t>
      </w:r>
      <w:r w:rsidR="00471A0B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у 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значеннях, наведених у Кодексі </w:t>
      </w:r>
      <w:r w:rsidR="00662DE1" w:rsidRPr="000078B2">
        <w:rPr>
          <w:rFonts w:ascii="Times New Roman" w:hAnsi="Times New Roman"/>
          <w:bCs/>
          <w:sz w:val="28"/>
          <w:szCs w:val="28"/>
          <w:lang w:eastAsia="uk-UA"/>
        </w:rPr>
        <w:br/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та Законі.</w:t>
      </w:r>
    </w:p>
    <w:p w:rsidR="007B1C5B" w:rsidRPr="000078B2" w:rsidRDefault="007B1C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19FD" w:rsidRPr="000078B2" w:rsidRDefault="007B1C5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>2. Маркуванню підлягають алкогольні напої, тютюнові вироби та рідини, що використовуються в електронних сигаретах, крім зазначених у пункті 226.10 статті 226 Кодексу.</w:t>
      </w:r>
    </w:p>
    <w:p w:rsidR="007B1C5B" w:rsidRPr="000078B2" w:rsidRDefault="007B1C5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EF1AE5" w:rsidRPr="000078B2" w:rsidRDefault="00EF1AE5" w:rsidP="00EF1A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3. Маркування алкогольних напоїв, тютюнових виробів та рідин, що використовуються в електронних сигаретах, або продаж (передача) унікальних ідентифікаторів та/або графічних елементів електронних марок акцизного податку іншим суб’єктам господарювання для нанесення на кожну окрему одиницю пакування алкогольних напоїв, тютюнових виробів та рідин, що використовуються в електронних сигаретах, у випадках, передбачених </w:t>
      </w:r>
      <w:r w:rsidR="00471A0B" w:rsidRPr="000078B2">
        <w:rPr>
          <w:rFonts w:ascii="Times New Roman" w:hAnsi="Times New Roman"/>
          <w:bCs/>
          <w:sz w:val="28"/>
          <w:szCs w:val="28"/>
          <w:lang w:eastAsia="uk-UA"/>
        </w:rPr>
        <w:br/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пунктом 227.4 статті 227 Кодексу, забезпечують економічні оператори відповідно до вимог Кодексу та Закону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під час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виробництв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t>а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таких товарів (продукц</w:t>
      </w:r>
      <w:r w:rsidR="00662DE1" w:rsidRPr="000078B2">
        <w:rPr>
          <w:rFonts w:ascii="Times New Roman" w:hAnsi="Times New Roman"/>
          <w:bCs/>
          <w:sz w:val="28"/>
          <w:szCs w:val="28"/>
          <w:lang w:eastAsia="uk-UA"/>
        </w:rPr>
        <w:t>ії) на митній території України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до ввезення таких товарів (продукції) на митну територію України або в режимі митного складу до випуску у вільний обіг на митну територію України.</w:t>
      </w:r>
    </w:p>
    <w:p w:rsidR="00A319FD" w:rsidRPr="000078B2" w:rsidRDefault="00EF1AE5" w:rsidP="00EF1A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>Продаж (передача) унікальних ідентифікаторів та/або графічних елементів електронних марок акцизного податку економічним оператором іншим особам забороняється, крім випадків, передбачених пунктом 227.4 статті 227 Кодексу.</w:t>
      </w:r>
    </w:p>
    <w:p w:rsidR="00EF1AE5" w:rsidRPr="000078B2" w:rsidRDefault="00EF1AE5" w:rsidP="00EF1A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EF1AE5" w:rsidRPr="000078B2" w:rsidRDefault="00EF1AE5" w:rsidP="00EF1A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sz w:val="28"/>
          <w:szCs w:val="28"/>
          <w:lang w:eastAsia="uk-UA"/>
        </w:rPr>
        <w:t xml:space="preserve">4. Немаркованими вважаються алкогольні напої, тютюнові вироби </w:t>
      </w:r>
      <w:r w:rsidR="00662DE1" w:rsidRPr="000078B2">
        <w:rPr>
          <w:rFonts w:ascii="Times New Roman" w:hAnsi="Times New Roman"/>
          <w:sz w:val="28"/>
          <w:szCs w:val="28"/>
          <w:lang w:eastAsia="uk-UA"/>
        </w:rPr>
        <w:br/>
      </w:r>
      <w:r w:rsidRPr="000078B2">
        <w:rPr>
          <w:rFonts w:ascii="Times New Roman" w:hAnsi="Times New Roman"/>
          <w:sz w:val="28"/>
          <w:szCs w:val="28"/>
          <w:lang w:eastAsia="uk-UA"/>
        </w:rPr>
        <w:t>та рідини, що використовуються в електронних сигаретах, у випадках, передбачен</w:t>
      </w:r>
      <w:r w:rsidR="0039706C" w:rsidRPr="000078B2">
        <w:rPr>
          <w:rFonts w:ascii="Times New Roman" w:hAnsi="Times New Roman"/>
          <w:sz w:val="28"/>
          <w:szCs w:val="28"/>
          <w:lang w:eastAsia="uk-UA"/>
        </w:rPr>
        <w:t>их</w:t>
      </w:r>
      <w:r w:rsidRPr="000078B2">
        <w:rPr>
          <w:rFonts w:ascii="Times New Roman" w:hAnsi="Times New Roman"/>
          <w:sz w:val="28"/>
          <w:szCs w:val="28"/>
          <w:lang w:eastAsia="uk-UA"/>
        </w:rPr>
        <w:t xml:space="preserve"> пунктом 226.9 статті 226 Кодексу.</w:t>
      </w:r>
    </w:p>
    <w:p w:rsidR="00EF1AE5" w:rsidRPr="000078B2" w:rsidRDefault="00EF1AE5" w:rsidP="00EF1A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EF1AE5" w:rsidRPr="000078B2" w:rsidRDefault="00EF1A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>5. Маркування алкогольних напоїв, тютюнових виробів та рідин, що використовуються в електронних сигаретах, здійснюється шляхом нанесення графічного елемента електронної марки акцизного податку та елементів, придатних для читання людиною у форматі перших дванадцяти символів унікального ідентифікатора, на кожну окрему пачку (одиничну упаковку) тютюнового виробу або пляшку (одиничну упаковку) алкогольного напою, або ємність (одиничну упаковку) з рідиною, що використовується в електронних сигаретах.</w:t>
      </w:r>
    </w:p>
    <w:p w:rsidR="00EF1AE5" w:rsidRPr="000078B2" w:rsidRDefault="00EF1A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A319FD" w:rsidRPr="000078B2" w:rsidRDefault="00EF1A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6. 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>Графічний елемент електронної марки акцизного податку та елементи, придатні для читання людиною у форматі перших дванадцяти символів унікального ідентифікатора, нанос</w:t>
      </w:r>
      <w:r w:rsidR="00F44A2D" w:rsidRPr="000078B2">
        <w:rPr>
          <w:rFonts w:ascii="Times New Roman" w:hAnsi="Times New Roman"/>
          <w:bCs/>
          <w:sz w:val="28"/>
          <w:szCs w:val="28"/>
          <w:lang w:eastAsia="uk-UA"/>
        </w:rPr>
        <w:t>я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ться на тютюнові вироби віднесені до товарних позицій </w:t>
      </w:r>
      <w:r w:rsidR="009571F3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за кодами 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>2402 20 90 10, 2402 20 90 20, 2402 10 00</w:t>
      </w:r>
      <w:r w:rsidR="00333AF5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90, 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br/>
      </w:r>
      <w:r w:rsidR="00333AF5" w:rsidRPr="000078B2">
        <w:rPr>
          <w:rFonts w:ascii="Times New Roman" w:hAnsi="Times New Roman"/>
          <w:bCs/>
          <w:sz w:val="28"/>
          <w:szCs w:val="28"/>
          <w:lang w:eastAsia="uk-UA"/>
        </w:rPr>
        <w:t>2404 11 00 10 згідно з УКТ 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>ЗЕД безпосередньо під час виробництва тютюнових виробів на нижню повер</w:t>
      </w:r>
      <w:r w:rsidR="00EF4B47" w:rsidRPr="000078B2">
        <w:rPr>
          <w:rFonts w:ascii="Times New Roman" w:hAnsi="Times New Roman"/>
          <w:bCs/>
          <w:sz w:val="28"/>
          <w:szCs w:val="28"/>
          <w:lang w:eastAsia="uk-UA"/>
        </w:rPr>
        <w:t>хню пачки (одиничної упаковки).</w:t>
      </w:r>
    </w:p>
    <w:p w:rsidR="00A319FD" w:rsidRPr="000078B2" w:rsidRDefault="00A319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A319FD" w:rsidRPr="000078B2" w:rsidRDefault="00EF1A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>7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. Графічний елемент електронної марки акцизного податку та елементи, придатні для читання людиною у форматі перших дванадцяти символів унікального ідентифікатора, наносяться на тютюнові вироби (крім тютюнових виробів віднесених до товарних позицій </w:t>
      </w:r>
      <w:r w:rsidR="009571F3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за кодами 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2402 20 90 10, 2402 20 90 20, </w:t>
      </w:r>
      <w:r w:rsidR="00333AF5" w:rsidRPr="000078B2">
        <w:rPr>
          <w:rFonts w:ascii="Times New Roman" w:hAnsi="Times New Roman"/>
          <w:bCs/>
          <w:sz w:val="28"/>
          <w:szCs w:val="28"/>
          <w:lang w:eastAsia="uk-UA"/>
        </w:rPr>
        <w:br/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>2402 10 00</w:t>
      </w:r>
      <w:r w:rsidR="00333AF5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90, 2404 11 00 10 згідно з УКТ 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t>ЗЕД) на будь-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>яку поверхню пачки (одиничної упаковки) у такий спосіб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t>,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щоб не перекривати інформацію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t>,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нанесення якої передбачено Законом.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A319FD" w:rsidRPr="000078B2" w:rsidRDefault="00A319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A319FD" w:rsidRPr="000078B2" w:rsidRDefault="00EF1A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>8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. Унікальні ідентифікатори, нанесені на тютюнові вироби, вироблені 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br/>
        <w:t>в державі –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члені Європейського Союзу, відповідно до нормативних актів Європейського Союзу з питань, що стосуються створення та забезпечення функціонування системи відстеження тютюнових виробів, 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мають 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забезпечувати ідентифікацію таких тютюнових виробів у Електронній системі обігу алкогольних напоїв, тютюнових виробів та рідин, що використовуються </w:t>
      </w:r>
      <w:r w:rsidR="00662DE1" w:rsidRPr="000078B2">
        <w:rPr>
          <w:rFonts w:ascii="Times New Roman" w:hAnsi="Times New Roman"/>
          <w:bCs/>
          <w:sz w:val="28"/>
          <w:szCs w:val="28"/>
          <w:lang w:eastAsia="uk-UA"/>
        </w:rPr>
        <w:br/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в електронних сигаретах. </w:t>
      </w:r>
    </w:p>
    <w:p w:rsidR="00A319FD" w:rsidRPr="000078B2" w:rsidRDefault="00A319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A319FD" w:rsidRPr="000078B2" w:rsidRDefault="00EF1A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>9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>. У разі друку графічних елементів електронної марки акциз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t>ного податку на фізичних носіях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такі графічні елементи електронної акцизної марки наносяться 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в 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>такий спосіб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t>,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="009571F3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який 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>не дає змоги зня</w:t>
      </w:r>
      <w:r w:rsidR="009571F3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ти їх з виробів без пошкодження та 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>не перекрива</w:t>
      </w:r>
      <w:r w:rsidR="009571F3" w:rsidRPr="000078B2">
        <w:rPr>
          <w:rFonts w:ascii="Times New Roman" w:hAnsi="Times New Roman"/>
          <w:bCs/>
          <w:sz w:val="28"/>
          <w:szCs w:val="28"/>
          <w:lang w:eastAsia="uk-UA"/>
        </w:rPr>
        <w:t>є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інформацію</w:t>
      </w:r>
      <w:r w:rsidR="006D5656" w:rsidRPr="000078B2">
        <w:rPr>
          <w:rFonts w:ascii="Times New Roman" w:hAnsi="Times New Roman"/>
          <w:bCs/>
          <w:sz w:val="28"/>
          <w:szCs w:val="28"/>
          <w:lang w:eastAsia="uk-UA"/>
        </w:rPr>
        <w:t>,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нанесення якої передбачено Законом.</w:t>
      </w:r>
    </w:p>
    <w:p w:rsidR="00A319FD" w:rsidRPr="000078B2" w:rsidRDefault="00A319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A319FD" w:rsidRPr="000078B2" w:rsidRDefault="00EF1A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>10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>. Ун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t>ікальні групові ідентифікатори у разі їх формування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наносяться на групову </w:t>
      </w:r>
      <w:r w:rsidR="00AA16AB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транспортну 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упаковку 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в </w:t>
      </w:r>
      <w:r w:rsidR="00B0238E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такий спосіб, який дозволяє їх зчитування. </w:t>
      </w:r>
    </w:p>
    <w:p w:rsidR="00A319FD" w:rsidRPr="000078B2" w:rsidRDefault="00A319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09151C" w:rsidRPr="000078B2" w:rsidRDefault="0009151C" w:rsidP="00372838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11. </w:t>
      </w:r>
      <w:r w:rsidR="00372838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Паперові марки 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акцизного податку, </w:t>
      </w:r>
      <w:r w:rsidR="00372838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придбані, але не використані станом на 1 січня 2026 року для маркування алкогольних напоїв, тютюнових виробів та </w:t>
      </w:r>
      <w:r w:rsidR="00372838" w:rsidRPr="000078B2">
        <w:rPr>
          <w:rFonts w:ascii="Times New Roman" w:hAnsi="Times New Roman"/>
          <w:bCs/>
          <w:sz w:val="28"/>
          <w:szCs w:val="28"/>
          <w:lang w:eastAsia="uk-UA"/>
        </w:rPr>
        <w:lastRenderedPageBreak/>
        <w:t xml:space="preserve">рідин, що використовуються в електронних сигаретах, повертаються продавцю  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для утилізаці</w:t>
      </w:r>
      <w:r w:rsidR="00765B70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ї до </w:t>
      </w:r>
      <w:r w:rsidR="00B146B9" w:rsidRPr="000078B2">
        <w:rPr>
          <w:rFonts w:ascii="Times New Roman" w:hAnsi="Times New Roman"/>
          <w:bCs/>
          <w:sz w:val="28"/>
          <w:szCs w:val="28"/>
          <w:lang w:eastAsia="uk-UA"/>
        </w:rPr>
        <w:t>1</w:t>
      </w:r>
      <w:r w:rsidR="00765B70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липня </w:t>
      </w:r>
      <w:r w:rsidR="00B146B9" w:rsidRPr="000078B2">
        <w:rPr>
          <w:rFonts w:ascii="Times New Roman" w:hAnsi="Times New Roman"/>
          <w:bCs/>
          <w:sz w:val="28"/>
          <w:szCs w:val="28"/>
          <w:lang w:eastAsia="uk-UA"/>
        </w:rPr>
        <w:t>2026</w:t>
      </w:r>
      <w:r w:rsidR="00765B70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року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. Плата за </w:t>
      </w:r>
      <w:r w:rsidR="00372838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такі 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марки поверненню не підлягає.</w:t>
      </w:r>
    </w:p>
    <w:p w:rsidR="0009151C" w:rsidRPr="000078B2" w:rsidRDefault="0009151C" w:rsidP="000915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Пошкоджені марки </w:t>
      </w:r>
      <w:r w:rsidR="00372838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акцизного податку 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наклеюються на окремому аркуші паперу формату А3 (290 х 420 міліметрів) у такій спосіб, щоб чітко було видно центральну частину марки, окремі частини розірваних марок 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мають 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бути з’єднані, а загальна частина кожної поверненої імпортером (замовником, вироб</w:t>
      </w:r>
      <w:r w:rsidR="0039706C" w:rsidRPr="000078B2">
        <w:rPr>
          <w:rFonts w:ascii="Times New Roman" w:hAnsi="Times New Roman"/>
          <w:bCs/>
          <w:sz w:val="28"/>
          <w:szCs w:val="28"/>
          <w:lang w:eastAsia="uk-UA"/>
        </w:rPr>
        <w:t>ником) марки має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становити не менш як 60 відсотків початкового розміру.</w:t>
      </w:r>
    </w:p>
    <w:p w:rsidR="0009151C" w:rsidRPr="000078B2" w:rsidRDefault="0009151C" w:rsidP="009571F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>Покупець марок подає засобами електронного зв’язку в електронній формі з дотриманням вимог Законів України “Про електронні документи та електронний документообіг” та “</w:t>
      </w:r>
      <w:r w:rsidR="009571F3" w:rsidRPr="000078B2">
        <w:rPr>
          <w:rFonts w:ascii="Times New Roman" w:hAnsi="Times New Roman"/>
          <w:bCs/>
          <w:sz w:val="28"/>
          <w:szCs w:val="28"/>
          <w:lang w:eastAsia="uk-UA"/>
        </w:rPr>
        <w:t>Про електронну ідентифікацію та електронні довірчі послуги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” реєстр пошкоджених марок, зазначаючи їх серію та номер.</w:t>
      </w:r>
    </w:p>
    <w:p w:rsidR="0009151C" w:rsidRPr="000078B2" w:rsidRDefault="0009151C" w:rsidP="000915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>Строк утилізації повернутих продавцю пошкоджених марок акцизного податку становить не більше 120 календарних днів з моменту отримання ним таких марок для їх утилізації.</w:t>
      </w:r>
    </w:p>
    <w:p w:rsidR="0009151C" w:rsidRPr="000078B2" w:rsidRDefault="0009151C" w:rsidP="000915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>У разі неможливості вирівнювання марок, пошкоджених автоматом з наклеювання марок, і наклеювання їх на окремом</w:t>
      </w:r>
      <w:r w:rsidR="00662DE1" w:rsidRPr="000078B2">
        <w:rPr>
          <w:rFonts w:ascii="Times New Roman" w:hAnsi="Times New Roman"/>
          <w:bCs/>
          <w:sz w:val="28"/>
          <w:szCs w:val="28"/>
          <w:lang w:eastAsia="uk-UA"/>
        </w:rPr>
        <w:t>у аркуші паперу на підприємстві</w:t>
      </w:r>
      <w:r w:rsidR="00662DE1" w:rsidRPr="000078B2">
        <w:rPr>
          <w:rFonts w:ascii="Times New Roman" w:hAnsi="Times New Roman"/>
          <w:bCs/>
          <w:sz w:val="28"/>
          <w:szCs w:val="28"/>
          <w:lang w:val="en-US" w:eastAsia="uk-UA"/>
        </w:rPr>
        <w:t> – 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виробнику утворюється комісія, яка складає акт про списання таких марок. В акті обов’язково зазначається фактична кількість пошкоджених автоматом марок. До складу зазначеної комісії входять представник територіального органу ДПС за місцезнаходженням виробника (голова комісії) </w:t>
      </w:r>
      <w:r w:rsidR="00B45A33" w:rsidRPr="000078B2">
        <w:rPr>
          <w:rFonts w:ascii="Times New Roman" w:hAnsi="Times New Roman"/>
          <w:bCs/>
          <w:sz w:val="28"/>
          <w:szCs w:val="28"/>
          <w:lang w:eastAsia="uk-UA"/>
        </w:rPr>
        <w:br/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і представник відповідної місцевої </w:t>
      </w:r>
      <w:r w:rsidR="009571F3" w:rsidRPr="000078B2">
        <w:rPr>
          <w:rFonts w:ascii="Times New Roman" w:hAnsi="Times New Roman"/>
          <w:bCs/>
          <w:sz w:val="28"/>
          <w:szCs w:val="28"/>
          <w:lang w:eastAsia="uk-UA"/>
        </w:rPr>
        <w:t>державної адміністрації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. Акт списання вносить представник</w:t>
      </w:r>
      <w:r w:rsidR="00B45A33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територіального органу ДПС до електронної бази марок.</w:t>
      </w:r>
    </w:p>
    <w:p w:rsidR="0009151C" w:rsidRPr="000078B2" w:rsidRDefault="0009151C" w:rsidP="000915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>При цьому плата за марки поверненню не підлягає.</w:t>
      </w:r>
    </w:p>
    <w:p w:rsidR="0009151C" w:rsidRPr="000078B2" w:rsidRDefault="0009151C" w:rsidP="000915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>У разі виявлення продавцем марок невідповідності їх вимогам законодавства чи явних ознак підроблення такі марки повертаютьс</w:t>
      </w:r>
      <w:r w:rsidR="00662DE1" w:rsidRPr="000078B2">
        <w:rPr>
          <w:rFonts w:ascii="Times New Roman" w:hAnsi="Times New Roman"/>
          <w:bCs/>
          <w:sz w:val="28"/>
          <w:szCs w:val="28"/>
          <w:lang w:eastAsia="uk-UA"/>
        </w:rPr>
        <w:t>я підприємству</w:t>
      </w:r>
      <w:r w:rsidR="00662DE1" w:rsidRPr="000078B2">
        <w:rPr>
          <w:rFonts w:ascii="Times New Roman" w:hAnsi="Times New Roman"/>
          <w:bCs/>
          <w:sz w:val="28"/>
          <w:szCs w:val="28"/>
          <w:lang w:val="en-US" w:eastAsia="uk-UA"/>
        </w:rPr>
        <w:t> – 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виробнику для проведення експертизи, про що покупцеві марок видається довідка. Після одержання висновку експертизи складається акт, на підставі якого зазначені марки підлягають знищенню підприємством</w:t>
      </w:r>
      <w:r w:rsidR="00662DE1" w:rsidRPr="000078B2">
        <w:rPr>
          <w:rFonts w:ascii="Times New Roman" w:hAnsi="Times New Roman"/>
          <w:bCs/>
          <w:sz w:val="28"/>
          <w:szCs w:val="28"/>
          <w:lang w:val="en-US" w:eastAsia="uk-UA"/>
        </w:rPr>
        <w:t> – 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виробником, а у разі визнання марок підро</w:t>
      </w:r>
      <w:r w:rsidR="00B45A33" w:rsidRPr="000078B2">
        <w:rPr>
          <w:rFonts w:ascii="Times New Roman" w:hAnsi="Times New Roman"/>
          <w:bCs/>
          <w:sz w:val="28"/>
          <w:szCs w:val="28"/>
          <w:lang w:eastAsia="uk-UA"/>
        </w:rPr>
        <w:t>бленими –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надсилаються до відповідних правоохоронних органів.</w:t>
      </w:r>
    </w:p>
    <w:p w:rsidR="0009151C" w:rsidRPr="000078B2" w:rsidRDefault="0009151C" w:rsidP="000915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>Підприємство</w:t>
      </w:r>
      <w:r w:rsidR="00662DE1" w:rsidRPr="000078B2">
        <w:rPr>
          <w:rFonts w:ascii="Times New Roman" w:hAnsi="Times New Roman"/>
          <w:bCs/>
          <w:sz w:val="28"/>
          <w:szCs w:val="28"/>
          <w:lang w:val="en-US" w:eastAsia="uk-UA"/>
        </w:rPr>
        <w:t> – 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виробник здійснює знищення зазначених марок протягом трьох місяців після їх отримання.</w:t>
      </w:r>
    </w:p>
    <w:p w:rsidR="0009151C" w:rsidRPr="000078B2" w:rsidRDefault="0009151C" w:rsidP="000915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У разі </w:t>
      </w:r>
      <w:proofErr w:type="spellStart"/>
      <w:r w:rsidRPr="000078B2">
        <w:rPr>
          <w:rFonts w:ascii="Times New Roman" w:hAnsi="Times New Roman"/>
          <w:bCs/>
          <w:sz w:val="28"/>
          <w:szCs w:val="28"/>
          <w:lang w:eastAsia="uk-UA"/>
        </w:rPr>
        <w:t>неввезення</w:t>
      </w:r>
      <w:proofErr w:type="spellEnd"/>
      <w:r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 готової маркованої продукції з об’єктивних причин або неможливості повернення пошкоджених марок імпортер видає продавцю марок документ Торгово-промислової палати або іншого органу (за процедурою, визначеною країною нерезидента) про підтвердження такого факту з обов’язковим зазначенням кількості використаних та/або пошкоджених марок, який легалізується в установленому порядку. Вартість марок та акцизний податок </w:t>
      </w:r>
      <w:r w:rsidR="00662DE1" w:rsidRPr="000078B2">
        <w:rPr>
          <w:rFonts w:ascii="Times New Roman" w:hAnsi="Times New Roman"/>
          <w:bCs/>
          <w:sz w:val="28"/>
          <w:szCs w:val="28"/>
          <w:lang w:eastAsia="uk-UA"/>
        </w:rPr>
        <w:t xml:space="preserve">у </w:t>
      </w:r>
      <w:r w:rsidRPr="000078B2">
        <w:rPr>
          <w:rFonts w:ascii="Times New Roman" w:hAnsi="Times New Roman"/>
          <w:bCs/>
          <w:sz w:val="28"/>
          <w:szCs w:val="28"/>
          <w:lang w:eastAsia="uk-UA"/>
        </w:rPr>
        <w:t>такому разі не відшкодовуються.</w:t>
      </w:r>
    </w:p>
    <w:p w:rsidR="0009151C" w:rsidRPr="000078B2" w:rsidRDefault="0009151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uk-UA"/>
        </w:rPr>
      </w:pPr>
    </w:p>
    <w:p w:rsidR="00A319FD" w:rsidRPr="000078B2" w:rsidRDefault="00B023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078B2">
        <w:rPr>
          <w:rFonts w:ascii="Times New Roman" w:hAnsi="Times New Roman"/>
          <w:sz w:val="28"/>
          <w:szCs w:val="28"/>
        </w:rPr>
        <w:t>_________________________</w:t>
      </w:r>
    </w:p>
    <w:sectPr w:rsidR="00A319FD" w:rsidRPr="000078B2" w:rsidSect="00471A0B">
      <w:headerReference w:type="default" r:id="rId7"/>
      <w:pgSz w:w="11906" w:h="16838"/>
      <w:pgMar w:top="851" w:right="567" w:bottom="153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08B" w:rsidRDefault="00AE108B">
      <w:pPr>
        <w:spacing w:after="0" w:line="240" w:lineRule="auto"/>
      </w:pPr>
    </w:p>
  </w:endnote>
  <w:endnote w:type="continuationSeparator" w:id="0">
    <w:p w:rsidR="00AE108B" w:rsidRDefault="00AE1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08B" w:rsidRDefault="00AE108B">
      <w:pPr>
        <w:spacing w:after="0" w:line="240" w:lineRule="auto"/>
      </w:pPr>
    </w:p>
  </w:footnote>
  <w:footnote w:type="continuationSeparator" w:id="0">
    <w:p w:rsidR="00AE108B" w:rsidRDefault="00AE1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9FD" w:rsidRDefault="00B0238E">
    <w:pPr>
      <w:pStyle w:val="a4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>PAGE   \* MERGEFORMAT</w:instrText>
    </w:r>
    <w:r>
      <w:rPr>
        <w:rFonts w:ascii="Times New Roman" w:hAnsi="Times New Roman"/>
        <w:sz w:val="24"/>
      </w:rPr>
      <w:fldChar w:fldCharType="separate"/>
    </w:r>
    <w:r w:rsidR="000078B2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FD"/>
    <w:rsid w:val="000078B2"/>
    <w:rsid w:val="0009151C"/>
    <w:rsid w:val="000F7C23"/>
    <w:rsid w:val="002C2F85"/>
    <w:rsid w:val="002D2212"/>
    <w:rsid w:val="003010D9"/>
    <w:rsid w:val="003158F9"/>
    <w:rsid w:val="00322E75"/>
    <w:rsid w:val="00333AF5"/>
    <w:rsid w:val="00372838"/>
    <w:rsid w:val="00387C2F"/>
    <w:rsid w:val="0039706C"/>
    <w:rsid w:val="00471A0B"/>
    <w:rsid w:val="00496444"/>
    <w:rsid w:val="004C73EB"/>
    <w:rsid w:val="00546EDC"/>
    <w:rsid w:val="00645F29"/>
    <w:rsid w:val="00662DE1"/>
    <w:rsid w:val="006A4E44"/>
    <w:rsid w:val="006D5656"/>
    <w:rsid w:val="00765B70"/>
    <w:rsid w:val="007B1C5B"/>
    <w:rsid w:val="007C4091"/>
    <w:rsid w:val="007E0131"/>
    <w:rsid w:val="00860C4C"/>
    <w:rsid w:val="00902A49"/>
    <w:rsid w:val="009571F3"/>
    <w:rsid w:val="009A12CD"/>
    <w:rsid w:val="00A319FD"/>
    <w:rsid w:val="00A967A8"/>
    <w:rsid w:val="00AA16AB"/>
    <w:rsid w:val="00AE108B"/>
    <w:rsid w:val="00B0238E"/>
    <w:rsid w:val="00B146B9"/>
    <w:rsid w:val="00B45A33"/>
    <w:rsid w:val="00B60BC6"/>
    <w:rsid w:val="00B665F6"/>
    <w:rsid w:val="00CB5587"/>
    <w:rsid w:val="00CD6518"/>
    <w:rsid w:val="00D765D3"/>
    <w:rsid w:val="00E60966"/>
    <w:rsid w:val="00EF1AE5"/>
    <w:rsid w:val="00EF4B47"/>
    <w:rsid w:val="00F32695"/>
    <w:rsid w:val="00F4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93B98-90B0-4FB2-A6DB-634766A8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No Spacing"/>
    <w:qFormat/>
    <w:pPr>
      <w:spacing w:after="0" w:line="240" w:lineRule="auto"/>
    </w:pPr>
  </w:style>
  <w:style w:type="paragraph" w:styleId="a9">
    <w:name w:val="Balloon Text"/>
    <w:basedOn w:val="a"/>
    <w:link w:val="aa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</w:pPr>
    <w:rPr>
      <w:lang w:val="en-US"/>
    </w:rPr>
  </w:style>
  <w:style w:type="paragraph" w:customStyle="1" w:styleId="ShapkaDocumentu">
    <w:name w:val="Shapka Documentu"/>
    <w:basedOn w:val="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5">
    <w:name w:val="Верхній колонтитул Знак"/>
    <w:basedOn w:val="a0"/>
    <w:link w:val="a4"/>
  </w:style>
  <w:style w:type="character" w:customStyle="1" w:styleId="a7">
    <w:name w:val="Нижній колонтитул Знак"/>
    <w:basedOn w:val="a0"/>
    <w:link w:val="a6"/>
  </w:style>
  <w:style w:type="character" w:customStyle="1" w:styleId="aa">
    <w:name w:val="Текст у виносці Знак"/>
    <w:basedOn w:val="a0"/>
    <w:link w:val="a9"/>
    <w:semiHidden/>
    <w:rPr>
      <w:rFonts w:ascii="Tahoma" w:hAnsi="Tahoma"/>
      <w:sz w:val="16"/>
      <w:szCs w:val="16"/>
    </w:rPr>
  </w:style>
  <w:style w:type="character" w:styleId="af1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BC610-EC7E-4157-94BC-3D3608EB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4542</Words>
  <Characters>2590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ОАА</dc:creator>
  <cp:lastModifiedBy>Орлянський Олексій Андрійович</cp:lastModifiedBy>
  <cp:revision>8</cp:revision>
  <cp:lastPrinted>2023-10-06T09:04:00Z</cp:lastPrinted>
  <dcterms:created xsi:type="dcterms:W3CDTF">2025-01-30T16:10:00Z</dcterms:created>
  <dcterms:modified xsi:type="dcterms:W3CDTF">2025-02-04T12:57:00Z</dcterms:modified>
</cp:coreProperties>
</file>