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FF" w:rsidRPr="00B00963" w:rsidRDefault="00AA72FF" w:rsidP="00AA72FF">
      <w:pPr>
        <w:ind w:left="6379" w:right="282"/>
      </w:pPr>
      <w:bookmarkStart w:id="0" w:name="178"/>
      <w:r w:rsidRPr="00B00963">
        <w:t>Додаток 3</w:t>
      </w:r>
      <w:r w:rsidRPr="00B00963">
        <w:br/>
        <w:t>до Порядку залучення радника з продажу пакетів акцій банків</w:t>
      </w:r>
      <w:r w:rsidRPr="00B00963">
        <w:br/>
        <w:t>(пункт 2 розділу V)</w:t>
      </w:r>
    </w:p>
    <w:p w:rsidR="00AA72FF" w:rsidRPr="00B00963" w:rsidRDefault="00AA72FF" w:rsidP="00AA72FF">
      <w:pPr>
        <w:pStyle w:val="3"/>
        <w:spacing w:after="0"/>
        <w:ind w:right="282"/>
        <w:jc w:val="center"/>
        <w:rPr>
          <w:rFonts w:ascii="Times New Roman" w:hAnsi="Times New Roman" w:cs="Times New Roman"/>
          <w:color w:val="auto"/>
          <w:sz w:val="28"/>
          <w:szCs w:val="24"/>
          <w:lang w:val="uk-UA"/>
        </w:rPr>
      </w:pPr>
      <w:bookmarkStart w:id="1" w:name="179"/>
      <w:bookmarkEnd w:id="0"/>
    </w:p>
    <w:p w:rsidR="00AA72FF" w:rsidRPr="00B00963" w:rsidRDefault="00AA72FF" w:rsidP="00AA72FF">
      <w:pPr>
        <w:pStyle w:val="3"/>
        <w:spacing w:after="0"/>
        <w:ind w:right="282"/>
        <w:jc w:val="center"/>
        <w:rPr>
          <w:rFonts w:ascii="Times New Roman" w:hAnsi="Times New Roman" w:cs="Times New Roman"/>
          <w:color w:val="auto"/>
          <w:sz w:val="28"/>
          <w:szCs w:val="24"/>
          <w:lang w:val="uk-UA"/>
        </w:rPr>
      </w:pPr>
      <w:r w:rsidRPr="00B00963">
        <w:rPr>
          <w:rFonts w:ascii="Times New Roman" w:hAnsi="Times New Roman" w:cs="Times New Roman"/>
          <w:color w:val="auto"/>
          <w:sz w:val="28"/>
          <w:szCs w:val="24"/>
          <w:lang w:val="uk-UA"/>
        </w:rPr>
        <w:t>Порядок оцінювання учасників конкурсу за критеріями</w:t>
      </w:r>
    </w:p>
    <w:p w:rsidR="00AA72FF" w:rsidRPr="00B00963" w:rsidRDefault="00AA72FF" w:rsidP="00AA72FF">
      <w:pPr>
        <w:ind w:right="282"/>
        <w:jc w:val="center"/>
        <w:rPr>
          <w:sz w:val="28"/>
        </w:rPr>
      </w:pPr>
    </w:p>
    <w:tbl>
      <w:tblPr>
        <w:tblpPr w:leftFromText="180" w:rightFromText="180" w:vertAnchor="text" w:tblpX="110" w:tblpY="1"/>
        <w:tblOverlap w:val="never"/>
        <w:tblW w:w="9241" w:type="dxa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424"/>
        <w:gridCol w:w="4394"/>
      </w:tblGrid>
      <w:tr w:rsidR="00AA72FF" w:rsidRPr="00B00963" w:rsidTr="0037157E">
        <w:trPr>
          <w:trHeight w:val="322"/>
          <w:tblCellSpacing w:w="0" w:type="auto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F" w:rsidRPr="00B00963" w:rsidRDefault="00AA72FF" w:rsidP="0037157E">
            <w:pPr>
              <w:ind w:right="282"/>
              <w:jc w:val="center"/>
              <w:rPr>
                <w:sz w:val="28"/>
              </w:rPr>
            </w:pPr>
            <w:bookmarkStart w:id="2" w:name="_Hlk154045217"/>
            <w:bookmarkEnd w:id="1"/>
            <w:r w:rsidRPr="00B00963">
              <w:rPr>
                <w:b/>
                <w:sz w:val="28"/>
              </w:rPr>
              <w:t>Критерії оцінювання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F" w:rsidRPr="00B00963" w:rsidRDefault="00AA72FF" w:rsidP="0037157E">
            <w:pPr>
              <w:ind w:right="282"/>
              <w:jc w:val="center"/>
              <w:rPr>
                <w:b/>
                <w:sz w:val="28"/>
              </w:rPr>
            </w:pPr>
            <w:r w:rsidRPr="00B00963">
              <w:rPr>
                <w:b/>
                <w:sz w:val="28"/>
              </w:rPr>
              <w:t xml:space="preserve">Максимальна кількість балів </w:t>
            </w:r>
          </w:p>
        </w:tc>
        <w:tc>
          <w:tcPr>
            <w:tcW w:w="4394" w:type="dxa"/>
            <w:vMerge w:val="restart"/>
            <w:tcBorders>
              <w:top w:val="outset" w:sz="8" w:space="0" w:color="000000" w:themeColor="text1"/>
              <w:left w:val="single" w:sz="4" w:space="0" w:color="auto"/>
              <w:bottom w:val="outset" w:sz="8" w:space="0" w:color="000000" w:themeColor="text1"/>
              <w:right w:val="outset" w:sz="8" w:space="0" w:color="000000" w:themeColor="text1"/>
            </w:tcBorders>
          </w:tcPr>
          <w:p w:rsidR="00AA72FF" w:rsidRPr="00B00963" w:rsidRDefault="00AA72FF" w:rsidP="0037157E">
            <w:pPr>
              <w:ind w:right="282"/>
              <w:jc w:val="center"/>
              <w:rPr>
                <w:sz w:val="28"/>
              </w:rPr>
            </w:pPr>
            <w:r w:rsidRPr="00B00963">
              <w:rPr>
                <w:b/>
                <w:sz w:val="28"/>
              </w:rPr>
              <w:t>Компоненти оцінки</w:t>
            </w:r>
          </w:p>
        </w:tc>
      </w:tr>
      <w:tr w:rsidR="00AA72FF" w:rsidRPr="00B00963" w:rsidTr="0037157E">
        <w:trPr>
          <w:trHeight w:val="517"/>
          <w:tblCellSpacing w:w="0" w:type="auto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</w:p>
        </w:tc>
      </w:tr>
      <w:tr w:rsidR="00AA72FF" w:rsidRPr="00B00963" w:rsidTr="0037157E">
        <w:trPr>
          <w:trHeight w:val="45"/>
          <w:tblCellSpacing w:w="0" w:type="auto"/>
        </w:trPr>
        <w:tc>
          <w:tcPr>
            <w:tcW w:w="2423" w:type="dxa"/>
            <w:tcBorders>
              <w:top w:val="single" w:sz="4" w:space="0" w:color="auto"/>
              <w:left w:val="outset" w:sz="8" w:space="0" w:color="000000" w:themeColor="text1"/>
              <w:bottom w:val="outset" w:sz="8" w:space="0" w:color="000000" w:themeColor="text1"/>
              <w:right w:val="outset" w:sz="8" w:space="0" w:color="000000" w:themeColor="text1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>Наявність не менш як п’ятирічного міжнародного досвіду з надання консультацій, укладення, супроводження та виконання договорів з продажу фінансових установ</w:t>
            </w:r>
          </w:p>
        </w:tc>
        <w:tc>
          <w:tcPr>
            <w:tcW w:w="2424" w:type="dxa"/>
            <w:tcBorders>
              <w:top w:val="single" w:sz="4" w:space="0" w:color="auto"/>
              <w:left w:val="outset" w:sz="8" w:space="0" w:color="000000" w:themeColor="text1"/>
              <w:bottom w:val="outset" w:sz="8" w:space="0" w:color="000000" w:themeColor="text1"/>
              <w:right w:val="outset" w:sz="8" w:space="0" w:color="000000" w:themeColor="text1"/>
            </w:tcBorders>
          </w:tcPr>
          <w:p w:rsidR="00AA72FF" w:rsidRPr="00B00963" w:rsidDel="003E075E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>15</w:t>
            </w:r>
          </w:p>
        </w:tc>
        <w:tc>
          <w:tcPr>
            <w:tcW w:w="4394" w:type="dxa"/>
            <w:tcBorders>
              <w:top w:val="outset" w:sz="8" w:space="0" w:color="000000" w:themeColor="text1"/>
              <w:left w:val="outset" w:sz="8" w:space="0" w:color="000000" w:themeColor="text1"/>
              <w:bottom w:val="outset" w:sz="8" w:space="0" w:color="000000" w:themeColor="text1"/>
              <w:right w:val="outset" w:sz="8" w:space="0" w:color="000000" w:themeColor="text1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>Успішний досвід з продажу фінансових установ у країнах Організації економічного співробітництва та розвитку та країнах, економіка яких розвивається; профіль фінансових установ (великі, універсальні, з державною часткою)</w:t>
            </w:r>
          </w:p>
        </w:tc>
      </w:tr>
      <w:tr w:rsidR="00AA72FF" w:rsidRPr="00B00963" w:rsidTr="0037157E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 w:themeColor="text1"/>
              <w:left w:val="outset" w:sz="8" w:space="0" w:color="000000" w:themeColor="text1"/>
              <w:bottom w:val="outset" w:sz="8" w:space="0" w:color="000000" w:themeColor="text1"/>
              <w:right w:val="outset" w:sz="8" w:space="0" w:color="000000" w:themeColor="text1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>Наявність достатнього рівня компетентності (кваліфікації, досвіду, знань та навичок)</w:t>
            </w:r>
          </w:p>
        </w:tc>
        <w:tc>
          <w:tcPr>
            <w:tcW w:w="2424" w:type="dxa"/>
            <w:tcBorders>
              <w:top w:val="outset" w:sz="8" w:space="0" w:color="000000" w:themeColor="text1"/>
              <w:left w:val="outset" w:sz="8" w:space="0" w:color="000000" w:themeColor="text1"/>
              <w:bottom w:val="outset" w:sz="8" w:space="0" w:color="000000" w:themeColor="text1"/>
              <w:right w:val="outset" w:sz="8" w:space="0" w:color="000000" w:themeColor="text1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>10</w:t>
            </w:r>
          </w:p>
        </w:tc>
        <w:tc>
          <w:tcPr>
            <w:tcW w:w="4394" w:type="dxa"/>
            <w:tcBorders>
              <w:top w:val="outset" w:sz="8" w:space="0" w:color="000000" w:themeColor="text1"/>
              <w:left w:val="outset" w:sz="8" w:space="0" w:color="000000" w:themeColor="text1"/>
              <w:bottom w:val="outset" w:sz="8" w:space="0" w:color="000000" w:themeColor="text1"/>
              <w:right w:val="outset" w:sz="8" w:space="0" w:color="000000" w:themeColor="text1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>Кількість експертів, їх кваліфікаційний рівень, відповідний досвід та досягнутий результат членів команди з продажу фінансових установ, профіль та зайнятість керівника проекту в проекті / кількість одночасних проектів під наглядом керівника проекту</w:t>
            </w:r>
          </w:p>
        </w:tc>
      </w:tr>
      <w:tr w:rsidR="00AA72FF" w:rsidRPr="00B00963" w:rsidTr="0037157E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 w:themeColor="text1"/>
              <w:left w:val="outset" w:sz="8" w:space="0" w:color="000000" w:themeColor="text1"/>
              <w:bottom w:val="outset" w:sz="8" w:space="0" w:color="000000" w:themeColor="text1"/>
              <w:right w:val="outset" w:sz="8" w:space="0" w:color="000000" w:themeColor="text1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>План дій</w:t>
            </w:r>
          </w:p>
        </w:tc>
        <w:tc>
          <w:tcPr>
            <w:tcW w:w="2424" w:type="dxa"/>
            <w:tcBorders>
              <w:top w:val="outset" w:sz="8" w:space="0" w:color="000000" w:themeColor="text1"/>
              <w:left w:val="outset" w:sz="8" w:space="0" w:color="000000" w:themeColor="text1"/>
              <w:bottom w:val="outset" w:sz="8" w:space="0" w:color="000000" w:themeColor="text1"/>
              <w:right w:val="outset" w:sz="8" w:space="0" w:color="000000" w:themeColor="text1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>20</w:t>
            </w:r>
          </w:p>
        </w:tc>
        <w:tc>
          <w:tcPr>
            <w:tcW w:w="4394" w:type="dxa"/>
            <w:tcBorders>
              <w:top w:val="outset" w:sz="8" w:space="0" w:color="000000" w:themeColor="text1"/>
              <w:left w:val="outset" w:sz="8" w:space="0" w:color="000000" w:themeColor="text1"/>
              <w:bottom w:val="outset" w:sz="8" w:space="0" w:color="000000" w:themeColor="text1"/>
              <w:right w:val="outset" w:sz="8" w:space="0" w:color="000000" w:themeColor="text1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 xml:space="preserve">Запропонований план дій та його відповідність основним завданням радника; прогнозована ефективність такого плану дій; відповідність запропонованих підходів щодо реалізації такого плану дій та підходів щодо формування рекомендацій стосовно стратегії продажу пакетів акцій банків  </w:t>
            </w:r>
            <w:r w:rsidRPr="00B00963">
              <w:rPr>
                <w:sz w:val="28"/>
              </w:rPr>
              <w:lastRenderedPageBreak/>
              <w:t>основним завданням радника та їх прогнозована ефективність</w:t>
            </w:r>
          </w:p>
        </w:tc>
      </w:tr>
      <w:tr w:rsidR="00AA72FF" w:rsidRPr="00B00963" w:rsidTr="0037157E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 w:themeColor="text1"/>
              <w:left w:val="outset" w:sz="8" w:space="0" w:color="000000" w:themeColor="text1"/>
              <w:bottom w:val="outset" w:sz="8" w:space="0" w:color="000000" w:themeColor="text1"/>
              <w:right w:val="outset" w:sz="8" w:space="0" w:color="000000" w:themeColor="text1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lastRenderedPageBreak/>
              <w:t>Розмір винагороди</w:t>
            </w:r>
          </w:p>
        </w:tc>
        <w:tc>
          <w:tcPr>
            <w:tcW w:w="2424" w:type="dxa"/>
            <w:tcBorders>
              <w:top w:val="outset" w:sz="8" w:space="0" w:color="000000" w:themeColor="text1"/>
              <w:left w:val="outset" w:sz="8" w:space="0" w:color="000000" w:themeColor="text1"/>
              <w:bottom w:val="outset" w:sz="8" w:space="0" w:color="000000" w:themeColor="text1"/>
              <w:right w:val="outset" w:sz="8" w:space="0" w:color="000000" w:themeColor="text1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>5</w:t>
            </w:r>
          </w:p>
        </w:tc>
        <w:tc>
          <w:tcPr>
            <w:tcW w:w="4394" w:type="dxa"/>
            <w:tcBorders>
              <w:top w:val="outset" w:sz="8" w:space="0" w:color="000000" w:themeColor="text1"/>
              <w:left w:val="outset" w:sz="8" w:space="0" w:color="000000" w:themeColor="text1"/>
              <w:bottom w:val="outset" w:sz="8" w:space="0" w:color="000000" w:themeColor="text1"/>
              <w:right w:val="outset" w:sz="8" w:space="0" w:color="000000" w:themeColor="text1"/>
            </w:tcBorders>
          </w:tcPr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>Запропонований розмір винагороди; кількість балів за компонентом оцінки визначається шляхом нарахування балів у такому порядку:</w:t>
            </w:r>
          </w:p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>якщо запропонований учасником розмір винагороди становить:</w:t>
            </w:r>
          </w:p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ab/>
              <w:t xml:space="preserve">найвищу пропозицію – </w:t>
            </w:r>
            <w:r w:rsidRPr="00B00963">
              <w:rPr>
                <w:sz w:val="28"/>
              </w:rPr>
              <w:br/>
              <w:t>1 бал;</w:t>
            </w:r>
          </w:p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ab/>
              <w:t>від 75 до 100 відсотків розміру найвищої пропозиції – 2 бали;</w:t>
            </w:r>
          </w:p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ab/>
              <w:t>від 50 до 75 відсотків розміру найвищої пропозиції – 3 бали;</w:t>
            </w:r>
          </w:p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ab/>
              <w:t>від 25 до 50 відсотків розміру найвищої пропозиції – 4 бали;</w:t>
            </w:r>
          </w:p>
          <w:p w:rsidR="00AA72FF" w:rsidRPr="00B00963" w:rsidRDefault="00AA72FF" w:rsidP="0037157E">
            <w:pPr>
              <w:ind w:right="282"/>
              <w:rPr>
                <w:sz w:val="28"/>
              </w:rPr>
            </w:pPr>
            <w:r w:rsidRPr="00B00963">
              <w:rPr>
                <w:sz w:val="28"/>
              </w:rPr>
              <w:tab/>
              <w:t>менше 25 відсотків розміру найвищої пропозиції – 5 балів</w:t>
            </w:r>
          </w:p>
        </w:tc>
      </w:tr>
    </w:tbl>
    <w:bookmarkEnd w:id="2"/>
    <w:p w:rsidR="00D36D3D" w:rsidRDefault="0037157E">
      <w:r>
        <w:br w:type="textWrapping" w:clear="all"/>
      </w:r>
    </w:p>
    <w:p w:rsidR="009A4034" w:rsidRDefault="009A4034"/>
    <w:p w:rsidR="00927D5C" w:rsidRDefault="00927D5C" w:rsidP="00927D5C">
      <w:r>
        <w:t xml:space="preserve">                                    ________________________________________________</w:t>
      </w:r>
    </w:p>
    <w:p w:rsidR="009A4034" w:rsidRDefault="009A4034" w:rsidP="009A4034">
      <w:pPr>
        <w:ind w:left="142"/>
      </w:pPr>
      <w:bookmarkStart w:id="3" w:name="_GoBack"/>
      <w:bookmarkEnd w:id="3"/>
    </w:p>
    <w:sectPr w:rsidR="009A4034" w:rsidSect="00BD132A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53" w:rsidRDefault="00090D53" w:rsidP="00BD132A">
      <w:r>
        <w:separator/>
      </w:r>
    </w:p>
  </w:endnote>
  <w:endnote w:type="continuationSeparator" w:id="0">
    <w:p w:rsidR="00090D53" w:rsidRDefault="00090D53" w:rsidP="00BD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53" w:rsidRDefault="00090D53" w:rsidP="00BD132A">
      <w:r>
        <w:separator/>
      </w:r>
    </w:p>
  </w:footnote>
  <w:footnote w:type="continuationSeparator" w:id="0">
    <w:p w:rsidR="00090D53" w:rsidRDefault="00090D53" w:rsidP="00BD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396264"/>
      <w:docPartObj>
        <w:docPartGallery w:val="Page Numbers (Top of Page)"/>
        <w:docPartUnique/>
      </w:docPartObj>
    </w:sdtPr>
    <w:sdtEndPr/>
    <w:sdtContent>
      <w:p w:rsidR="00BD132A" w:rsidRDefault="0037157E" w:rsidP="0037157E">
        <w:pPr>
          <w:pStyle w:val="a3"/>
          <w:jc w:val="center"/>
        </w:pPr>
        <w:r>
          <w:t xml:space="preserve">                                                                             </w:t>
        </w:r>
        <w:r w:rsidR="00BD132A">
          <w:fldChar w:fldCharType="begin"/>
        </w:r>
        <w:r w:rsidR="00BD132A">
          <w:instrText>PAGE   \* MERGEFORMAT</w:instrText>
        </w:r>
        <w:r w:rsidR="00BD132A">
          <w:fldChar w:fldCharType="separate"/>
        </w:r>
        <w:r w:rsidR="00927D5C">
          <w:rPr>
            <w:noProof/>
          </w:rPr>
          <w:t>2</w:t>
        </w:r>
        <w:r w:rsidR="00BD132A">
          <w:fldChar w:fldCharType="end"/>
        </w:r>
        <w:r>
          <w:t xml:space="preserve">                                        Продовження додатка 3</w:t>
        </w:r>
      </w:p>
    </w:sdtContent>
  </w:sdt>
  <w:p w:rsidR="00BD132A" w:rsidRDefault="00BD1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7"/>
    <w:rsid w:val="00090D53"/>
    <w:rsid w:val="0037157E"/>
    <w:rsid w:val="004301B7"/>
    <w:rsid w:val="00445783"/>
    <w:rsid w:val="006B24D0"/>
    <w:rsid w:val="00791ABD"/>
    <w:rsid w:val="00927D5C"/>
    <w:rsid w:val="009A4034"/>
    <w:rsid w:val="00AA72FF"/>
    <w:rsid w:val="00BD132A"/>
    <w:rsid w:val="00D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59FC-AF9E-4C4B-841D-299217C2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72FF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72F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BD132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D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132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D1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1182</Words>
  <Characters>675</Characters>
  <Application>Microsoft Office Word</Application>
  <DocSecurity>0</DocSecurity>
  <Lines>5</Lines>
  <Paragraphs>3</Paragraphs>
  <ScaleCrop>false</ScaleCrop>
  <Company>Ministry of Finance of Ukraine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Стретович Андрій Володимирович</dc:creator>
  <cp:keywords/>
  <dc:description/>
  <cp:lastModifiedBy>Стретович Андрій Володимирович</cp:lastModifiedBy>
  <cp:revision>6</cp:revision>
  <dcterms:created xsi:type="dcterms:W3CDTF">2023-12-27T15:03:00Z</dcterms:created>
  <dcterms:modified xsi:type="dcterms:W3CDTF">2023-12-28T16:14:00Z</dcterms:modified>
</cp:coreProperties>
</file>