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E96" w:rsidRPr="00FF0560" w:rsidRDefault="00FF05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1F497D"/>
          <w:sz w:val="24"/>
          <w:szCs w:val="24"/>
          <w:lang w:eastAsia="ru-RU"/>
        </w:rPr>
        <w:drawing>
          <wp:inline distT="0" distB="0" distL="0" distR="0">
            <wp:extent cx="588645" cy="6635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96" w:rsidRPr="00FF0560" w:rsidRDefault="00BD7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E96" w:rsidRDefault="00FF05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BD7E96" w:rsidRDefault="00BD7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E96" w:rsidRDefault="00FF05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:rsidR="00BD7E96" w:rsidRDefault="00FF05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BD7E96" w:rsidRDefault="00FF0560" w:rsidP="00984B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984B63">
        <w:rPr>
          <w:rFonts w:ascii="Times New Roman" w:hAnsi="Times New Roman"/>
          <w:color w:val="000000"/>
          <w:sz w:val="28"/>
          <w:szCs w:val="28"/>
          <w:lang w:eastAsia="ru-RU"/>
        </w:rPr>
        <w:t>18.11.2025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984B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984B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Київ                     </w:t>
      </w:r>
      <w:r w:rsidR="00984B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№ </w:t>
      </w:r>
      <w:r w:rsidR="00984B63">
        <w:rPr>
          <w:rFonts w:ascii="Times New Roman" w:hAnsi="Times New Roman"/>
          <w:color w:val="000000"/>
          <w:sz w:val="28"/>
          <w:szCs w:val="28"/>
          <w:lang w:eastAsia="ru-RU"/>
        </w:rPr>
        <w:t>582</w:t>
      </w:r>
    </w:p>
    <w:p w:rsidR="00FC2306" w:rsidRDefault="00FC2306" w:rsidP="00FC2306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FC2306" w:rsidRDefault="00FC2306" w:rsidP="00FC230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З</w:t>
      </w:r>
      <w:r w:rsidRPr="00FC2306">
        <w:rPr>
          <w:rFonts w:ascii="Times New Roman" w:hAnsi="Times New Roman"/>
          <w:i/>
          <w:sz w:val="24"/>
          <w:szCs w:val="24"/>
        </w:rPr>
        <w:t>ареєстрований у Міністерстві юстиції України 03 грудня 2025 року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FC2306">
        <w:rPr>
          <w:rFonts w:ascii="Times New Roman" w:hAnsi="Times New Roman"/>
          <w:i/>
          <w:sz w:val="24"/>
          <w:szCs w:val="24"/>
        </w:rPr>
        <w:t>за № 1818/45224</w:t>
      </w:r>
    </w:p>
    <w:p w:rsidR="00FC2306" w:rsidRDefault="00FC2306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D7E96" w:rsidRDefault="00FF0560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>
        <w:rPr>
          <w:rFonts w:ascii="Times New Roman" w:hAnsi="Times New Roman"/>
          <w:b/>
          <w:sz w:val="28"/>
          <w:szCs w:val="28"/>
          <w:lang w:eastAsia="ru-RU"/>
        </w:rPr>
        <w:t>мін до деяких національних положень (стандартів) бухгалтерського обліку в державному секторі</w:t>
      </w:r>
    </w:p>
    <w:p w:rsidR="00BD7E96" w:rsidRDefault="00BD7E96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BD7E96" w:rsidRDefault="00FF05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Відповідно до статті 56 Бюджетного кодексу України, статті 6 Закону України «Про бухгалтерський облік та фінансову звітність в Ук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BD7E96" w:rsidRDefault="00BD7E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7E96" w:rsidRDefault="00FF05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BD7E96" w:rsidRDefault="00BD7E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7E96" w:rsidRDefault="00FF056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>вердити Зміни до деяких національних положень (стандартів) бухгалтерського обліку в державному секторі, що додаються.</w:t>
      </w:r>
    </w:p>
    <w:p w:rsidR="00BD7E96" w:rsidRDefault="00BD7E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7E96" w:rsidRDefault="00FF05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:rsidR="00BD7E96" w:rsidRDefault="00FF0560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BD7E96" w:rsidRDefault="00FF0560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:rsidR="00BD7E96" w:rsidRDefault="00BD7E96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BD7E96" w:rsidRDefault="00FF0560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>набирає чинності з 01 січня 2026 року, але не раніше дня його офіційного опублікування.</w:t>
      </w:r>
    </w:p>
    <w:p w:rsidR="00BD7E96" w:rsidRDefault="00BD7E96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BD7E96" w:rsidRDefault="00FF05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:rsidR="00BD7E96" w:rsidRDefault="00BD7E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7E96" w:rsidRDefault="00BD7E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7E96" w:rsidRDefault="00FF05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                  </w:t>
      </w:r>
      <w:r>
        <w:rPr>
          <w:rFonts w:ascii="Times New Roman" w:hAnsi="Times New Roman"/>
          <w:b/>
          <w:sz w:val="28"/>
          <w:lang w:eastAsia="ru-RU"/>
        </w:rPr>
        <w:t>Сергій МАРЧЕНКО</w:t>
      </w:r>
    </w:p>
    <w:sectPr w:rsidR="00BD7E96">
      <w:headerReference w:type="default" r:id="rId9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E96" w:rsidRDefault="00BD7E96">
      <w:pPr>
        <w:spacing w:after="0" w:line="240" w:lineRule="auto"/>
      </w:pPr>
    </w:p>
  </w:endnote>
  <w:endnote w:type="continuationSeparator" w:id="0">
    <w:p w:rsidR="00BD7E96" w:rsidRDefault="00BD7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E96" w:rsidRDefault="00BD7E96">
      <w:pPr>
        <w:spacing w:after="0" w:line="240" w:lineRule="auto"/>
      </w:pPr>
    </w:p>
  </w:footnote>
  <w:footnote w:type="continuationSeparator" w:id="0">
    <w:p w:rsidR="00BD7E96" w:rsidRDefault="00BD7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E96" w:rsidRDefault="00FF0560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BD7E96" w:rsidRDefault="00BD7E9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81866640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2070B7EC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172AE5D4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588A0116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B74EB"/>
    <w:multiLevelType w:val="hybridMultilevel"/>
    <w:tmpl w:val="D682E9A0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01E75"/>
    <w:multiLevelType w:val="hybridMultilevel"/>
    <w:tmpl w:val="CC2897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BE5EE1"/>
    <w:multiLevelType w:val="hybridMultilevel"/>
    <w:tmpl w:val="7CDA1426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984F77"/>
    <w:multiLevelType w:val="hybridMultilevel"/>
    <w:tmpl w:val="13A03040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96"/>
    <w:rsid w:val="004F19EA"/>
    <w:rsid w:val="00984B63"/>
    <w:rsid w:val="00BD7E96"/>
    <w:rsid w:val="00FC2306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4AF9"/>
  <w15:docId w15:val="{4ACE3C9D-2226-4E7F-A987-942B3AA1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ій колонтитул Знак"/>
    <w:basedOn w:val="a0"/>
    <w:link w:val="ab"/>
    <w:rPr>
      <w:rFonts w:ascii="Calibri" w:hAnsi="Calibri"/>
    </w:rPr>
  </w:style>
  <w:style w:type="character" w:customStyle="1" w:styleId="ae">
    <w:name w:val="Нижні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ітки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ітки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ви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інцевої виноски Знак"/>
    <w:link w:val="af5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0A78-5C7D-42A2-ACF2-B6347B9F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4</cp:revision>
  <cp:lastPrinted>2021-02-02T10:26:00Z</cp:lastPrinted>
  <dcterms:created xsi:type="dcterms:W3CDTF">2025-12-04T12:24:00Z</dcterms:created>
  <dcterms:modified xsi:type="dcterms:W3CDTF">2025-12-04T12:28:00Z</dcterms:modified>
</cp:coreProperties>
</file>