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2F" w:rsidRPr="006B18B7" w:rsidRDefault="00855B2F" w:rsidP="00855B2F">
      <w:pPr>
        <w:jc w:val="center"/>
        <w:rPr>
          <w:b/>
          <w:bCs/>
          <w:sz w:val="28"/>
          <w:szCs w:val="28"/>
        </w:rPr>
      </w:pPr>
      <w:r w:rsidRPr="006B18B7">
        <w:rPr>
          <w:b/>
          <w:bCs/>
          <w:sz w:val="28"/>
          <w:szCs w:val="28"/>
        </w:rPr>
        <w:t xml:space="preserve">Повідомлення про </w:t>
      </w:r>
      <w:r w:rsidR="00D72B7A">
        <w:rPr>
          <w:b/>
          <w:bCs/>
          <w:sz w:val="28"/>
          <w:szCs w:val="28"/>
        </w:rPr>
        <w:t xml:space="preserve">повторне </w:t>
      </w:r>
      <w:r w:rsidRPr="006B18B7">
        <w:rPr>
          <w:b/>
          <w:bCs/>
          <w:sz w:val="28"/>
          <w:szCs w:val="28"/>
        </w:rPr>
        <w:t xml:space="preserve">оприлюднення </w:t>
      </w:r>
    </w:p>
    <w:p w:rsidR="00855B2F" w:rsidRPr="006B18B7" w:rsidRDefault="0092041A" w:rsidP="008726C0">
      <w:pPr>
        <w:pStyle w:val="4"/>
        <w:widowControl w:val="0"/>
        <w:tabs>
          <w:tab w:val="left" w:pos="709"/>
        </w:tabs>
        <w:rPr>
          <w:bCs/>
          <w:szCs w:val="28"/>
        </w:rPr>
      </w:pPr>
      <w:r w:rsidRPr="006B18B7">
        <w:rPr>
          <w:szCs w:val="28"/>
        </w:rPr>
        <w:t>про</w:t>
      </w:r>
      <w:r w:rsidR="003A0408" w:rsidRPr="006B18B7">
        <w:rPr>
          <w:szCs w:val="28"/>
        </w:rPr>
        <w:t>є</w:t>
      </w:r>
      <w:r w:rsidRPr="006B18B7">
        <w:rPr>
          <w:szCs w:val="28"/>
        </w:rPr>
        <w:t>кту Закону України «</w:t>
      </w:r>
      <w:r w:rsidR="003A0408" w:rsidRPr="006B18B7">
        <w:rPr>
          <w:bCs/>
          <w:szCs w:val="28"/>
        </w:rPr>
        <w:t xml:space="preserve">Про внесення змін до Податкового кодексу України щодо удосконалення процедури взаємного узгодження, процедури попереднього узгодження ціноутворення </w:t>
      </w:r>
      <w:bookmarkStart w:id="0" w:name="_Hlk210384596"/>
      <w:r w:rsidR="003A0408" w:rsidRPr="006B18B7">
        <w:rPr>
          <w:bCs/>
          <w:szCs w:val="28"/>
        </w:rPr>
        <w:t>у контрольованих операціях</w:t>
      </w:r>
      <w:bookmarkEnd w:id="0"/>
      <w:r w:rsidRPr="006B18B7">
        <w:rPr>
          <w:szCs w:val="28"/>
        </w:rPr>
        <w:t>»</w:t>
      </w:r>
    </w:p>
    <w:p w:rsidR="00855B2F" w:rsidRPr="006B18B7" w:rsidRDefault="00855B2F" w:rsidP="00855B2F">
      <w:pPr>
        <w:rPr>
          <w:b/>
          <w:sz w:val="28"/>
          <w:szCs w:val="28"/>
          <w:lang w:eastAsia="ru-RU"/>
        </w:rPr>
      </w:pPr>
    </w:p>
    <w:p w:rsidR="00855B2F" w:rsidRPr="0091083B" w:rsidRDefault="00855B2F" w:rsidP="008137B5">
      <w:pPr>
        <w:ind w:firstLine="567"/>
        <w:jc w:val="both"/>
        <w:rPr>
          <w:lang w:eastAsia="ru-RU"/>
        </w:rPr>
      </w:pPr>
      <w:r w:rsidRPr="0091083B">
        <w:rPr>
          <w:lang w:eastAsia="ru-RU"/>
        </w:rPr>
        <w:t xml:space="preserve">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w:t>
      </w:r>
      <w:r w:rsidR="00D72B7A">
        <w:rPr>
          <w:lang w:eastAsia="ru-RU"/>
        </w:rPr>
        <w:t xml:space="preserve">повторне </w:t>
      </w:r>
      <w:r w:rsidRPr="0091083B">
        <w:rPr>
          <w:lang w:eastAsia="ru-RU"/>
        </w:rPr>
        <w:t>оприлюднення</w:t>
      </w:r>
      <w:r w:rsidRPr="0091083B">
        <w:t xml:space="preserve"> </w:t>
      </w:r>
      <w:proofErr w:type="spellStart"/>
      <w:r w:rsidRPr="0091083B">
        <w:rPr>
          <w:lang w:eastAsia="ru-RU"/>
        </w:rPr>
        <w:t>про</w:t>
      </w:r>
      <w:r w:rsidR="003A0408" w:rsidRPr="0091083B">
        <w:rPr>
          <w:lang w:eastAsia="ru-RU"/>
        </w:rPr>
        <w:t>є</w:t>
      </w:r>
      <w:r w:rsidRPr="0091083B">
        <w:rPr>
          <w:lang w:eastAsia="ru-RU"/>
        </w:rPr>
        <w:t>кту</w:t>
      </w:r>
      <w:proofErr w:type="spellEnd"/>
      <w:r w:rsidRPr="0091083B">
        <w:rPr>
          <w:lang w:eastAsia="ru-RU"/>
        </w:rPr>
        <w:t xml:space="preserve"> </w:t>
      </w:r>
      <w:r w:rsidR="0092041A" w:rsidRPr="0091083B">
        <w:rPr>
          <w:lang w:eastAsia="ru-RU"/>
        </w:rPr>
        <w:t>Закону України «</w:t>
      </w:r>
      <w:r w:rsidR="003A0408" w:rsidRPr="0091083B">
        <w:rPr>
          <w:bCs/>
        </w:rPr>
        <w:t>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r w:rsidR="00AC375C" w:rsidRPr="0091083B">
        <w:rPr>
          <w:lang w:eastAsia="ru-RU"/>
        </w:rPr>
        <w:t>»</w:t>
      </w:r>
      <w:r w:rsidRPr="0091083B">
        <w:rPr>
          <w:lang w:eastAsia="ru-RU"/>
        </w:rPr>
        <w:t xml:space="preserve"> (далі – </w:t>
      </w:r>
      <w:proofErr w:type="spellStart"/>
      <w:r w:rsidR="0092041A" w:rsidRPr="0091083B">
        <w:rPr>
          <w:lang w:eastAsia="ru-RU"/>
        </w:rPr>
        <w:t>П</w:t>
      </w:r>
      <w:r w:rsidRPr="0091083B">
        <w:rPr>
          <w:lang w:eastAsia="ru-RU"/>
        </w:rPr>
        <w:t>ро</w:t>
      </w:r>
      <w:r w:rsidR="00E70D3E" w:rsidRPr="0091083B">
        <w:rPr>
          <w:lang w:eastAsia="ru-RU"/>
        </w:rPr>
        <w:t>є</w:t>
      </w:r>
      <w:r w:rsidRPr="0091083B">
        <w:rPr>
          <w:lang w:eastAsia="ru-RU"/>
        </w:rPr>
        <w:t>кт</w:t>
      </w:r>
      <w:proofErr w:type="spellEnd"/>
      <w:r w:rsidR="0092041A" w:rsidRPr="0091083B">
        <w:rPr>
          <w:lang w:eastAsia="ru-RU"/>
        </w:rPr>
        <w:t xml:space="preserve"> </w:t>
      </w:r>
      <w:proofErr w:type="spellStart"/>
      <w:r w:rsidR="0092041A" w:rsidRPr="0091083B">
        <w:rPr>
          <w:lang w:eastAsia="ru-RU"/>
        </w:rPr>
        <w:t>акта</w:t>
      </w:r>
      <w:proofErr w:type="spellEnd"/>
      <w:r w:rsidRPr="0091083B">
        <w:rPr>
          <w:lang w:eastAsia="ru-RU"/>
        </w:rPr>
        <w:t>)</w:t>
      </w:r>
      <w:r w:rsidRPr="0091083B">
        <w:t xml:space="preserve"> </w:t>
      </w:r>
      <w:r w:rsidRPr="0091083B">
        <w:rPr>
          <w:lang w:eastAsia="ru-RU"/>
        </w:rPr>
        <w:t>для отримання зауважень та пропозицій.</w:t>
      </w:r>
    </w:p>
    <w:p w:rsidR="003A0408" w:rsidRDefault="0091083B" w:rsidP="0091083B">
      <w:pPr>
        <w:tabs>
          <w:tab w:val="left" w:pos="284"/>
        </w:tabs>
        <w:ind w:firstLine="567"/>
        <w:jc w:val="both"/>
        <w:rPr>
          <w:lang w:eastAsia="en-US"/>
        </w:rPr>
      </w:pPr>
      <w:r w:rsidRPr="0091083B">
        <w:t xml:space="preserve">Законопроєкт розроблений Міністерством фінансів України з метою </w:t>
      </w:r>
      <w:r w:rsidR="008137B5" w:rsidRPr="0091083B">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r w:rsidRPr="0091083B">
        <w:t>, що сприятиме виконанню міжнародних зобов’язань, взятих Україною після</w:t>
      </w:r>
      <w:r w:rsidR="003A0408" w:rsidRPr="0091083B">
        <w:t xml:space="preserve"> </w:t>
      </w:r>
      <w:r w:rsidRPr="0091083B">
        <w:t>приєднання</w:t>
      </w:r>
      <w:r w:rsidR="003A0408" w:rsidRPr="0091083B">
        <w:t xml:space="preserve"> у січні 2017 року до Програми розширеного співробітництва в рамках </w:t>
      </w:r>
      <w:r w:rsidRPr="0091083B">
        <w:t>Організації економічного співробітництва та розвитку (далі – ОЕСР)</w:t>
      </w:r>
      <w:r w:rsidR="00477BD2" w:rsidRPr="0091083B">
        <w:t>.</w:t>
      </w:r>
      <w:r w:rsidR="003A0408" w:rsidRPr="0091083B">
        <w:rPr>
          <w:lang w:eastAsia="en-US"/>
        </w:rPr>
        <w:t xml:space="preserve"> </w:t>
      </w:r>
    </w:p>
    <w:p w:rsidR="0091083B" w:rsidRPr="0091083B" w:rsidRDefault="0091083B" w:rsidP="0091083B">
      <w:pPr>
        <w:pStyle w:val="a4"/>
        <w:tabs>
          <w:tab w:val="left" w:pos="709"/>
          <w:tab w:val="left" w:pos="851"/>
        </w:tabs>
        <w:ind w:firstLine="709"/>
        <w:rPr>
          <w:sz w:val="24"/>
          <w:lang w:eastAsia="uk-UA"/>
        </w:rPr>
      </w:pPr>
      <w:r w:rsidRPr="0091083B">
        <w:rPr>
          <w:sz w:val="24"/>
          <w:lang w:eastAsia="uk-UA"/>
        </w:rPr>
        <w:t xml:space="preserve">Запропоновані у </w:t>
      </w:r>
      <w:proofErr w:type="spellStart"/>
      <w:r w:rsidRPr="0091083B">
        <w:rPr>
          <w:sz w:val="24"/>
          <w:lang w:eastAsia="uk-UA"/>
        </w:rPr>
        <w:t>проєкті</w:t>
      </w:r>
      <w:proofErr w:type="spellEnd"/>
      <w:r w:rsidRPr="0091083B">
        <w:rPr>
          <w:sz w:val="24"/>
          <w:lang w:eastAsia="uk-UA"/>
        </w:rPr>
        <w:t xml:space="preserve"> </w:t>
      </w:r>
      <w:proofErr w:type="spellStart"/>
      <w:r w:rsidRPr="0091083B">
        <w:rPr>
          <w:sz w:val="24"/>
          <w:lang w:eastAsia="uk-UA"/>
        </w:rPr>
        <w:t>акта</w:t>
      </w:r>
      <w:proofErr w:type="spellEnd"/>
      <w:r w:rsidRPr="0091083B">
        <w:rPr>
          <w:sz w:val="24"/>
          <w:lang w:eastAsia="uk-UA"/>
        </w:rPr>
        <w:t xml:space="preserve"> зміни спрямовані на імплементацію стандартів Кроку 14 Плану дій BEPS (</w:t>
      </w:r>
      <w:proofErr w:type="spellStart"/>
      <w:r w:rsidRPr="0091083B">
        <w:rPr>
          <w:sz w:val="24"/>
          <w:lang w:eastAsia="uk-UA"/>
        </w:rPr>
        <w:t>Base</w:t>
      </w:r>
      <w:proofErr w:type="spellEnd"/>
      <w:r w:rsidRPr="0091083B">
        <w:rPr>
          <w:sz w:val="24"/>
          <w:lang w:eastAsia="uk-UA"/>
        </w:rPr>
        <w:t xml:space="preserve"> </w:t>
      </w:r>
      <w:proofErr w:type="spellStart"/>
      <w:r w:rsidRPr="0091083B">
        <w:rPr>
          <w:sz w:val="24"/>
          <w:lang w:eastAsia="uk-UA"/>
        </w:rPr>
        <w:t>Erosion</w:t>
      </w:r>
      <w:proofErr w:type="spellEnd"/>
      <w:r w:rsidRPr="0091083B">
        <w:rPr>
          <w:sz w:val="24"/>
          <w:lang w:eastAsia="uk-UA"/>
        </w:rPr>
        <w:t xml:space="preserve"> </w:t>
      </w:r>
      <w:proofErr w:type="spellStart"/>
      <w:r w:rsidRPr="0091083B">
        <w:rPr>
          <w:sz w:val="24"/>
          <w:lang w:eastAsia="uk-UA"/>
        </w:rPr>
        <w:t>and</w:t>
      </w:r>
      <w:proofErr w:type="spellEnd"/>
      <w:r w:rsidRPr="0091083B">
        <w:rPr>
          <w:sz w:val="24"/>
          <w:lang w:eastAsia="uk-UA"/>
        </w:rPr>
        <w:t xml:space="preserve"> </w:t>
      </w:r>
      <w:proofErr w:type="spellStart"/>
      <w:r w:rsidRPr="0091083B">
        <w:rPr>
          <w:sz w:val="24"/>
          <w:lang w:eastAsia="uk-UA"/>
        </w:rPr>
        <w:t>Profit</w:t>
      </w:r>
      <w:proofErr w:type="spellEnd"/>
      <w:r w:rsidRPr="0091083B">
        <w:rPr>
          <w:sz w:val="24"/>
          <w:lang w:eastAsia="uk-UA"/>
        </w:rPr>
        <w:t xml:space="preserve"> </w:t>
      </w:r>
      <w:proofErr w:type="spellStart"/>
      <w:r w:rsidRPr="0091083B">
        <w:rPr>
          <w:sz w:val="24"/>
          <w:lang w:eastAsia="uk-UA"/>
        </w:rPr>
        <w:t>Shifting</w:t>
      </w:r>
      <w:proofErr w:type="spellEnd"/>
      <w:r w:rsidRPr="0091083B">
        <w:rPr>
          <w:sz w:val="24"/>
          <w:lang w:eastAsia="uk-UA"/>
        </w:rPr>
        <w:t>), викладених у заключному звіті ОЕСР «Дія BEPS 14 щодо більш ефективних механізмів вирішення податкових спорів»,  оновленому в 2022 році</w:t>
      </w:r>
      <w:r>
        <w:rPr>
          <w:sz w:val="24"/>
          <w:lang w:eastAsia="uk-UA"/>
        </w:rPr>
        <w:t>,</w:t>
      </w:r>
      <w:r w:rsidRPr="0091083B">
        <w:rPr>
          <w:sz w:val="24"/>
          <w:lang w:eastAsia="uk-UA"/>
        </w:rPr>
        <w:t xml:space="preserve"> і </w:t>
      </w:r>
      <w:r>
        <w:rPr>
          <w:sz w:val="24"/>
          <w:lang w:eastAsia="uk-UA"/>
        </w:rPr>
        <w:t>рекомендацій</w:t>
      </w:r>
      <w:r w:rsidRPr="0091083B">
        <w:rPr>
          <w:sz w:val="24"/>
          <w:lang w:eastAsia="uk-UA"/>
        </w:rPr>
        <w:t xml:space="preserve"> Настанов ОЕСР з трансфертного ціноутворення для мультинаціональних підприємств та податкових адміністрацій у редакції 2022 року.</w:t>
      </w:r>
    </w:p>
    <w:p w:rsidR="0092041A" w:rsidRPr="0091083B" w:rsidRDefault="00855B2F" w:rsidP="00B81B3F">
      <w:pPr>
        <w:pStyle w:val="a4"/>
        <w:tabs>
          <w:tab w:val="left" w:pos="709"/>
          <w:tab w:val="left" w:pos="851"/>
        </w:tabs>
        <w:ind w:firstLine="567"/>
        <w:rPr>
          <w:sz w:val="24"/>
        </w:rPr>
      </w:pPr>
      <w:proofErr w:type="spellStart"/>
      <w:r w:rsidRPr="0091083B">
        <w:rPr>
          <w:sz w:val="24"/>
        </w:rPr>
        <w:t>Про</w:t>
      </w:r>
      <w:r w:rsidR="003A0408" w:rsidRPr="0091083B">
        <w:rPr>
          <w:sz w:val="24"/>
        </w:rPr>
        <w:t>є</w:t>
      </w:r>
      <w:r w:rsidRPr="0091083B">
        <w:rPr>
          <w:sz w:val="24"/>
        </w:rPr>
        <w:t>ктом</w:t>
      </w:r>
      <w:proofErr w:type="spellEnd"/>
      <w:r w:rsidRPr="0091083B">
        <w:rPr>
          <w:sz w:val="24"/>
        </w:rPr>
        <w:t xml:space="preserve"> </w:t>
      </w:r>
      <w:proofErr w:type="spellStart"/>
      <w:r w:rsidR="0092041A" w:rsidRPr="0091083B">
        <w:rPr>
          <w:sz w:val="24"/>
        </w:rPr>
        <w:t>акта</w:t>
      </w:r>
      <w:proofErr w:type="spellEnd"/>
      <w:r w:rsidR="0092041A" w:rsidRPr="0091083B">
        <w:rPr>
          <w:sz w:val="24"/>
        </w:rPr>
        <w:t xml:space="preserve"> </w:t>
      </w:r>
      <w:r w:rsidR="0047462C" w:rsidRPr="0091083B">
        <w:rPr>
          <w:sz w:val="24"/>
        </w:rPr>
        <w:t>вносяться зміни до Кодексу, якими запропоновано</w:t>
      </w:r>
      <w:r w:rsidR="0092041A" w:rsidRPr="0091083B">
        <w:rPr>
          <w:sz w:val="24"/>
        </w:rPr>
        <w:t>:</w:t>
      </w:r>
    </w:p>
    <w:p w:rsidR="008137B5" w:rsidRPr="0091083B" w:rsidRDefault="008137B5" w:rsidP="00B81B3F">
      <w:pPr>
        <w:pStyle w:val="a4"/>
        <w:tabs>
          <w:tab w:val="left" w:pos="709"/>
          <w:tab w:val="left" w:pos="851"/>
        </w:tabs>
        <w:ind w:firstLine="567"/>
        <w:rPr>
          <w:sz w:val="24"/>
        </w:rPr>
      </w:pPr>
      <w:r w:rsidRPr="0091083B">
        <w:rPr>
          <w:sz w:val="24"/>
        </w:rPr>
        <w:t xml:space="preserve">1. </w:t>
      </w:r>
      <w:r w:rsidRPr="0091083B">
        <w:rPr>
          <w:i/>
          <w:sz w:val="24"/>
        </w:rPr>
        <w:t>Щодо процедури взаємного узгодження:</w:t>
      </w:r>
    </w:p>
    <w:p w:rsidR="008137B5" w:rsidRPr="0091083B" w:rsidRDefault="008137B5" w:rsidP="00B81B3F">
      <w:pPr>
        <w:pStyle w:val="a4"/>
        <w:tabs>
          <w:tab w:val="left" w:pos="709"/>
          <w:tab w:val="left" w:pos="851"/>
        </w:tabs>
        <w:ind w:firstLine="567"/>
        <w:rPr>
          <w:sz w:val="24"/>
        </w:rPr>
      </w:pPr>
      <w:r w:rsidRPr="0091083B">
        <w:rPr>
          <w:sz w:val="24"/>
        </w:rPr>
        <w:t xml:space="preserve">структурувати порядок дій компетентного органу України (ДПС) під час розгляду справи за </w:t>
      </w:r>
      <w:r w:rsidR="008044B3">
        <w:rPr>
          <w:sz w:val="24"/>
        </w:rPr>
        <w:t>процедурою взаємного узгодження</w:t>
      </w:r>
      <w:r w:rsidR="0091083B">
        <w:rPr>
          <w:sz w:val="24"/>
        </w:rPr>
        <w:t xml:space="preserve"> і </w:t>
      </w:r>
      <w:r w:rsidRPr="0091083B">
        <w:rPr>
          <w:sz w:val="24"/>
        </w:rPr>
        <w:t xml:space="preserve">уточнити обсяг прав платника податків під час розгляду </w:t>
      </w:r>
      <w:r w:rsidR="00B46385">
        <w:rPr>
          <w:sz w:val="24"/>
        </w:rPr>
        <w:t xml:space="preserve">такої </w:t>
      </w:r>
      <w:r w:rsidRPr="0091083B">
        <w:rPr>
          <w:sz w:val="24"/>
        </w:rPr>
        <w:t>справи</w:t>
      </w:r>
      <w:r w:rsidR="008044B3">
        <w:rPr>
          <w:sz w:val="24"/>
        </w:rPr>
        <w:t xml:space="preserve"> (</w:t>
      </w:r>
      <w:r w:rsidRPr="0091083B">
        <w:rPr>
          <w:sz w:val="24"/>
        </w:rPr>
        <w:t>зокрема, передбач</w:t>
      </w:r>
      <w:r w:rsidR="008044B3">
        <w:rPr>
          <w:sz w:val="24"/>
        </w:rPr>
        <w:t>ено</w:t>
      </w:r>
      <w:r w:rsidRPr="0091083B">
        <w:rPr>
          <w:sz w:val="24"/>
        </w:rPr>
        <w:t xml:space="preserve"> право платника податків відмовитися від домовленостей, досягнутих компетентними органами за результатами розгляду справи</w:t>
      </w:r>
      <w:r w:rsidR="008044B3">
        <w:rPr>
          <w:sz w:val="24"/>
        </w:rPr>
        <w:t>)</w:t>
      </w:r>
      <w:r w:rsidRPr="0091083B">
        <w:rPr>
          <w:sz w:val="24"/>
        </w:rPr>
        <w:t xml:space="preserve">; </w:t>
      </w:r>
    </w:p>
    <w:p w:rsidR="008137B5" w:rsidRPr="0091083B" w:rsidRDefault="008137B5" w:rsidP="008137B5">
      <w:pPr>
        <w:pStyle w:val="a4"/>
        <w:tabs>
          <w:tab w:val="left" w:pos="709"/>
          <w:tab w:val="left" w:pos="851"/>
        </w:tabs>
        <w:ind w:firstLine="709"/>
        <w:rPr>
          <w:sz w:val="24"/>
        </w:rPr>
      </w:pPr>
      <w:r w:rsidRPr="0091083B">
        <w:rPr>
          <w:sz w:val="24"/>
        </w:rPr>
        <w:t xml:space="preserve">уточнити перелік підстав для відмови особі в розгляді справи за </w:t>
      </w:r>
      <w:r w:rsidR="008044B3">
        <w:rPr>
          <w:sz w:val="24"/>
        </w:rPr>
        <w:t>процедурою взаємного узгодження (</w:t>
      </w:r>
      <w:r w:rsidRPr="0091083B">
        <w:rPr>
          <w:sz w:val="24"/>
        </w:rPr>
        <w:t>зокрема, виключ</w:t>
      </w:r>
      <w:r w:rsidR="008044B3">
        <w:rPr>
          <w:sz w:val="24"/>
        </w:rPr>
        <w:t>ено</w:t>
      </w:r>
      <w:r w:rsidRPr="0091083B">
        <w:rPr>
          <w:sz w:val="24"/>
        </w:rPr>
        <w:t xml:space="preserve"> підставу</w:t>
      </w:r>
      <w:r w:rsidR="008044B3">
        <w:rPr>
          <w:sz w:val="24"/>
        </w:rPr>
        <w:t xml:space="preserve"> для відмови</w:t>
      </w:r>
      <w:r w:rsidRPr="0091083B">
        <w:rPr>
          <w:sz w:val="24"/>
        </w:rPr>
        <w:t xml:space="preserve">, пов’язану з </w:t>
      </w:r>
      <w:r w:rsidRPr="0091083B">
        <w:rPr>
          <w:sz w:val="24"/>
          <w:shd w:val="clear" w:color="auto" w:fill="FFFFFF"/>
        </w:rPr>
        <w:t>наявністю розпочатого, але не завершеного адміністративного або судового оскарження з тих самих питань, щодо яких подана заява</w:t>
      </w:r>
      <w:r w:rsidR="008044B3">
        <w:rPr>
          <w:sz w:val="24"/>
          <w:shd w:val="clear" w:color="auto" w:fill="FFFFFF"/>
        </w:rPr>
        <w:t>)</w:t>
      </w:r>
      <w:r w:rsidRPr="0091083B">
        <w:rPr>
          <w:sz w:val="24"/>
          <w:shd w:val="clear" w:color="auto" w:fill="FFFFFF"/>
        </w:rPr>
        <w:t>;</w:t>
      </w:r>
    </w:p>
    <w:p w:rsidR="008137B5" w:rsidRPr="0091083B" w:rsidRDefault="008137B5" w:rsidP="008137B5">
      <w:pPr>
        <w:pStyle w:val="a4"/>
        <w:tabs>
          <w:tab w:val="left" w:pos="709"/>
          <w:tab w:val="left" w:pos="851"/>
        </w:tabs>
        <w:ind w:firstLine="709"/>
        <w:rPr>
          <w:sz w:val="24"/>
        </w:rPr>
      </w:pPr>
      <w:r w:rsidRPr="0091083B">
        <w:rPr>
          <w:sz w:val="24"/>
        </w:rPr>
        <w:t xml:space="preserve">визначити результати розгляду справи за </w:t>
      </w:r>
      <w:r w:rsidR="008044B3">
        <w:rPr>
          <w:sz w:val="24"/>
        </w:rPr>
        <w:t>процедурою взаємного узгодження</w:t>
      </w:r>
      <w:r w:rsidRPr="0091083B">
        <w:rPr>
          <w:sz w:val="24"/>
        </w:rPr>
        <w:t xml:space="preserve"> (зокрема, досягнення домовленості компетентних органів про повне, часткове усунення оподаткування, що не відповідає положенням міжнародного договору, або про відсутність оподаткування, що не відповідає п</w:t>
      </w:r>
      <w:r w:rsidR="008044B3">
        <w:rPr>
          <w:sz w:val="24"/>
        </w:rPr>
        <w:t>оложенням міжнародного договору</w:t>
      </w:r>
      <w:r w:rsidRPr="0091083B">
        <w:rPr>
          <w:sz w:val="24"/>
        </w:rPr>
        <w:t>);</w:t>
      </w:r>
    </w:p>
    <w:p w:rsidR="008137B5" w:rsidRPr="0091083B" w:rsidRDefault="008137B5" w:rsidP="008137B5">
      <w:pPr>
        <w:pStyle w:val="a4"/>
        <w:tabs>
          <w:tab w:val="left" w:pos="709"/>
          <w:tab w:val="left" w:pos="851"/>
        </w:tabs>
        <w:ind w:firstLine="709"/>
        <w:rPr>
          <w:sz w:val="24"/>
        </w:rPr>
      </w:pPr>
      <w:r w:rsidRPr="0091083B">
        <w:rPr>
          <w:sz w:val="24"/>
        </w:rPr>
        <w:t>закріпити обов’язок виконання домовленостей, досягнутих компетентними органами і визнаних платником податків, незалежно від строків, встановлених Кодексом, якщо міжнародним договором про уникнення подвійного оподаткування не передбачено інше;</w:t>
      </w:r>
    </w:p>
    <w:p w:rsidR="008137B5" w:rsidRPr="0091083B" w:rsidRDefault="008137B5" w:rsidP="008137B5">
      <w:pPr>
        <w:pStyle w:val="a4"/>
        <w:tabs>
          <w:tab w:val="left" w:pos="709"/>
          <w:tab w:val="left" w:pos="851"/>
        </w:tabs>
        <w:spacing w:after="120"/>
        <w:ind w:firstLine="709"/>
        <w:rPr>
          <w:sz w:val="24"/>
        </w:rPr>
      </w:pPr>
      <w:r w:rsidRPr="0091083B">
        <w:rPr>
          <w:sz w:val="24"/>
        </w:rPr>
        <w:t xml:space="preserve">встановити послідовність застосування </w:t>
      </w:r>
      <w:r w:rsidR="008044B3">
        <w:rPr>
          <w:sz w:val="24"/>
        </w:rPr>
        <w:t>процедури взаємного узгодження</w:t>
      </w:r>
      <w:r w:rsidRPr="0091083B">
        <w:rPr>
          <w:sz w:val="24"/>
        </w:rPr>
        <w:t xml:space="preserve"> та судового оскарження, зокрема врегулювати питання їх паралельного застосування або визначення пріоритетності на різних етапах розгляду справу.</w:t>
      </w:r>
    </w:p>
    <w:p w:rsidR="008137B5" w:rsidRPr="00404C5C" w:rsidRDefault="008137B5" w:rsidP="008137B5">
      <w:pPr>
        <w:pStyle w:val="a4"/>
        <w:tabs>
          <w:tab w:val="left" w:pos="709"/>
          <w:tab w:val="left" w:pos="851"/>
          <w:tab w:val="left" w:pos="993"/>
        </w:tabs>
        <w:ind w:firstLine="709"/>
        <w:rPr>
          <w:i/>
          <w:sz w:val="24"/>
        </w:rPr>
      </w:pPr>
      <w:r w:rsidRPr="00404C5C">
        <w:rPr>
          <w:i/>
          <w:sz w:val="24"/>
        </w:rPr>
        <w:t>2. Щодо попереднього узгодження ціноутворення у контрольованих операціях:</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виключити можливість укладення договору, що має односторонній характер, між платником податків та ДПС; </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надати можливість укладення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між платником податків та ДПС на підставі домовленості між ДПС та одним або декількома компетентними органами іноземних держав або їх уповноваженими особами (двосторонні  або багатосторонні договори);</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визначити поняття «критичних припущень», які підлягають погодженню  ДПС та одним або декількома компетентними органами іноземних юрисдикцій або їх уповноваженими особами, резидентом (резидентами) якої (яких) є сторона (сторони) такої контрольованої операції, та платником податків; </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визначити процедуру аналізу поданого платником податку звіту про виконання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надати можливість здійснювати опитування уповноважених осіб та/або працівників платника податків з питань дотримання договору про </w:t>
      </w:r>
      <w:r w:rsidR="00404C5C" w:rsidRPr="00404C5C">
        <w:rPr>
          <w:spacing w:val="6"/>
        </w:rPr>
        <w:t>попереднє узгодження</w:t>
      </w:r>
      <w:r w:rsidR="00404C5C" w:rsidRPr="00404C5C">
        <w:rPr>
          <w:i/>
        </w:rPr>
        <w:t xml:space="preserve"> </w:t>
      </w:r>
      <w:r w:rsidR="00404C5C" w:rsidRPr="00404C5C">
        <w:rPr>
          <w:spacing w:val="6"/>
        </w:rPr>
        <w:lastRenderedPageBreak/>
        <w:t>ціноутворення у контрольованих операціях</w:t>
      </w:r>
      <w:r w:rsidRPr="00404C5C">
        <w:rPr>
          <w:spacing w:val="6"/>
        </w:rPr>
        <w:t xml:space="preserve"> та аналізу відповідності фактичних обставин контрольованих операцій критичним припущенням;</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визначити підстави для здійснення документальної позапланової перевірки у разі припинення або визнання нікчемним договору, якщо отримано інформацію, що може свідчити про невиконання (виконання) платником податків умов договору;</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встановити терміни, в тому числі на подання ВПП заяви про попереднє узгодження ціноутворення у контрольованих операціях до ДПС;</w:t>
      </w:r>
    </w:p>
    <w:p w:rsidR="008137B5" w:rsidRPr="00404C5C" w:rsidRDefault="008137B5" w:rsidP="008137B5">
      <w:pPr>
        <w:pBdr>
          <w:top w:val="nil"/>
          <w:left w:val="nil"/>
          <w:bottom w:val="nil"/>
          <w:right w:val="nil"/>
          <w:between w:val="nil"/>
        </w:pBdr>
        <w:spacing w:after="120"/>
        <w:ind w:firstLine="709"/>
        <w:jc w:val="both"/>
        <w:rPr>
          <w:spacing w:val="6"/>
        </w:rPr>
      </w:pPr>
      <w:r w:rsidRPr="00404C5C">
        <w:rPr>
          <w:spacing w:val="6"/>
        </w:rPr>
        <w:t xml:space="preserve">дозволити за згодою сторін поширити положення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додатково на звітні (податкові) періоди, які передують періоду, в якому подана заява про </w:t>
      </w:r>
      <w:r w:rsidR="00404C5C" w:rsidRPr="00404C5C">
        <w:rPr>
          <w:spacing w:val="6"/>
        </w:rPr>
        <w:t>попереднє узгодження ціноутворення у контрольованих операціях</w:t>
      </w:r>
      <w:r w:rsidRPr="00404C5C">
        <w:rPr>
          <w:spacing w:val="6"/>
        </w:rPr>
        <w:t>.</w:t>
      </w:r>
    </w:p>
    <w:p w:rsidR="00855B2F" w:rsidRPr="0091083B" w:rsidRDefault="00855B2F" w:rsidP="00E70D3E">
      <w:pPr>
        <w:pStyle w:val="4"/>
        <w:keepNext w:val="0"/>
        <w:widowControl w:val="0"/>
        <w:tabs>
          <w:tab w:val="left" w:pos="709"/>
        </w:tabs>
        <w:spacing w:before="120"/>
        <w:ind w:firstLine="567"/>
        <w:jc w:val="both"/>
        <w:rPr>
          <w:b w:val="0"/>
          <w:sz w:val="24"/>
          <w:szCs w:val="24"/>
        </w:rPr>
      </w:pPr>
      <w:proofErr w:type="spellStart"/>
      <w:r w:rsidRPr="0091083B">
        <w:rPr>
          <w:b w:val="0"/>
          <w:sz w:val="24"/>
          <w:szCs w:val="24"/>
        </w:rPr>
        <w:t>Про</w:t>
      </w:r>
      <w:r w:rsidR="00E70D3E" w:rsidRPr="0091083B">
        <w:rPr>
          <w:b w:val="0"/>
          <w:sz w:val="24"/>
          <w:szCs w:val="24"/>
        </w:rPr>
        <w:t>є</w:t>
      </w:r>
      <w:r w:rsidRPr="0091083B">
        <w:rPr>
          <w:b w:val="0"/>
          <w:sz w:val="24"/>
          <w:szCs w:val="24"/>
        </w:rPr>
        <w:t>кт</w:t>
      </w:r>
      <w:proofErr w:type="spellEnd"/>
      <w:r w:rsidRPr="0091083B">
        <w:rPr>
          <w:b w:val="0"/>
          <w:sz w:val="24"/>
          <w:szCs w:val="24"/>
        </w:rPr>
        <w:t xml:space="preserve"> </w:t>
      </w:r>
      <w:proofErr w:type="spellStart"/>
      <w:r w:rsidR="0092041A" w:rsidRPr="0091083B">
        <w:rPr>
          <w:b w:val="0"/>
          <w:sz w:val="24"/>
          <w:szCs w:val="24"/>
        </w:rPr>
        <w:t>акта</w:t>
      </w:r>
      <w:proofErr w:type="spellEnd"/>
      <w:r w:rsidR="000305A6" w:rsidRPr="0091083B">
        <w:rPr>
          <w:b w:val="0"/>
          <w:sz w:val="24"/>
          <w:szCs w:val="24"/>
        </w:rPr>
        <w:t xml:space="preserve"> </w:t>
      </w:r>
      <w:r w:rsidRPr="0091083B">
        <w:rPr>
          <w:b w:val="0"/>
          <w:sz w:val="24"/>
          <w:szCs w:val="24"/>
        </w:rPr>
        <w:t>та аналіз його регуляторного впливу оприлюднен</w:t>
      </w:r>
      <w:r w:rsidR="008044B3">
        <w:rPr>
          <w:b w:val="0"/>
          <w:sz w:val="24"/>
          <w:szCs w:val="24"/>
        </w:rPr>
        <w:t>і</w:t>
      </w:r>
      <w:r w:rsidRPr="0091083B">
        <w:rPr>
          <w:b w:val="0"/>
          <w:sz w:val="24"/>
          <w:szCs w:val="24"/>
        </w:rPr>
        <w:t xml:space="preserve"> на офіційному </w:t>
      </w:r>
      <w:proofErr w:type="spellStart"/>
      <w:r w:rsidRPr="0091083B">
        <w:rPr>
          <w:b w:val="0"/>
          <w:sz w:val="24"/>
          <w:szCs w:val="24"/>
        </w:rPr>
        <w:t>вебсайті</w:t>
      </w:r>
      <w:proofErr w:type="spellEnd"/>
      <w:r w:rsidRPr="0091083B">
        <w:rPr>
          <w:b w:val="0"/>
          <w:sz w:val="24"/>
          <w:szCs w:val="24"/>
        </w:rPr>
        <w:t xml:space="preserve"> Міністерства фінансів України (</w:t>
      </w:r>
      <w:hyperlink r:id="rId8" w:history="1">
        <w:r w:rsidRPr="0091083B">
          <w:rPr>
            <w:sz w:val="24"/>
            <w:szCs w:val="24"/>
          </w:rPr>
          <w:t>https://www.mof.gov.ua/uk</w:t>
        </w:r>
      </w:hyperlink>
      <w:r w:rsidRPr="0091083B">
        <w:rPr>
          <w:b w:val="0"/>
          <w:sz w:val="24"/>
          <w:szCs w:val="24"/>
        </w:rPr>
        <w:t>) у рубриці «</w:t>
      </w:r>
      <w:proofErr w:type="spellStart"/>
      <w:r w:rsidRPr="0091083B">
        <w:rPr>
          <w:b w:val="0"/>
          <w:sz w:val="24"/>
          <w:szCs w:val="24"/>
        </w:rPr>
        <w:t>Про</w:t>
      </w:r>
      <w:r w:rsidR="003A0890" w:rsidRPr="0091083B">
        <w:rPr>
          <w:b w:val="0"/>
          <w:sz w:val="24"/>
          <w:szCs w:val="24"/>
        </w:rPr>
        <w:t>є</w:t>
      </w:r>
      <w:r w:rsidRPr="0091083B">
        <w:rPr>
          <w:b w:val="0"/>
          <w:sz w:val="24"/>
          <w:szCs w:val="24"/>
        </w:rPr>
        <w:t>кти</w:t>
      </w:r>
      <w:proofErr w:type="spellEnd"/>
      <w:r w:rsidRPr="0091083B">
        <w:rPr>
          <w:b w:val="0"/>
          <w:sz w:val="24"/>
          <w:szCs w:val="24"/>
        </w:rPr>
        <w:t xml:space="preserve"> регуляторних актів для обговорення/Про</w:t>
      </w:r>
      <w:r w:rsidR="003A0890" w:rsidRPr="0091083B">
        <w:rPr>
          <w:b w:val="0"/>
          <w:sz w:val="24"/>
          <w:szCs w:val="24"/>
        </w:rPr>
        <w:t>є</w:t>
      </w:r>
      <w:r w:rsidRPr="0091083B">
        <w:rPr>
          <w:b w:val="0"/>
          <w:sz w:val="24"/>
          <w:szCs w:val="24"/>
        </w:rPr>
        <w:t>кти регуляторних актів для обговорення у 202</w:t>
      </w:r>
      <w:r w:rsidR="00E70D3E" w:rsidRPr="0091083B">
        <w:rPr>
          <w:b w:val="0"/>
          <w:sz w:val="24"/>
          <w:szCs w:val="24"/>
        </w:rPr>
        <w:t>5</w:t>
      </w:r>
      <w:r w:rsidRPr="0091083B">
        <w:rPr>
          <w:b w:val="0"/>
          <w:sz w:val="24"/>
          <w:szCs w:val="24"/>
        </w:rPr>
        <w:t xml:space="preserve"> р.» розділу «Законодавство».</w:t>
      </w:r>
    </w:p>
    <w:p w:rsidR="00855B2F" w:rsidRPr="0091083B" w:rsidRDefault="00855B2F" w:rsidP="00E70D3E">
      <w:pPr>
        <w:pStyle w:val="4"/>
        <w:keepNext w:val="0"/>
        <w:widowControl w:val="0"/>
        <w:tabs>
          <w:tab w:val="left" w:pos="709"/>
        </w:tabs>
        <w:spacing w:before="120"/>
        <w:ind w:firstLine="567"/>
        <w:jc w:val="both"/>
        <w:rPr>
          <w:b w:val="0"/>
          <w:sz w:val="24"/>
          <w:szCs w:val="24"/>
        </w:rPr>
      </w:pPr>
      <w:r w:rsidRPr="0091083B">
        <w:rPr>
          <w:b w:val="0"/>
          <w:sz w:val="24"/>
          <w:szCs w:val="24"/>
        </w:rPr>
        <w:t xml:space="preserve">Зауваження та пропозиції до </w:t>
      </w:r>
      <w:r w:rsidR="004A63E8" w:rsidRPr="0091083B">
        <w:rPr>
          <w:b w:val="0"/>
          <w:sz w:val="24"/>
          <w:szCs w:val="24"/>
        </w:rPr>
        <w:t>П</w:t>
      </w:r>
      <w:r w:rsidRPr="0091083B">
        <w:rPr>
          <w:b w:val="0"/>
          <w:sz w:val="24"/>
          <w:szCs w:val="24"/>
        </w:rPr>
        <w:t>ро</w:t>
      </w:r>
      <w:r w:rsidR="00E70D3E" w:rsidRPr="0091083B">
        <w:rPr>
          <w:b w:val="0"/>
          <w:sz w:val="24"/>
          <w:szCs w:val="24"/>
        </w:rPr>
        <w:t>є</w:t>
      </w:r>
      <w:r w:rsidRPr="0091083B">
        <w:rPr>
          <w:b w:val="0"/>
          <w:sz w:val="24"/>
          <w:szCs w:val="24"/>
        </w:rPr>
        <w:t xml:space="preserve">кту </w:t>
      </w:r>
      <w:r w:rsidR="00E70D3E" w:rsidRPr="0091083B">
        <w:rPr>
          <w:b w:val="0"/>
          <w:sz w:val="24"/>
          <w:szCs w:val="24"/>
          <w:lang w:val="ru-RU"/>
        </w:rPr>
        <w:t>акта</w:t>
      </w:r>
      <w:r w:rsidRPr="0091083B">
        <w:rPr>
          <w:b w:val="0"/>
          <w:sz w:val="24"/>
          <w:szCs w:val="24"/>
          <w:lang w:val="ru-RU"/>
        </w:rPr>
        <w:t xml:space="preserve"> </w:t>
      </w:r>
      <w:r w:rsidR="004A63E8" w:rsidRPr="0091083B">
        <w:rPr>
          <w:b w:val="0"/>
          <w:sz w:val="24"/>
          <w:szCs w:val="24"/>
        </w:rPr>
        <w:t xml:space="preserve">в </w:t>
      </w:r>
      <w:r w:rsidRPr="0091083B">
        <w:rPr>
          <w:b w:val="0"/>
          <w:sz w:val="24"/>
          <w:szCs w:val="24"/>
        </w:rPr>
        <w:t>письмовій та електронній формі надсилати на адреси:</w:t>
      </w:r>
    </w:p>
    <w:p w:rsidR="002B2A41" w:rsidRPr="0091083B" w:rsidRDefault="00855B2F" w:rsidP="00E70D3E">
      <w:pPr>
        <w:ind w:firstLine="567"/>
        <w:jc w:val="both"/>
      </w:pPr>
      <w:r w:rsidRPr="0091083B">
        <w:t xml:space="preserve">Міністерство фінансів України, вул. Грушевського, 12/2, м. Київ-8, </w:t>
      </w:r>
      <w:r w:rsidR="0092041A" w:rsidRPr="0091083B">
        <w:t xml:space="preserve">01008,                 </w:t>
      </w:r>
      <w:r w:rsidR="00D72B7A">
        <w:t xml:space="preserve">              </w:t>
      </w:r>
      <w:bookmarkStart w:id="1" w:name="_GoBack"/>
      <w:bookmarkEnd w:id="1"/>
      <w:r w:rsidR="0092041A" w:rsidRPr="0091083B">
        <w:t xml:space="preserve"> е-</w:t>
      </w:r>
      <w:proofErr w:type="spellStart"/>
      <w:r w:rsidR="0092041A" w:rsidRPr="0091083B">
        <w:t>mail</w:t>
      </w:r>
      <w:proofErr w:type="spellEnd"/>
      <w:r w:rsidR="0092041A" w:rsidRPr="0091083B">
        <w:t>: </w:t>
      </w:r>
      <w:r w:rsidR="002B2A41" w:rsidRPr="0091083B">
        <w:rPr>
          <w:lang w:eastAsia="ru-RU"/>
        </w:rPr>
        <w:t>infomf@minfin.gov.ua,</w:t>
      </w:r>
      <w:r w:rsidR="00AD7B12" w:rsidRPr="0091083B">
        <w:rPr>
          <w:lang w:eastAsia="ru-RU"/>
        </w:rPr>
        <w:t> </w:t>
      </w:r>
      <w:r w:rsidR="00E70D3E" w:rsidRPr="0091083B">
        <w:rPr>
          <w:lang w:eastAsia="ru-RU"/>
        </w:rPr>
        <w:t>tp@minfin.gov.ua</w:t>
      </w:r>
      <w:r w:rsidR="0092041A" w:rsidRPr="0091083B">
        <w:rPr>
          <w:lang w:eastAsia="ru-RU"/>
        </w:rPr>
        <w:t xml:space="preserve">, </w:t>
      </w:r>
      <w:r w:rsidR="00AD7B12" w:rsidRPr="0091083B">
        <w:rPr>
          <w:lang w:eastAsia="ru-RU"/>
        </w:rPr>
        <w:t>nhorieva@minfin.gov.ua</w:t>
      </w:r>
      <w:r w:rsidR="002B2A41" w:rsidRPr="0091083B">
        <w:rPr>
          <w:lang w:eastAsia="ru-RU"/>
        </w:rPr>
        <w:t>.</w:t>
      </w:r>
    </w:p>
    <w:p w:rsidR="00855B2F" w:rsidRPr="0091083B" w:rsidRDefault="00855B2F" w:rsidP="00E70D3E">
      <w:pPr>
        <w:widowControl w:val="0"/>
        <w:ind w:firstLine="567"/>
        <w:jc w:val="both"/>
        <w:rPr>
          <w:lang w:val="ru-RU"/>
        </w:rPr>
      </w:pPr>
      <w:r w:rsidRPr="0091083B">
        <w:t xml:space="preserve">Державна регуляторна служба України, вул. </w:t>
      </w:r>
      <w:proofErr w:type="spellStart"/>
      <w:r w:rsidRPr="0091083B">
        <w:rPr>
          <w:lang w:val="ru-RU"/>
        </w:rPr>
        <w:t>Арсенальна</w:t>
      </w:r>
      <w:proofErr w:type="spellEnd"/>
      <w:r w:rsidRPr="0091083B">
        <w:rPr>
          <w:lang w:val="ru-RU"/>
        </w:rPr>
        <w:t>, буд. 9/11</w:t>
      </w:r>
      <w:r w:rsidRPr="0091083B">
        <w:t>, м. Київ, 01011, е</w:t>
      </w:r>
      <w:r w:rsidRPr="0091083B">
        <w:rPr>
          <w:lang w:val="ru-RU"/>
        </w:rPr>
        <w:t>-</w:t>
      </w:r>
      <w:proofErr w:type="spellStart"/>
      <w:r w:rsidRPr="0091083B">
        <w:rPr>
          <w:lang w:val="ru-RU"/>
        </w:rPr>
        <w:t>mail</w:t>
      </w:r>
      <w:proofErr w:type="spellEnd"/>
      <w:r w:rsidRPr="0091083B">
        <w:rPr>
          <w:lang w:val="ru-RU"/>
        </w:rPr>
        <w:t xml:space="preserve">: </w:t>
      </w:r>
      <w:r w:rsidRPr="0091083B">
        <w:rPr>
          <w:rStyle w:val="a3"/>
          <w:color w:val="auto"/>
          <w:lang w:val="en-US"/>
        </w:rPr>
        <w:t>inform</w:t>
      </w:r>
      <w:r w:rsidRPr="0091083B">
        <w:rPr>
          <w:rStyle w:val="a3"/>
          <w:color w:val="auto"/>
          <w:lang w:val="ru-RU"/>
        </w:rPr>
        <w:t>@</w:t>
      </w:r>
      <w:proofErr w:type="spellStart"/>
      <w:r w:rsidRPr="0091083B">
        <w:rPr>
          <w:rStyle w:val="a3"/>
          <w:color w:val="auto"/>
          <w:lang w:val="en-US"/>
        </w:rPr>
        <w:t>dkrp</w:t>
      </w:r>
      <w:proofErr w:type="spellEnd"/>
      <w:r w:rsidRPr="0091083B">
        <w:rPr>
          <w:rStyle w:val="a3"/>
          <w:color w:val="auto"/>
          <w:lang w:val="ru-RU"/>
        </w:rPr>
        <w:t>.</w:t>
      </w:r>
      <w:r w:rsidRPr="0091083B">
        <w:rPr>
          <w:rStyle w:val="a3"/>
          <w:color w:val="auto"/>
          <w:lang w:val="en-US"/>
        </w:rPr>
        <w:t>gov</w:t>
      </w:r>
      <w:r w:rsidRPr="0091083B">
        <w:rPr>
          <w:rStyle w:val="a3"/>
          <w:color w:val="auto"/>
          <w:lang w:val="ru-RU"/>
        </w:rPr>
        <w:t>.</w:t>
      </w:r>
      <w:proofErr w:type="spellStart"/>
      <w:r w:rsidRPr="0091083B">
        <w:rPr>
          <w:rStyle w:val="a3"/>
          <w:color w:val="auto"/>
          <w:lang w:val="en-US"/>
        </w:rPr>
        <w:t>ua</w:t>
      </w:r>
      <w:proofErr w:type="spellEnd"/>
      <w:r w:rsidRPr="0091083B">
        <w:rPr>
          <w:rStyle w:val="a3"/>
          <w:color w:val="auto"/>
          <w:lang w:val="ru-RU"/>
        </w:rPr>
        <w:t>.</w:t>
      </w:r>
    </w:p>
    <w:p w:rsidR="00855B2F" w:rsidRPr="006B18B7" w:rsidRDefault="00855B2F" w:rsidP="00855B2F">
      <w:pPr>
        <w:jc w:val="center"/>
        <w:rPr>
          <w:b/>
          <w:sz w:val="28"/>
          <w:szCs w:val="28"/>
          <w:lang w:val="en-US"/>
        </w:rPr>
      </w:pPr>
      <w:r w:rsidRPr="006B18B7">
        <w:rPr>
          <w:b/>
          <w:sz w:val="28"/>
          <w:szCs w:val="28"/>
          <w:lang w:val="en-US"/>
        </w:rPr>
        <w:t>_________________________________________</w:t>
      </w:r>
    </w:p>
    <w:p w:rsidR="00855B2F" w:rsidRPr="006B18B7" w:rsidRDefault="00855B2F" w:rsidP="00855B2F">
      <w:pPr>
        <w:rPr>
          <w:sz w:val="28"/>
          <w:szCs w:val="28"/>
        </w:rPr>
      </w:pPr>
    </w:p>
    <w:p w:rsidR="00092502" w:rsidRPr="006B18B7" w:rsidRDefault="00092502">
      <w:pPr>
        <w:rPr>
          <w:sz w:val="28"/>
          <w:szCs w:val="28"/>
        </w:rPr>
      </w:pPr>
    </w:p>
    <w:p w:rsidR="007D736F" w:rsidRPr="006B18B7" w:rsidRDefault="007D736F">
      <w:pPr>
        <w:rPr>
          <w:sz w:val="28"/>
          <w:szCs w:val="28"/>
        </w:rPr>
      </w:pPr>
    </w:p>
    <w:sectPr w:rsidR="007D736F" w:rsidRPr="006B18B7" w:rsidSect="004A63E8">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357"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CD2" w:rsidRDefault="007E0CD2" w:rsidP="00283F5D">
      <w:r>
        <w:separator/>
      </w:r>
    </w:p>
  </w:endnote>
  <w:endnote w:type="continuationSeparator" w:id="0">
    <w:p w:rsidR="007E0CD2" w:rsidRDefault="007E0CD2" w:rsidP="002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CD2" w:rsidRDefault="007E0CD2" w:rsidP="00283F5D">
      <w:r>
        <w:separator/>
      </w:r>
    </w:p>
  </w:footnote>
  <w:footnote w:type="continuationSeparator" w:id="0">
    <w:p w:rsidR="007E0CD2" w:rsidRDefault="007E0CD2" w:rsidP="0028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453703"/>
      <w:docPartObj>
        <w:docPartGallery w:val="Page Numbers (Top of Page)"/>
        <w:docPartUnique/>
      </w:docPartObj>
    </w:sdtPr>
    <w:sdtEndPr/>
    <w:sdtContent>
      <w:p w:rsidR="004A63E8" w:rsidRPr="006B18B7" w:rsidRDefault="004A63E8">
        <w:pPr>
          <w:pStyle w:val="a9"/>
          <w:jc w:val="center"/>
        </w:pPr>
        <w:r w:rsidRPr="006B18B7">
          <w:fldChar w:fldCharType="begin"/>
        </w:r>
        <w:r w:rsidRPr="006B18B7">
          <w:instrText>PAGE   \* MERGEFORMAT</w:instrText>
        </w:r>
        <w:r w:rsidRPr="006B18B7">
          <w:fldChar w:fldCharType="separate"/>
        </w:r>
        <w:r w:rsidR="00B46385">
          <w:rPr>
            <w:noProof/>
          </w:rPr>
          <w:t>2</w:t>
        </w:r>
        <w:r w:rsidRPr="006B18B7">
          <w:fldChar w:fldCharType="end"/>
        </w:r>
      </w:p>
    </w:sdtContent>
  </w:sdt>
  <w:p w:rsidR="004A63E8" w:rsidRDefault="004A63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2F2"/>
    <w:multiLevelType w:val="hybridMultilevel"/>
    <w:tmpl w:val="0262D368"/>
    <w:lvl w:ilvl="0" w:tplc="CAE448E0">
      <w:start w:val="11"/>
      <w:numFmt w:val="bullet"/>
      <w:lvlText w:val="-"/>
      <w:lvlJc w:val="left"/>
      <w:pPr>
        <w:ind w:left="1429" w:hanging="360"/>
      </w:pPr>
      <w:rPr>
        <w:rFonts w:ascii="Times New Roman" w:eastAsia="Calibri"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0262A61"/>
    <w:multiLevelType w:val="hybridMultilevel"/>
    <w:tmpl w:val="ACB2C58A"/>
    <w:lvl w:ilvl="0" w:tplc="768EC6A8">
      <w:start w:val="2"/>
      <w:numFmt w:val="bullet"/>
      <w:lvlText w:val="-"/>
      <w:lvlJc w:val="left"/>
      <w:pPr>
        <w:ind w:left="720" w:hanging="360"/>
      </w:pPr>
      <w:rPr>
        <w:rFonts w:ascii="Times New Roman" w:eastAsiaTheme="minorHAnsi" w:hAnsi="Times New Roman" w:cs="Times New Roman" w:hint="default"/>
      </w:rPr>
    </w:lvl>
    <w:lvl w:ilvl="1" w:tplc="768EC6A8">
      <w:start w:val="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11"/>
    <w:rsid w:val="000018D1"/>
    <w:rsid w:val="00007F4E"/>
    <w:rsid w:val="00010240"/>
    <w:rsid w:val="00011A79"/>
    <w:rsid w:val="00021CD3"/>
    <w:rsid w:val="000305A6"/>
    <w:rsid w:val="0003474F"/>
    <w:rsid w:val="000349D3"/>
    <w:rsid w:val="0004450E"/>
    <w:rsid w:val="00065ED6"/>
    <w:rsid w:val="00075397"/>
    <w:rsid w:val="00077087"/>
    <w:rsid w:val="0008314C"/>
    <w:rsid w:val="00084C45"/>
    <w:rsid w:val="000879DA"/>
    <w:rsid w:val="000914E2"/>
    <w:rsid w:val="00092502"/>
    <w:rsid w:val="0009446B"/>
    <w:rsid w:val="000A72EE"/>
    <w:rsid w:val="000D5414"/>
    <w:rsid w:val="000E3831"/>
    <w:rsid w:val="000E67DD"/>
    <w:rsid w:val="000F0128"/>
    <w:rsid w:val="000F2458"/>
    <w:rsid w:val="000F5865"/>
    <w:rsid w:val="00105958"/>
    <w:rsid w:val="001233D2"/>
    <w:rsid w:val="001237E6"/>
    <w:rsid w:val="00130190"/>
    <w:rsid w:val="001362F9"/>
    <w:rsid w:val="00147CB4"/>
    <w:rsid w:val="001554E6"/>
    <w:rsid w:val="00156092"/>
    <w:rsid w:val="00161454"/>
    <w:rsid w:val="00165937"/>
    <w:rsid w:val="00165FB9"/>
    <w:rsid w:val="00175D28"/>
    <w:rsid w:val="0019146F"/>
    <w:rsid w:val="001A1920"/>
    <w:rsid w:val="001B6452"/>
    <w:rsid w:val="001E6768"/>
    <w:rsid w:val="001F2726"/>
    <w:rsid w:val="00210D22"/>
    <w:rsid w:val="00217378"/>
    <w:rsid w:val="0021783F"/>
    <w:rsid w:val="0022100E"/>
    <w:rsid w:val="00223D07"/>
    <w:rsid w:val="00225A33"/>
    <w:rsid w:val="00233A88"/>
    <w:rsid w:val="00240BBD"/>
    <w:rsid w:val="00241405"/>
    <w:rsid w:val="00256CDB"/>
    <w:rsid w:val="00261C7C"/>
    <w:rsid w:val="0026445C"/>
    <w:rsid w:val="00276E02"/>
    <w:rsid w:val="00283F5D"/>
    <w:rsid w:val="00286B19"/>
    <w:rsid w:val="0029063F"/>
    <w:rsid w:val="00295A4F"/>
    <w:rsid w:val="00296EC8"/>
    <w:rsid w:val="002B2A41"/>
    <w:rsid w:val="002D490A"/>
    <w:rsid w:val="002F1D4E"/>
    <w:rsid w:val="003046E1"/>
    <w:rsid w:val="00307673"/>
    <w:rsid w:val="0033771D"/>
    <w:rsid w:val="0034655D"/>
    <w:rsid w:val="00394834"/>
    <w:rsid w:val="003A0408"/>
    <w:rsid w:val="003A0890"/>
    <w:rsid w:val="003A4516"/>
    <w:rsid w:val="003C47AD"/>
    <w:rsid w:val="003C7865"/>
    <w:rsid w:val="003D6A55"/>
    <w:rsid w:val="003D762E"/>
    <w:rsid w:val="003E20ED"/>
    <w:rsid w:val="00404C5C"/>
    <w:rsid w:val="00416005"/>
    <w:rsid w:val="00421926"/>
    <w:rsid w:val="004331D7"/>
    <w:rsid w:val="004638C7"/>
    <w:rsid w:val="00467EA7"/>
    <w:rsid w:val="0047462C"/>
    <w:rsid w:val="00477BD2"/>
    <w:rsid w:val="0049066F"/>
    <w:rsid w:val="00493667"/>
    <w:rsid w:val="004A0519"/>
    <w:rsid w:val="004A0CD8"/>
    <w:rsid w:val="004A63E8"/>
    <w:rsid w:val="004B3A3B"/>
    <w:rsid w:val="004C5E3C"/>
    <w:rsid w:val="004C6734"/>
    <w:rsid w:val="004E6B6A"/>
    <w:rsid w:val="004F4996"/>
    <w:rsid w:val="004F6A1C"/>
    <w:rsid w:val="004F6F58"/>
    <w:rsid w:val="0052541E"/>
    <w:rsid w:val="0053757F"/>
    <w:rsid w:val="00554C0A"/>
    <w:rsid w:val="00555803"/>
    <w:rsid w:val="00556F03"/>
    <w:rsid w:val="00557BA7"/>
    <w:rsid w:val="00570C15"/>
    <w:rsid w:val="005857E1"/>
    <w:rsid w:val="00595907"/>
    <w:rsid w:val="005A07BA"/>
    <w:rsid w:val="005B518F"/>
    <w:rsid w:val="005C117A"/>
    <w:rsid w:val="005D30FE"/>
    <w:rsid w:val="005E026E"/>
    <w:rsid w:val="005F33F1"/>
    <w:rsid w:val="00617735"/>
    <w:rsid w:val="00623471"/>
    <w:rsid w:val="00631BD9"/>
    <w:rsid w:val="00635BC3"/>
    <w:rsid w:val="00653E4C"/>
    <w:rsid w:val="0065724D"/>
    <w:rsid w:val="0066647D"/>
    <w:rsid w:val="006862E5"/>
    <w:rsid w:val="0069165B"/>
    <w:rsid w:val="006A6BE1"/>
    <w:rsid w:val="006B18B7"/>
    <w:rsid w:val="006B70FE"/>
    <w:rsid w:val="006C2495"/>
    <w:rsid w:val="006C2ADA"/>
    <w:rsid w:val="006C6547"/>
    <w:rsid w:val="006D3346"/>
    <w:rsid w:val="006D6A13"/>
    <w:rsid w:val="006E1BBF"/>
    <w:rsid w:val="007070B4"/>
    <w:rsid w:val="00710E62"/>
    <w:rsid w:val="00715830"/>
    <w:rsid w:val="00722C70"/>
    <w:rsid w:val="00746DD5"/>
    <w:rsid w:val="00750A55"/>
    <w:rsid w:val="0075213D"/>
    <w:rsid w:val="007813ED"/>
    <w:rsid w:val="007B383E"/>
    <w:rsid w:val="007C1328"/>
    <w:rsid w:val="007C7491"/>
    <w:rsid w:val="007D736F"/>
    <w:rsid w:val="007D79C6"/>
    <w:rsid w:val="007E0CD2"/>
    <w:rsid w:val="007E368C"/>
    <w:rsid w:val="007E3C30"/>
    <w:rsid w:val="007E4374"/>
    <w:rsid w:val="007E5E2C"/>
    <w:rsid w:val="007E739A"/>
    <w:rsid w:val="00803F5B"/>
    <w:rsid w:val="008044B3"/>
    <w:rsid w:val="008137B5"/>
    <w:rsid w:val="008509FC"/>
    <w:rsid w:val="00853C9A"/>
    <w:rsid w:val="00855B2F"/>
    <w:rsid w:val="00860FA1"/>
    <w:rsid w:val="00865740"/>
    <w:rsid w:val="008726C0"/>
    <w:rsid w:val="00876588"/>
    <w:rsid w:val="00883455"/>
    <w:rsid w:val="00883F30"/>
    <w:rsid w:val="00884CBA"/>
    <w:rsid w:val="008932E5"/>
    <w:rsid w:val="00895016"/>
    <w:rsid w:val="008B1D63"/>
    <w:rsid w:val="008B4282"/>
    <w:rsid w:val="008B6DEF"/>
    <w:rsid w:val="008C00BF"/>
    <w:rsid w:val="008D14C6"/>
    <w:rsid w:val="008E00EE"/>
    <w:rsid w:val="008F6FC9"/>
    <w:rsid w:val="0091083B"/>
    <w:rsid w:val="00913230"/>
    <w:rsid w:val="009163BA"/>
    <w:rsid w:val="00917019"/>
    <w:rsid w:val="00917F43"/>
    <w:rsid w:val="0092041A"/>
    <w:rsid w:val="009379AC"/>
    <w:rsid w:val="00940C79"/>
    <w:rsid w:val="00965915"/>
    <w:rsid w:val="00965D57"/>
    <w:rsid w:val="009733E7"/>
    <w:rsid w:val="00975144"/>
    <w:rsid w:val="0098035E"/>
    <w:rsid w:val="00986981"/>
    <w:rsid w:val="00987994"/>
    <w:rsid w:val="00995329"/>
    <w:rsid w:val="0099727D"/>
    <w:rsid w:val="009A02A0"/>
    <w:rsid w:val="009A7ADA"/>
    <w:rsid w:val="009B76AA"/>
    <w:rsid w:val="009B7C7D"/>
    <w:rsid w:val="009C555E"/>
    <w:rsid w:val="009D1346"/>
    <w:rsid w:val="009E4C11"/>
    <w:rsid w:val="009F4C60"/>
    <w:rsid w:val="00A31139"/>
    <w:rsid w:val="00A34D8E"/>
    <w:rsid w:val="00A351E5"/>
    <w:rsid w:val="00A5110D"/>
    <w:rsid w:val="00A95E28"/>
    <w:rsid w:val="00AA668B"/>
    <w:rsid w:val="00AB4977"/>
    <w:rsid w:val="00AC1AB5"/>
    <w:rsid w:val="00AC31DF"/>
    <w:rsid w:val="00AC375C"/>
    <w:rsid w:val="00AC65D9"/>
    <w:rsid w:val="00AC7890"/>
    <w:rsid w:val="00AD1E00"/>
    <w:rsid w:val="00AD7B12"/>
    <w:rsid w:val="00AF78C0"/>
    <w:rsid w:val="00B00A6A"/>
    <w:rsid w:val="00B15289"/>
    <w:rsid w:val="00B23DAB"/>
    <w:rsid w:val="00B25639"/>
    <w:rsid w:val="00B46385"/>
    <w:rsid w:val="00B464B5"/>
    <w:rsid w:val="00B51E21"/>
    <w:rsid w:val="00B75F01"/>
    <w:rsid w:val="00B81B3F"/>
    <w:rsid w:val="00B911F3"/>
    <w:rsid w:val="00BB1376"/>
    <w:rsid w:val="00BF74B3"/>
    <w:rsid w:val="00C05307"/>
    <w:rsid w:val="00C057E3"/>
    <w:rsid w:val="00C34B00"/>
    <w:rsid w:val="00C52EF2"/>
    <w:rsid w:val="00C7191C"/>
    <w:rsid w:val="00C7303B"/>
    <w:rsid w:val="00CA1AC8"/>
    <w:rsid w:val="00CA1DCA"/>
    <w:rsid w:val="00CA74E8"/>
    <w:rsid w:val="00CB20D2"/>
    <w:rsid w:val="00CC12C2"/>
    <w:rsid w:val="00CC7183"/>
    <w:rsid w:val="00CC71F2"/>
    <w:rsid w:val="00CE6484"/>
    <w:rsid w:val="00D14615"/>
    <w:rsid w:val="00D31540"/>
    <w:rsid w:val="00D50108"/>
    <w:rsid w:val="00D72B7A"/>
    <w:rsid w:val="00D76D78"/>
    <w:rsid w:val="00D919C6"/>
    <w:rsid w:val="00DD50C8"/>
    <w:rsid w:val="00DE018E"/>
    <w:rsid w:val="00DF00EB"/>
    <w:rsid w:val="00DF0D08"/>
    <w:rsid w:val="00E035FF"/>
    <w:rsid w:val="00E16915"/>
    <w:rsid w:val="00E213A8"/>
    <w:rsid w:val="00E223B7"/>
    <w:rsid w:val="00E235B8"/>
    <w:rsid w:val="00E343CF"/>
    <w:rsid w:val="00E45417"/>
    <w:rsid w:val="00E457CE"/>
    <w:rsid w:val="00E657A7"/>
    <w:rsid w:val="00E70D3E"/>
    <w:rsid w:val="00E80523"/>
    <w:rsid w:val="00E87D99"/>
    <w:rsid w:val="00EA0DB1"/>
    <w:rsid w:val="00ED6D04"/>
    <w:rsid w:val="00EE6903"/>
    <w:rsid w:val="00F019DE"/>
    <w:rsid w:val="00F03385"/>
    <w:rsid w:val="00F07370"/>
    <w:rsid w:val="00F2476F"/>
    <w:rsid w:val="00F531A9"/>
    <w:rsid w:val="00F7127B"/>
    <w:rsid w:val="00F745A4"/>
    <w:rsid w:val="00F84078"/>
    <w:rsid w:val="00FB3D5C"/>
    <w:rsid w:val="00FC0DD3"/>
    <w:rsid w:val="00FC3121"/>
    <w:rsid w:val="00FC4304"/>
    <w:rsid w:val="00FC7021"/>
    <w:rsid w:val="00FC72C2"/>
    <w:rsid w:val="00FD2CA9"/>
    <w:rsid w:val="00FD4A7B"/>
    <w:rsid w:val="00FD6248"/>
    <w:rsid w:val="00FE174E"/>
    <w:rsid w:val="00FE3A84"/>
    <w:rsid w:val="00FF5243"/>
    <w:rsid w:val="00FF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4AD9"/>
  <w15:docId w15:val="{E3315273-C956-4CC2-A291-A9634D8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24D"/>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qFormat/>
    <w:rsid w:val="00623471"/>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4C11"/>
    <w:rPr>
      <w:color w:val="0000FF"/>
      <w:u w:val="single"/>
    </w:rPr>
  </w:style>
  <w:style w:type="paragraph" w:styleId="a4">
    <w:name w:val="Body Text"/>
    <w:basedOn w:val="a"/>
    <w:link w:val="a5"/>
    <w:rsid w:val="009E4C11"/>
    <w:pPr>
      <w:jc w:val="both"/>
    </w:pPr>
    <w:rPr>
      <w:sz w:val="28"/>
      <w:lang w:eastAsia="ru-RU"/>
    </w:rPr>
  </w:style>
  <w:style w:type="character" w:customStyle="1" w:styleId="a5">
    <w:name w:val="Основний текст Знак"/>
    <w:basedOn w:val="a0"/>
    <w:link w:val="a4"/>
    <w:rsid w:val="009E4C11"/>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w:basedOn w:val="a"/>
    <w:rsid w:val="009E4C11"/>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95A4F"/>
    <w:rPr>
      <w:rFonts w:ascii="Verdana" w:hAnsi="Verdana" w:cs="Verdana"/>
      <w:sz w:val="20"/>
      <w:szCs w:val="20"/>
      <w:lang w:val="en-US" w:eastAsia="en-US"/>
    </w:rPr>
  </w:style>
  <w:style w:type="paragraph" w:styleId="a6">
    <w:name w:val="Normal (Web)"/>
    <w:aliases w:val="Обычный (Web)"/>
    <w:basedOn w:val="a"/>
    <w:uiPriority w:val="99"/>
    <w:unhideWhenUsed/>
    <w:qFormat/>
    <w:rsid w:val="00E223B7"/>
  </w:style>
  <w:style w:type="paragraph" w:styleId="a7">
    <w:name w:val="Balloon Text"/>
    <w:basedOn w:val="a"/>
    <w:link w:val="a8"/>
    <w:uiPriority w:val="99"/>
    <w:semiHidden/>
    <w:unhideWhenUsed/>
    <w:rsid w:val="009D1346"/>
    <w:rPr>
      <w:rFonts w:ascii="Tahoma" w:hAnsi="Tahoma" w:cs="Tahoma"/>
      <w:sz w:val="16"/>
      <w:szCs w:val="16"/>
    </w:rPr>
  </w:style>
  <w:style w:type="character" w:customStyle="1" w:styleId="a8">
    <w:name w:val="Текст у виносці Знак"/>
    <w:basedOn w:val="a0"/>
    <w:link w:val="a7"/>
    <w:uiPriority w:val="99"/>
    <w:semiHidden/>
    <w:rsid w:val="009D1346"/>
    <w:rPr>
      <w:rFonts w:ascii="Tahoma" w:eastAsia="Times New Roman" w:hAnsi="Tahoma" w:cs="Tahoma"/>
      <w:sz w:val="16"/>
      <w:szCs w:val="16"/>
      <w:lang w:eastAsia="uk-UA"/>
    </w:rPr>
  </w:style>
  <w:style w:type="paragraph" w:styleId="a9">
    <w:name w:val="header"/>
    <w:basedOn w:val="a"/>
    <w:link w:val="aa"/>
    <w:uiPriority w:val="99"/>
    <w:unhideWhenUsed/>
    <w:rsid w:val="00283F5D"/>
    <w:pPr>
      <w:tabs>
        <w:tab w:val="center" w:pos="4819"/>
        <w:tab w:val="right" w:pos="9639"/>
      </w:tabs>
    </w:pPr>
  </w:style>
  <w:style w:type="character" w:customStyle="1" w:styleId="aa">
    <w:name w:val="Верхній колонтитул Знак"/>
    <w:basedOn w:val="a0"/>
    <w:link w:val="a9"/>
    <w:uiPriority w:val="99"/>
    <w:rsid w:val="00283F5D"/>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283F5D"/>
    <w:pPr>
      <w:tabs>
        <w:tab w:val="center" w:pos="4819"/>
        <w:tab w:val="right" w:pos="9639"/>
      </w:tabs>
    </w:pPr>
  </w:style>
  <w:style w:type="character" w:customStyle="1" w:styleId="ac">
    <w:name w:val="Нижній колонтитул Знак"/>
    <w:basedOn w:val="a0"/>
    <w:link w:val="ab"/>
    <w:uiPriority w:val="99"/>
    <w:rsid w:val="00283F5D"/>
    <w:rPr>
      <w:rFonts w:ascii="Times New Roman" w:eastAsia="Times New Roman" w:hAnsi="Times New Roman" w:cs="Times New Roman"/>
      <w:sz w:val="24"/>
      <w:szCs w:val="24"/>
      <w:lang w:eastAsia="uk-UA"/>
    </w:rPr>
  </w:style>
  <w:style w:type="paragraph" w:styleId="ad">
    <w:name w:val="List Paragraph"/>
    <w:basedOn w:val="a"/>
    <w:uiPriority w:val="34"/>
    <w:qFormat/>
    <w:rsid w:val="0049066F"/>
    <w:pPr>
      <w:ind w:left="720"/>
      <w:contextualSpacing/>
    </w:pPr>
    <w:rPr>
      <w:lang w:val="ru-RU" w:eastAsia="ru-RU"/>
    </w:rPr>
  </w:style>
  <w:style w:type="character" w:customStyle="1" w:styleId="CharStyle15">
    <w:name w:val="Char Style 15"/>
    <w:basedOn w:val="a0"/>
    <w:link w:val="Style14"/>
    <w:rsid w:val="00AF78C0"/>
    <w:rPr>
      <w:sz w:val="28"/>
      <w:szCs w:val="28"/>
      <w:shd w:val="clear" w:color="auto" w:fill="FFFFFF"/>
    </w:rPr>
  </w:style>
  <w:style w:type="paragraph" w:customStyle="1" w:styleId="Style14">
    <w:name w:val="Style 14"/>
    <w:basedOn w:val="a"/>
    <w:link w:val="CharStyle15"/>
    <w:rsid w:val="00AF78C0"/>
    <w:pPr>
      <w:widowControl w:val="0"/>
      <w:shd w:val="clear" w:color="auto" w:fill="FFFFFF"/>
      <w:spacing w:before="1200" w:after="420" w:line="0" w:lineRule="atLeast"/>
    </w:pPr>
    <w:rPr>
      <w:rFonts w:asciiTheme="minorHAnsi" w:eastAsiaTheme="minorHAnsi" w:hAnsiTheme="minorHAnsi" w:cstheme="minorBidi"/>
      <w:sz w:val="28"/>
      <w:szCs w:val="28"/>
      <w:lang w:eastAsia="en-US"/>
    </w:rPr>
  </w:style>
  <w:style w:type="character" w:customStyle="1" w:styleId="40">
    <w:name w:val="Заголовок 4 Знак"/>
    <w:basedOn w:val="a0"/>
    <w:link w:val="4"/>
    <w:rsid w:val="00623471"/>
    <w:rPr>
      <w:rFonts w:ascii="Times New Roman" w:eastAsia="Times New Roman" w:hAnsi="Times New Roman" w:cs="Times New Roman"/>
      <w:b/>
      <w:sz w:val="28"/>
      <w:szCs w:val="20"/>
      <w:lang w:eastAsia="ru-RU"/>
    </w:rPr>
  </w:style>
  <w:style w:type="paragraph" w:customStyle="1" w:styleId="11">
    <w:name w:val="Знак Знак1 Знак Знак Знак1 Знак Знак Знак Знак Знак Знак Знак Знак Знак Знак"/>
    <w:basedOn w:val="a"/>
    <w:rsid w:val="00623471"/>
    <w:rPr>
      <w:rFonts w:ascii="Verdana" w:hAnsi="Verdana" w:cs="Verdana"/>
      <w:sz w:val="20"/>
      <w:szCs w:val="20"/>
      <w:lang w:val="en-US" w:eastAsia="en-US"/>
    </w:rPr>
  </w:style>
  <w:style w:type="paragraph" w:customStyle="1" w:styleId="110">
    <w:name w:val="Знак Знак1 Знак Знак Знак1 Знак Знак Знак Знак Знак Знак Знак Знак Знак Знак"/>
    <w:basedOn w:val="a"/>
    <w:rsid w:val="00E45417"/>
    <w:rPr>
      <w:rFonts w:ascii="Verdana" w:hAnsi="Verdana" w:cs="Verdana"/>
      <w:sz w:val="20"/>
      <w:szCs w:val="20"/>
      <w:lang w:val="en-US" w:eastAsia="en-US"/>
    </w:rPr>
  </w:style>
  <w:style w:type="paragraph" w:customStyle="1" w:styleId="111">
    <w:name w:val="Знак Знак1 Знак Знак Знак1 Знак Знак Знак Знак Знак Знак Знак Знак Знак Знак"/>
    <w:basedOn w:val="a"/>
    <w:rsid w:val="00FC0DD3"/>
    <w:rPr>
      <w:rFonts w:ascii="Verdana" w:hAnsi="Verdana" w:cs="Verdana"/>
      <w:sz w:val="20"/>
      <w:szCs w:val="20"/>
      <w:lang w:val="en-US" w:eastAsia="en-US"/>
    </w:rPr>
  </w:style>
  <w:style w:type="paragraph" w:customStyle="1" w:styleId="112">
    <w:name w:val="Знак Знак1 Знак Знак Знак1 Знак Знак Знак Знак Знак Знак Знак Знак Знак Знак"/>
    <w:basedOn w:val="a"/>
    <w:rsid w:val="0052541E"/>
    <w:rPr>
      <w:rFonts w:ascii="Verdana" w:hAnsi="Verdana" w:cs="Verdana"/>
      <w:sz w:val="20"/>
      <w:szCs w:val="20"/>
      <w:lang w:val="en-US" w:eastAsia="en-US"/>
    </w:rPr>
  </w:style>
  <w:style w:type="paragraph" w:customStyle="1" w:styleId="113">
    <w:name w:val="Знак Знак1 Знак Знак Знак1 Знак Знак Знак Знак Знак Знак Знак Знак Знак Знак"/>
    <w:basedOn w:val="a"/>
    <w:rsid w:val="00BB1376"/>
    <w:rPr>
      <w:rFonts w:ascii="Verdana" w:hAnsi="Verdana" w:cs="Verdana"/>
      <w:sz w:val="20"/>
      <w:szCs w:val="20"/>
      <w:lang w:val="en-US" w:eastAsia="en-US"/>
    </w:rPr>
  </w:style>
  <w:style w:type="character" w:customStyle="1" w:styleId="font171">
    <w:name w:val="font171"/>
    <w:rsid w:val="008137B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88954">
      <w:bodyDiv w:val="1"/>
      <w:marLeft w:val="0"/>
      <w:marRight w:val="0"/>
      <w:marTop w:val="0"/>
      <w:marBottom w:val="0"/>
      <w:divBdr>
        <w:top w:val="none" w:sz="0" w:space="0" w:color="auto"/>
        <w:left w:val="none" w:sz="0" w:space="0" w:color="auto"/>
        <w:bottom w:val="none" w:sz="0" w:space="0" w:color="auto"/>
        <w:right w:val="none" w:sz="0" w:space="0" w:color="auto"/>
      </w:divBdr>
      <w:divsChild>
        <w:div w:id="453790382">
          <w:marLeft w:val="0"/>
          <w:marRight w:val="0"/>
          <w:marTop w:val="0"/>
          <w:marBottom w:val="0"/>
          <w:divBdr>
            <w:top w:val="none" w:sz="0" w:space="0" w:color="auto"/>
            <w:left w:val="none" w:sz="0" w:space="0" w:color="auto"/>
            <w:bottom w:val="none" w:sz="0" w:space="0" w:color="auto"/>
            <w:right w:val="none" w:sz="0" w:space="0" w:color="auto"/>
          </w:divBdr>
          <w:divsChild>
            <w:div w:id="168640767">
              <w:marLeft w:val="0"/>
              <w:marRight w:val="0"/>
              <w:marTop w:val="0"/>
              <w:marBottom w:val="0"/>
              <w:divBdr>
                <w:top w:val="none" w:sz="0" w:space="0" w:color="auto"/>
                <w:left w:val="none" w:sz="0" w:space="0" w:color="auto"/>
                <w:bottom w:val="none" w:sz="0" w:space="0" w:color="auto"/>
                <w:right w:val="none" w:sz="0" w:space="0" w:color="auto"/>
              </w:divBdr>
              <w:divsChild>
                <w:div w:id="382022683">
                  <w:marLeft w:val="0"/>
                  <w:marRight w:val="0"/>
                  <w:marTop w:val="0"/>
                  <w:marBottom w:val="0"/>
                  <w:divBdr>
                    <w:top w:val="none" w:sz="0" w:space="0" w:color="auto"/>
                    <w:left w:val="none" w:sz="0" w:space="0" w:color="auto"/>
                    <w:bottom w:val="none" w:sz="0" w:space="0" w:color="auto"/>
                    <w:right w:val="none" w:sz="0" w:space="0" w:color="auto"/>
                  </w:divBdr>
                  <w:divsChild>
                    <w:div w:id="16537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0322">
      <w:bodyDiv w:val="1"/>
      <w:marLeft w:val="0"/>
      <w:marRight w:val="0"/>
      <w:marTop w:val="0"/>
      <w:marBottom w:val="0"/>
      <w:divBdr>
        <w:top w:val="none" w:sz="0" w:space="0" w:color="auto"/>
        <w:left w:val="none" w:sz="0" w:space="0" w:color="auto"/>
        <w:bottom w:val="none" w:sz="0" w:space="0" w:color="auto"/>
        <w:right w:val="none" w:sz="0" w:space="0" w:color="auto"/>
      </w:divBdr>
    </w:div>
    <w:div w:id="1305819080">
      <w:bodyDiv w:val="1"/>
      <w:marLeft w:val="0"/>
      <w:marRight w:val="0"/>
      <w:marTop w:val="0"/>
      <w:marBottom w:val="0"/>
      <w:divBdr>
        <w:top w:val="none" w:sz="0" w:space="0" w:color="auto"/>
        <w:left w:val="none" w:sz="0" w:space="0" w:color="auto"/>
        <w:bottom w:val="none" w:sz="0" w:space="0" w:color="auto"/>
        <w:right w:val="none" w:sz="0" w:space="0" w:color="auto"/>
      </w:divBdr>
    </w:div>
    <w:div w:id="1818958699">
      <w:bodyDiv w:val="1"/>
      <w:marLeft w:val="0"/>
      <w:marRight w:val="0"/>
      <w:marTop w:val="0"/>
      <w:marBottom w:val="0"/>
      <w:divBdr>
        <w:top w:val="none" w:sz="0" w:space="0" w:color="auto"/>
        <w:left w:val="none" w:sz="0" w:space="0" w:color="auto"/>
        <w:bottom w:val="none" w:sz="0" w:space="0" w:color="auto"/>
        <w:right w:val="none" w:sz="0" w:space="0" w:color="auto"/>
      </w:divBdr>
    </w:div>
    <w:div w:id="18946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gov.ua/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85AB-AF9F-4AB3-B092-ADCEE934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3550</Words>
  <Characters>2024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ВИСОВЕНЬ Олексій Васильович</cp:lastModifiedBy>
  <cp:revision>3</cp:revision>
  <cp:lastPrinted>2019-06-07T07:45:00Z</cp:lastPrinted>
  <dcterms:created xsi:type="dcterms:W3CDTF">2025-12-09T07:57:00Z</dcterms:created>
  <dcterms:modified xsi:type="dcterms:W3CDTF">2025-12-09T07:58:00Z</dcterms:modified>
</cp:coreProperties>
</file>