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67072C" w:rsidRDefault="00855B2F" w:rsidP="00855B2F">
      <w:pPr>
        <w:jc w:val="center"/>
        <w:rPr>
          <w:b/>
          <w:bCs/>
          <w:color w:val="000000" w:themeColor="text1"/>
        </w:rPr>
      </w:pPr>
      <w:r w:rsidRPr="0067072C">
        <w:rPr>
          <w:b/>
          <w:bCs/>
          <w:color w:val="000000" w:themeColor="text1"/>
        </w:rPr>
        <w:t xml:space="preserve">Повідомлення про оприлюднення </w:t>
      </w:r>
    </w:p>
    <w:p w:rsidR="00216DB2" w:rsidRDefault="00855B2F" w:rsidP="002512D7">
      <w:pPr>
        <w:pStyle w:val="4"/>
        <w:widowControl w:val="0"/>
        <w:tabs>
          <w:tab w:val="left" w:pos="709"/>
        </w:tabs>
        <w:rPr>
          <w:sz w:val="24"/>
          <w:szCs w:val="24"/>
        </w:rPr>
      </w:pPr>
      <w:r w:rsidRPr="0067072C">
        <w:rPr>
          <w:color w:val="000000"/>
          <w:sz w:val="24"/>
          <w:szCs w:val="24"/>
        </w:rPr>
        <w:t xml:space="preserve">проекту </w:t>
      </w:r>
      <w:r w:rsidR="00AC375C" w:rsidRPr="0067072C">
        <w:rPr>
          <w:color w:val="000000"/>
          <w:sz w:val="24"/>
          <w:szCs w:val="24"/>
        </w:rPr>
        <w:t xml:space="preserve">наказу </w:t>
      </w:r>
      <w:r w:rsidR="00AC375C" w:rsidRPr="0067072C">
        <w:rPr>
          <w:sz w:val="24"/>
          <w:szCs w:val="24"/>
        </w:rPr>
        <w:t xml:space="preserve">Міністерства фінансів України </w:t>
      </w:r>
      <w:r w:rsidR="001C5332" w:rsidRPr="001C5332">
        <w:rPr>
          <w:sz w:val="24"/>
          <w:szCs w:val="24"/>
        </w:rPr>
        <w:t>Про внесення змін до Порядку проведення перевірки з питань дотримання платником податків принципу</w:t>
      </w:r>
    </w:p>
    <w:p w:rsidR="00855B2F" w:rsidRPr="0067072C" w:rsidRDefault="001C5332" w:rsidP="002512D7">
      <w:pPr>
        <w:pStyle w:val="4"/>
        <w:widowControl w:val="0"/>
        <w:tabs>
          <w:tab w:val="left" w:pos="709"/>
        </w:tabs>
        <w:rPr>
          <w:sz w:val="24"/>
          <w:szCs w:val="24"/>
        </w:rPr>
      </w:pPr>
      <w:r w:rsidRPr="001C5332">
        <w:rPr>
          <w:sz w:val="24"/>
          <w:szCs w:val="24"/>
        </w:rPr>
        <w:t xml:space="preserve"> «витягнутої руки»</w:t>
      </w:r>
    </w:p>
    <w:p w:rsidR="00625502" w:rsidRPr="0067072C" w:rsidRDefault="00625502" w:rsidP="00625502">
      <w:pPr>
        <w:rPr>
          <w:lang w:eastAsia="ru-RU"/>
        </w:rPr>
      </w:pPr>
    </w:p>
    <w:p w:rsidR="00855B2F" w:rsidRPr="0067072C" w:rsidRDefault="00855B2F" w:rsidP="008726C0">
      <w:pPr>
        <w:ind w:firstLine="567"/>
        <w:jc w:val="both"/>
        <w:rPr>
          <w:lang w:eastAsia="ru-RU"/>
        </w:rPr>
      </w:pPr>
      <w:r w:rsidRPr="0067072C">
        <w:rPr>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w:t>
      </w:r>
      <w:r w:rsidR="00847735">
        <w:rPr>
          <w:lang w:eastAsia="ru-RU"/>
        </w:rPr>
        <w:t>,</w:t>
      </w:r>
      <w:r w:rsidRPr="0067072C">
        <w:rPr>
          <w:lang w:eastAsia="ru-RU"/>
        </w:rPr>
        <w:t xml:space="preserve"> про оприлюднення</w:t>
      </w:r>
      <w:r w:rsidRPr="0067072C">
        <w:t xml:space="preserve"> </w:t>
      </w:r>
      <w:r w:rsidRPr="0067072C">
        <w:rPr>
          <w:lang w:eastAsia="ru-RU"/>
        </w:rPr>
        <w:t xml:space="preserve">проекту </w:t>
      </w:r>
      <w:r w:rsidR="00AC375C" w:rsidRPr="0067072C">
        <w:rPr>
          <w:lang w:eastAsia="ru-RU"/>
        </w:rPr>
        <w:t>наказу Міністерства фінансів України «</w:t>
      </w:r>
      <w:r w:rsidR="00D018B7" w:rsidRPr="00D018B7">
        <w:rPr>
          <w:lang w:eastAsia="ru-RU"/>
        </w:rPr>
        <w:t>Про внесення змін до Порядку проведення перевірки з питань дотримання платником податків принципу «витягнутої руки»</w:t>
      </w:r>
      <w:r w:rsidRPr="0067072C">
        <w:rPr>
          <w:lang w:eastAsia="ru-RU"/>
        </w:rPr>
        <w:t xml:space="preserve"> (далі – проект</w:t>
      </w:r>
      <w:r w:rsidR="00AC375C" w:rsidRPr="0067072C">
        <w:rPr>
          <w:lang w:eastAsia="ru-RU"/>
        </w:rPr>
        <w:t xml:space="preserve"> наказу</w:t>
      </w:r>
      <w:r w:rsidRPr="0067072C">
        <w:rPr>
          <w:lang w:eastAsia="ru-RU"/>
        </w:rPr>
        <w:t>)</w:t>
      </w:r>
      <w:r w:rsidRPr="0067072C">
        <w:t xml:space="preserve"> </w:t>
      </w:r>
      <w:r w:rsidRPr="0067072C">
        <w:rPr>
          <w:lang w:eastAsia="ru-RU"/>
        </w:rPr>
        <w:t>для отримання зауважень та пропозицій.</w:t>
      </w:r>
    </w:p>
    <w:p w:rsidR="00625502" w:rsidRPr="0067072C" w:rsidRDefault="002512D7" w:rsidP="008E13B7">
      <w:pPr>
        <w:pStyle w:val="a6"/>
        <w:tabs>
          <w:tab w:val="left" w:pos="851"/>
        </w:tabs>
        <w:ind w:right="-28" w:firstLine="567"/>
        <w:jc w:val="both"/>
        <w:rPr>
          <w:lang w:eastAsia="ru-RU"/>
        </w:rPr>
      </w:pPr>
      <w:r w:rsidRPr="0067072C">
        <w:t>Проект наказу підготовлено з метою виконання норм Закону України від 16.01.2020   № </w:t>
      </w:r>
      <w:r w:rsidRPr="0067072C">
        <w:rPr>
          <w:lang w:eastAsia="ru-RU"/>
        </w:rPr>
        <w:t>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r w:rsidR="00625502" w:rsidRPr="0067072C">
        <w:rPr>
          <w:lang w:eastAsia="ru-RU"/>
        </w:rPr>
        <w:t xml:space="preserve"> </w:t>
      </w:r>
      <w:r w:rsidR="00D018B7" w:rsidRPr="00D018B7">
        <w:rPr>
          <w:lang w:eastAsia="ru-RU"/>
        </w:rPr>
        <w:t>та відповідно до підпункту 39.5.2.2 підпункту 39.5.2 пункту 39.5 статті 39 розділу I Податкового кодексу України.</w:t>
      </w:r>
    </w:p>
    <w:p w:rsidR="008E13B7" w:rsidRPr="008E13B7" w:rsidRDefault="008E13B7" w:rsidP="008E13B7">
      <w:pPr>
        <w:widowControl w:val="0"/>
        <w:tabs>
          <w:tab w:val="left" w:pos="851"/>
        </w:tabs>
        <w:ind w:firstLine="567"/>
        <w:jc w:val="both"/>
        <w:rPr>
          <w:lang w:eastAsia="ru-RU"/>
        </w:rPr>
      </w:pPr>
      <w:r w:rsidRPr="008E13B7">
        <w:rPr>
          <w:lang w:eastAsia="ru-RU"/>
        </w:rPr>
        <w:t xml:space="preserve">Проектом наказу пропонується внести зміни до Порядку проведення перевірки з питань дотримання платником податків принципу </w:t>
      </w:r>
      <w:r w:rsidRPr="008E13B7">
        <w:rPr>
          <w:lang w:eastAsia="ru-RU"/>
        </w:rPr>
        <w:t>«</w:t>
      </w:r>
      <w:r w:rsidRPr="008E13B7">
        <w:rPr>
          <w:lang w:eastAsia="ru-RU"/>
        </w:rPr>
        <w:t>витягнутої руки</w:t>
      </w:r>
      <w:r w:rsidRPr="008E13B7">
        <w:rPr>
          <w:lang w:eastAsia="ru-RU"/>
        </w:rPr>
        <w:t>»</w:t>
      </w:r>
      <w:r w:rsidRPr="008E13B7">
        <w:rPr>
          <w:lang w:eastAsia="ru-RU"/>
        </w:rPr>
        <w:t>, виклавши його в новій редакції. Зміни полягають у наступному:</w:t>
      </w:r>
    </w:p>
    <w:p w:rsidR="00D018B7" w:rsidRPr="00D96923" w:rsidRDefault="00D018B7" w:rsidP="008E13B7">
      <w:pPr>
        <w:pStyle w:val="ad"/>
        <w:widowControl w:val="0"/>
        <w:numPr>
          <w:ilvl w:val="0"/>
          <w:numId w:val="3"/>
        </w:numPr>
        <w:tabs>
          <w:tab w:val="left" w:pos="851"/>
        </w:tabs>
        <w:ind w:left="0" w:firstLine="567"/>
        <w:jc w:val="both"/>
        <w:rPr>
          <w:lang w:val="uk-UA"/>
        </w:rPr>
      </w:pPr>
      <w:bookmarkStart w:id="0" w:name="bookmark2"/>
      <w:r w:rsidRPr="00D96923">
        <w:rPr>
          <w:lang w:val="uk-UA"/>
        </w:rPr>
        <w:t>доповнено перелік документів та інформації, що мають подавати платники податків посадовим особам контролюючого органу під час проведення перевірки дотримання принципу «витягнутої руки»;</w:t>
      </w:r>
    </w:p>
    <w:p w:rsidR="00D018B7" w:rsidRPr="00D96923" w:rsidRDefault="00D018B7" w:rsidP="008E13B7">
      <w:pPr>
        <w:pStyle w:val="ad"/>
        <w:widowControl w:val="0"/>
        <w:numPr>
          <w:ilvl w:val="0"/>
          <w:numId w:val="3"/>
        </w:numPr>
        <w:tabs>
          <w:tab w:val="left" w:pos="851"/>
        </w:tabs>
        <w:ind w:left="0" w:firstLine="567"/>
        <w:jc w:val="both"/>
        <w:rPr>
          <w:lang w:val="uk-UA"/>
        </w:rPr>
      </w:pPr>
      <w:r w:rsidRPr="00D96923">
        <w:rPr>
          <w:lang w:val="uk-UA"/>
        </w:rPr>
        <w:t xml:space="preserve"> доповнено дії контролюючого органу під час проведення перевірки у разі ненадання платниками податків документів (інформації) на запит контролюючого органу та /або надання неповної інформації, зокрема:</w:t>
      </w:r>
    </w:p>
    <w:p w:rsidR="00D018B7" w:rsidRPr="00D96923" w:rsidRDefault="00D018B7" w:rsidP="00D96923">
      <w:pPr>
        <w:widowControl w:val="0"/>
        <w:tabs>
          <w:tab w:val="left" w:pos="851"/>
        </w:tabs>
        <w:ind w:firstLine="567"/>
        <w:jc w:val="both"/>
        <w:rPr>
          <w:lang w:eastAsia="ru-RU"/>
        </w:rPr>
      </w:pPr>
      <w:r w:rsidRPr="00D96923">
        <w:rPr>
          <w:lang w:eastAsia="ru-RU"/>
        </w:rPr>
        <w:t>направлення запитів про надання документації (інформації) щодо контрольованої операції іншим платникам податків;</w:t>
      </w:r>
    </w:p>
    <w:p w:rsidR="00D018B7" w:rsidRPr="00D96923" w:rsidRDefault="00D018B7" w:rsidP="00D96923">
      <w:pPr>
        <w:widowControl w:val="0"/>
        <w:tabs>
          <w:tab w:val="left" w:pos="851"/>
        </w:tabs>
        <w:ind w:firstLine="567"/>
        <w:jc w:val="both"/>
        <w:rPr>
          <w:lang w:eastAsia="ru-RU"/>
        </w:rPr>
      </w:pPr>
      <w:r w:rsidRPr="00D96923">
        <w:rPr>
          <w:lang w:eastAsia="ru-RU"/>
        </w:rPr>
        <w:t>проведення зустрічних перевірок;</w:t>
      </w:r>
    </w:p>
    <w:p w:rsidR="00D018B7" w:rsidRPr="00D96923" w:rsidRDefault="00D018B7" w:rsidP="00D96923">
      <w:pPr>
        <w:widowControl w:val="0"/>
        <w:tabs>
          <w:tab w:val="left" w:pos="851"/>
        </w:tabs>
        <w:ind w:firstLine="567"/>
        <w:jc w:val="both"/>
        <w:rPr>
          <w:lang w:eastAsia="ru-RU"/>
        </w:rPr>
      </w:pPr>
      <w:r w:rsidRPr="00D96923">
        <w:rPr>
          <w:lang w:eastAsia="ru-RU"/>
        </w:rPr>
        <w:t>ініціювання перед ДПС надіслання запиту(ів) компетентним органам іноземних держав з питань, що стосуються предмета перевірки;</w:t>
      </w:r>
    </w:p>
    <w:p w:rsidR="00D018B7" w:rsidRPr="00D96923" w:rsidRDefault="00D018B7" w:rsidP="00D96923">
      <w:pPr>
        <w:ind w:right="63" w:firstLine="567"/>
        <w:jc w:val="both"/>
        <w:rPr>
          <w:lang w:eastAsia="ru-RU"/>
        </w:rPr>
      </w:pPr>
      <w:r w:rsidRPr="00D96923">
        <w:rPr>
          <w:lang w:eastAsia="ru-RU"/>
        </w:rPr>
        <w:t>3) доповнено новий розділ щодо проведення опитування посадових осіб та/або працівників платників податків, відвідування та огляду приміщень, об’єктів та споруд, де провадиться діяльність платника податків, пов’язана з проведенням контрольованої операції.</w:t>
      </w:r>
    </w:p>
    <w:p w:rsidR="00D018B7" w:rsidRPr="00D96923" w:rsidRDefault="00D018B7" w:rsidP="00D96923">
      <w:pPr>
        <w:widowControl w:val="0"/>
        <w:tabs>
          <w:tab w:val="left" w:pos="851"/>
        </w:tabs>
        <w:ind w:firstLine="567"/>
        <w:jc w:val="both"/>
        <w:rPr>
          <w:lang w:eastAsia="ru-RU"/>
        </w:rPr>
      </w:pPr>
      <w:r w:rsidRPr="00D96923">
        <w:rPr>
          <w:lang w:eastAsia="ru-RU"/>
        </w:rPr>
        <w:t>4) наз</w:t>
      </w:r>
      <w:bookmarkStart w:id="1" w:name="_GoBack"/>
      <w:bookmarkEnd w:id="1"/>
      <w:r w:rsidRPr="00D96923">
        <w:rPr>
          <w:lang w:eastAsia="ru-RU"/>
        </w:rPr>
        <w:t>ва контролюючого органу (ДФС) змінюється на контролюючого органу ДПС.</w:t>
      </w:r>
    </w:p>
    <w:bookmarkEnd w:id="0"/>
    <w:p w:rsidR="00855B2F" w:rsidRPr="0067072C" w:rsidRDefault="00855B2F" w:rsidP="007C7491">
      <w:pPr>
        <w:pStyle w:val="4"/>
        <w:keepNext w:val="0"/>
        <w:widowControl w:val="0"/>
        <w:tabs>
          <w:tab w:val="left" w:pos="709"/>
        </w:tabs>
        <w:spacing w:before="120"/>
        <w:ind w:firstLine="567"/>
        <w:jc w:val="both"/>
        <w:rPr>
          <w:b w:val="0"/>
          <w:color w:val="000000" w:themeColor="text1"/>
          <w:sz w:val="24"/>
          <w:szCs w:val="24"/>
        </w:rPr>
      </w:pPr>
      <w:r w:rsidRPr="0067072C">
        <w:rPr>
          <w:b w:val="0"/>
          <w:color w:val="000000" w:themeColor="text1"/>
          <w:sz w:val="24"/>
          <w:szCs w:val="24"/>
        </w:rPr>
        <w:t xml:space="preserve">Проект </w:t>
      </w:r>
      <w:r w:rsidR="000305A6" w:rsidRPr="0067072C">
        <w:rPr>
          <w:b w:val="0"/>
          <w:color w:val="000000" w:themeColor="text1"/>
          <w:sz w:val="24"/>
          <w:szCs w:val="24"/>
        </w:rPr>
        <w:t xml:space="preserve">наказу </w:t>
      </w:r>
      <w:r w:rsidRPr="0067072C">
        <w:rPr>
          <w:b w:val="0"/>
          <w:color w:val="000000" w:themeColor="text1"/>
          <w:sz w:val="24"/>
          <w:szCs w:val="24"/>
        </w:rPr>
        <w:t>та аналіз його регуляторного впливу оприлюднені на офіційному вебсайті Міністерства фінансів України (</w:t>
      </w:r>
      <w:hyperlink r:id="rId8" w:history="1">
        <w:r w:rsidRPr="0067072C">
          <w:rPr>
            <w:rStyle w:val="a3"/>
            <w:b w:val="0"/>
            <w:sz w:val="24"/>
            <w:szCs w:val="24"/>
          </w:rPr>
          <w:t>https://www.mof.gov.ua/uk</w:t>
        </w:r>
      </w:hyperlink>
      <w:r w:rsidRPr="0067072C">
        <w:rPr>
          <w:b w:val="0"/>
          <w:color w:val="000000" w:themeColor="text1"/>
          <w:sz w:val="24"/>
          <w:szCs w:val="24"/>
        </w:rPr>
        <w:t>) у рубриці «Проекти регуляторних актів для обговорення/Проекти регуляторних актів для обговорення у 2020 р.» розділу «Законодавство».</w:t>
      </w:r>
    </w:p>
    <w:p w:rsidR="00855B2F" w:rsidRPr="0067072C" w:rsidRDefault="00855B2F" w:rsidP="007C7491">
      <w:pPr>
        <w:pStyle w:val="4"/>
        <w:keepNext w:val="0"/>
        <w:widowControl w:val="0"/>
        <w:tabs>
          <w:tab w:val="left" w:pos="709"/>
        </w:tabs>
        <w:spacing w:before="120"/>
        <w:ind w:firstLine="567"/>
        <w:jc w:val="both"/>
        <w:rPr>
          <w:b w:val="0"/>
          <w:color w:val="000000" w:themeColor="text1"/>
          <w:sz w:val="24"/>
          <w:szCs w:val="24"/>
        </w:rPr>
      </w:pPr>
      <w:r w:rsidRPr="0067072C">
        <w:rPr>
          <w:b w:val="0"/>
          <w:color w:val="000000" w:themeColor="text1"/>
          <w:sz w:val="24"/>
          <w:szCs w:val="24"/>
        </w:rPr>
        <w:t xml:space="preserve">Зауваження та пропозиції до проекту </w:t>
      </w:r>
      <w:r w:rsidR="007C7491" w:rsidRPr="0067072C">
        <w:rPr>
          <w:b w:val="0"/>
          <w:color w:val="000000" w:themeColor="text1"/>
          <w:sz w:val="24"/>
          <w:szCs w:val="24"/>
          <w:lang w:val="ru-RU"/>
        </w:rPr>
        <w:t>наказу</w:t>
      </w:r>
      <w:r w:rsidRPr="0067072C">
        <w:rPr>
          <w:b w:val="0"/>
          <w:color w:val="000000" w:themeColor="text1"/>
          <w:sz w:val="24"/>
          <w:szCs w:val="24"/>
          <w:lang w:val="ru-RU"/>
        </w:rPr>
        <w:t xml:space="preserve"> </w:t>
      </w:r>
      <w:r w:rsidRPr="0067072C">
        <w:rPr>
          <w:b w:val="0"/>
          <w:color w:val="000000" w:themeColor="text1"/>
          <w:sz w:val="24"/>
          <w:szCs w:val="24"/>
        </w:rPr>
        <w:t>у письмовій та електронній формі надсилати на адреси:</w:t>
      </w:r>
    </w:p>
    <w:p w:rsidR="002B2A41" w:rsidRPr="0067072C" w:rsidRDefault="00855B2F" w:rsidP="008726C0">
      <w:pPr>
        <w:widowControl w:val="0"/>
        <w:ind w:firstLine="567"/>
        <w:jc w:val="both"/>
      </w:pPr>
      <w:r w:rsidRPr="0067072C">
        <w:rPr>
          <w:color w:val="000000" w:themeColor="text1"/>
        </w:rPr>
        <w:t xml:space="preserve">Міністерство фінансів України, вул. Грушевського, 12/2, м. Київ-8, 01008, е-mail: </w:t>
      </w:r>
      <w:hyperlink r:id="rId9" w:history="1">
        <w:r w:rsidR="002B2A41" w:rsidRPr="0067072C">
          <w:rPr>
            <w:rStyle w:val="a3"/>
            <w:lang w:val="en-US"/>
          </w:rPr>
          <w:t>infomf</w:t>
        </w:r>
        <w:r w:rsidR="002B2A41" w:rsidRPr="0067072C">
          <w:rPr>
            <w:rStyle w:val="a3"/>
          </w:rPr>
          <w:t>@</w:t>
        </w:r>
        <w:r w:rsidR="002B2A41" w:rsidRPr="0067072C">
          <w:rPr>
            <w:rStyle w:val="a3"/>
            <w:lang w:val="en-US"/>
          </w:rPr>
          <w:t>minfin</w:t>
        </w:r>
        <w:r w:rsidR="002B2A41" w:rsidRPr="0067072C">
          <w:rPr>
            <w:rStyle w:val="a3"/>
          </w:rPr>
          <w:t>.</w:t>
        </w:r>
        <w:r w:rsidR="002B2A41" w:rsidRPr="0067072C">
          <w:rPr>
            <w:rStyle w:val="a3"/>
            <w:lang w:val="en-US"/>
          </w:rPr>
          <w:t>gov</w:t>
        </w:r>
        <w:r w:rsidR="002B2A41" w:rsidRPr="0067072C">
          <w:rPr>
            <w:rStyle w:val="a3"/>
          </w:rPr>
          <w:t>.</w:t>
        </w:r>
        <w:r w:rsidR="002B2A41" w:rsidRPr="0067072C">
          <w:rPr>
            <w:rStyle w:val="a3"/>
            <w:lang w:val="en-US"/>
          </w:rPr>
          <w:t>ua</w:t>
        </w:r>
      </w:hyperlink>
      <w:r w:rsidRPr="0067072C">
        <w:rPr>
          <w:color w:val="000000" w:themeColor="text1"/>
        </w:rPr>
        <w:t>.</w:t>
      </w:r>
      <w:r w:rsidR="002B2A41" w:rsidRPr="0067072C">
        <w:rPr>
          <w:color w:val="000000" w:themeColor="text1"/>
        </w:rPr>
        <w:t xml:space="preserve">, </w:t>
      </w:r>
      <w:hyperlink r:id="rId10" w:history="1">
        <w:r w:rsidR="002B2A41" w:rsidRPr="0067072C">
          <w:rPr>
            <w:rStyle w:val="a3"/>
            <w:lang w:val="en-US"/>
          </w:rPr>
          <w:t>nhorieva</w:t>
        </w:r>
        <w:r w:rsidR="002B2A41" w:rsidRPr="0067072C">
          <w:rPr>
            <w:rStyle w:val="a3"/>
          </w:rPr>
          <w:t>@</w:t>
        </w:r>
        <w:r w:rsidR="002B2A41" w:rsidRPr="0067072C">
          <w:rPr>
            <w:rStyle w:val="a3"/>
            <w:lang w:val="en-US"/>
          </w:rPr>
          <w:t>minfin</w:t>
        </w:r>
        <w:r w:rsidR="002B2A41" w:rsidRPr="0067072C">
          <w:rPr>
            <w:rStyle w:val="a3"/>
          </w:rPr>
          <w:t>.</w:t>
        </w:r>
        <w:r w:rsidR="002B2A41" w:rsidRPr="0067072C">
          <w:rPr>
            <w:rStyle w:val="a3"/>
            <w:lang w:val="en-US"/>
          </w:rPr>
          <w:t>gov</w:t>
        </w:r>
        <w:r w:rsidR="002B2A41" w:rsidRPr="0067072C">
          <w:rPr>
            <w:rStyle w:val="a3"/>
          </w:rPr>
          <w:t>.</w:t>
        </w:r>
        <w:r w:rsidR="002B2A41" w:rsidRPr="0067072C">
          <w:rPr>
            <w:rStyle w:val="a3"/>
            <w:lang w:val="en-US"/>
          </w:rPr>
          <w:t>ua</w:t>
        </w:r>
      </w:hyperlink>
      <w:r w:rsidR="002B2A41" w:rsidRPr="0067072C">
        <w:rPr>
          <w:rStyle w:val="a3"/>
        </w:rPr>
        <w:t xml:space="preserve"> </w:t>
      </w:r>
      <w:r w:rsidR="002B2A41" w:rsidRPr="0067072C">
        <w:t xml:space="preserve">та </w:t>
      </w:r>
      <w:hyperlink r:id="rId11" w:history="1">
        <w:r w:rsidR="002B2A41" w:rsidRPr="0067072C">
          <w:rPr>
            <w:rStyle w:val="a3"/>
          </w:rPr>
          <w:t>visoven@minfin.gov.ua</w:t>
        </w:r>
      </w:hyperlink>
      <w:r w:rsidR="002B2A41" w:rsidRPr="0067072C">
        <w:t>.</w:t>
      </w:r>
    </w:p>
    <w:p w:rsidR="00855B2F" w:rsidRPr="0067072C" w:rsidRDefault="00855B2F" w:rsidP="008726C0">
      <w:pPr>
        <w:widowControl w:val="0"/>
        <w:ind w:firstLine="567"/>
        <w:jc w:val="both"/>
        <w:rPr>
          <w:color w:val="000000" w:themeColor="text1"/>
          <w:lang w:val="ru-RU"/>
        </w:rPr>
      </w:pPr>
      <w:r w:rsidRPr="0067072C">
        <w:rPr>
          <w:color w:val="000000" w:themeColor="text1"/>
        </w:rPr>
        <w:t xml:space="preserve">Державна регуляторна служба України, вул. </w:t>
      </w:r>
      <w:r w:rsidRPr="0067072C">
        <w:rPr>
          <w:color w:val="000000" w:themeColor="text1"/>
          <w:lang w:val="ru-RU"/>
        </w:rPr>
        <w:t>Арсенальна, буд. 9/11</w:t>
      </w:r>
      <w:r w:rsidRPr="0067072C">
        <w:rPr>
          <w:color w:val="000000" w:themeColor="text1"/>
        </w:rPr>
        <w:t>, м. Київ, 01011, е</w:t>
      </w:r>
      <w:r w:rsidRPr="0067072C">
        <w:rPr>
          <w:color w:val="000000" w:themeColor="text1"/>
          <w:lang w:val="ru-RU"/>
        </w:rPr>
        <w:t xml:space="preserve">-mail: </w:t>
      </w:r>
      <w:r w:rsidRPr="0067072C">
        <w:rPr>
          <w:rStyle w:val="a3"/>
          <w:lang w:val="en-US"/>
        </w:rPr>
        <w:t>inform</w:t>
      </w:r>
      <w:r w:rsidRPr="0067072C">
        <w:rPr>
          <w:rStyle w:val="a3"/>
          <w:lang w:val="ru-RU"/>
        </w:rPr>
        <w:t>@</w:t>
      </w:r>
      <w:r w:rsidRPr="0067072C">
        <w:rPr>
          <w:rStyle w:val="a3"/>
          <w:lang w:val="en-US"/>
        </w:rPr>
        <w:t>dkrp</w:t>
      </w:r>
      <w:r w:rsidRPr="0067072C">
        <w:rPr>
          <w:rStyle w:val="a3"/>
          <w:lang w:val="ru-RU"/>
        </w:rPr>
        <w:t>.</w:t>
      </w:r>
      <w:r w:rsidRPr="0067072C">
        <w:rPr>
          <w:rStyle w:val="a3"/>
          <w:lang w:val="en-US"/>
        </w:rPr>
        <w:t>gov</w:t>
      </w:r>
      <w:r w:rsidRPr="0067072C">
        <w:rPr>
          <w:rStyle w:val="a3"/>
          <w:lang w:val="ru-RU"/>
        </w:rPr>
        <w:t>.</w:t>
      </w:r>
      <w:r w:rsidRPr="0067072C">
        <w:rPr>
          <w:rStyle w:val="a3"/>
          <w:lang w:val="en-US"/>
        </w:rPr>
        <w:t>ua</w:t>
      </w:r>
      <w:r w:rsidRPr="0067072C">
        <w:rPr>
          <w:rStyle w:val="a3"/>
          <w:lang w:val="ru-RU"/>
        </w:rPr>
        <w:t>.</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sectPr w:rsidR="00855B2F"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0E" w:rsidRDefault="00463D0E" w:rsidP="00283F5D">
      <w:r>
        <w:separator/>
      </w:r>
    </w:p>
  </w:endnote>
  <w:endnote w:type="continuationSeparator" w:id="0">
    <w:p w:rsidR="00463D0E" w:rsidRDefault="00463D0E"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0E" w:rsidRDefault="00463D0E" w:rsidP="00283F5D">
      <w:r>
        <w:separator/>
      </w:r>
    </w:p>
  </w:footnote>
  <w:footnote w:type="continuationSeparator" w:id="0">
    <w:p w:rsidR="00463D0E" w:rsidRDefault="00463D0E"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6D51144"/>
    <w:multiLevelType w:val="hybridMultilevel"/>
    <w:tmpl w:val="EC6CAFB2"/>
    <w:lvl w:ilvl="0" w:tplc="BA18D312">
      <w:start w:val="1"/>
      <w:numFmt w:val="decimal"/>
      <w:lvlText w:val="%1)"/>
      <w:lvlJc w:val="left"/>
      <w:pPr>
        <w:ind w:left="8157" w:hanging="360"/>
      </w:pPr>
      <w:rPr>
        <w:rFonts w:hint="default"/>
        <w:sz w:val="24"/>
        <w:szCs w:val="24"/>
      </w:rPr>
    </w:lvl>
    <w:lvl w:ilvl="1" w:tplc="04220019" w:tentative="1">
      <w:start w:val="1"/>
      <w:numFmt w:val="lowerLetter"/>
      <w:lvlText w:val="%2."/>
      <w:lvlJc w:val="left"/>
      <w:pPr>
        <w:ind w:left="8877" w:hanging="360"/>
      </w:pPr>
    </w:lvl>
    <w:lvl w:ilvl="2" w:tplc="0422001B" w:tentative="1">
      <w:start w:val="1"/>
      <w:numFmt w:val="lowerRoman"/>
      <w:lvlText w:val="%3."/>
      <w:lvlJc w:val="right"/>
      <w:pPr>
        <w:ind w:left="9597" w:hanging="180"/>
      </w:pPr>
    </w:lvl>
    <w:lvl w:ilvl="3" w:tplc="0422000F" w:tentative="1">
      <w:start w:val="1"/>
      <w:numFmt w:val="decimal"/>
      <w:lvlText w:val="%4."/>
      <w:lvlJc w:val="left"/>
      <w:pPr>
        <w:ind w:left="10317" w:hanging="360"/>
      </w:pPr>
    </w:lvl>
    <w:lvl w:ilvl="4" w:tplc="04220019" w:tentative="1">
      <w:start w:val="1"/>
      <w:numFmt w:val="lowerLetter"/>
      <w:lvlText w:val="%5."/>
      <w:lvlJc w:val="left"/>
      <w:pPr>
        <w:ind w:left="11037" w:hanging="360"/>
      </w:pPr>
    </w:lvl>
    <w:lvl w:ilvl="5" w:tplc="0422001B" w:tentative="1">
      <w:start w:val="1"/>
      <w:numFmt w:val="lowerRoman"/>
      <w:lvlText w:val="%6."/>
      <w:lvlJc w:val="right"/>
      <w:pPr>
        <w:ind w:left="11757" w:hanging="180"/>
      </w:pPr>
    </w:lvl>
    <w:lvl w:ilvl="6" w:tplc="0422000F" w:tentative="1">
      <w:start w:val="1"/>
      <w:numFmt w:val="decimal"/>
      <w:lvlText w:val="%7."/>
      <w:lvlJc w:val="left"/>
      <w:pPr>
        <w:ind w:left="12477" w:hanging="360"/>
      </w:pPr>
    </w:lvl>
    <w:lvl w:ilvl="7" w:tplc="04220019" w:tentative="1">
      <w:start w:val="1"/>
      <w:numFmt w:val="lowerLetter"/>
      <w:lvlText w:val="%8."/>
      <w:lvlJc w:val="left"/>
      <w:pPr>
        <w:ind w:left="13197" w:hanging="360"/>
      </w:pPr>
    </w:lvl>
    <w:lvl w:ilvl="8" w:tplc="0422001B" w:tentative="1">
      <w:start w:val="1"/>
      <w:numFmt w:val="lowerRoman"/>
      <w:lvlText w:val="%9."/>
      <w:lvlJc w:val="right"/>
      <w:pPr>
        <w:ind w:left="1391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C4CB9"/>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86297"/>
    <w:rsid w:val="0019146F"/>
    <w:rsid w:val="001A1920"/>
    <w:rsid w:val="001B6452"/>
    <w:rsid w:val="001C5332"/>
    <w:rsid w:val="001E6768"/>
    <w:rsid w:val="001F2726"/>
    <w:rsid w:val="00210D22"/>
    <w:rsid w:val="00216DB2"/>
    <w:rsid w:val="0021783F"/>
    <w:rsid w:val="0022100E"/>
    <w:rsid w:val="00223D07"/>
    <w:rsid w:val="002244F4"/>
    <w:rsid w:val="00225A33"/>
    <w:rsid w:val="00233A88"/>
    <w:rsid w:val="00240BBD"/>
    <w:rsid w:val="00241405"/>
    <w:rsid w:val="002512D7"/>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24950"/>
    <w:rsid w:val="004331D7"/>
    <w:rsid w:val="004638C7"/>
    <w:rsid w:val="00463D0E"/>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5F2F7D"/>
    <w:rsid w:val="00617735"/>
    <w:rsid w:val="00623471"/>
    <w:rsid w:val="00625502"/>
    <w:rsid w:val="00626852"/>
    <w:rsid w:val="00631BD9"/>
    <w:rsid w:val="00635BC3"/>
    <w:rsid w:val="00653E4C"/>
    <w:rsid w:val="0065724D"/>
    <w:rsid w:val="0066647D"/>
    <w:rsid w:val="0067072C"/>
    <w:rsid w:val="006862E5"/>
    <w:rsid w:val="0069165B"/>
    <w:rsid w:val="006A6BE1"/>
    <w:rsid w:val="006C2495"/>
    <w:rsid w:val="006C2ADA"/>
    <w:rsid w:val="006C6547"/>
    <w:rsid w:val="006D3346"/>
    <w:rsid w:val="006D6A13"/>
    <w:rsid w:val="006E1BBF"/>
    <w:rsid w:val="00710E62"/>
    <w:rsid w:val="00715830"/>
    <w:rsid w:val="00722C70"/>
    <w:rsid w:val="00746DD5"/>
    <w:rsid w:val="00750A55"/>
    <w:rsid w:val="0075213D"/>
    <w:rsid w:val="007813ED"/>
    <w:rsid w:val="007C1328"/>
    <w:rsid w:val="007C7491"/>
    <w:rsid w:val="007D736F"/>
    <w:rsid w:val="007D79C6"/>
    <w:rsid w:val="007E368C"/>
    <w:rsid w:val="007E3C30"/>
    <w:rsid w:val="007E4374"/>
    <w:rsid w:val="007E5E2C"/>
    <w:rsid w:val="007E739A"/>
    <w:rsid w:val="00847735"/>
    <w:rsid w:val="008509FC"/>
    <w:rsid w:val="00853C9A"/>
    <w:rsid w:val="00855B2F"/>
    <w:rsid w:val="00860FA1"/>
    <w:rsid w:val="00865740"/>
    <w:rsid w:val="008726C0"/>
    <w:rsid w:val="00877DA7"/>
    <w:rsid w:val="00883455"/>
    <w:rsid w:val="00883F30"/>
    <w:rsid w:val="00884CBA"/>
    <w:rsid w:val="008932E5"/>
    <w:rsid w:val="00895016"/>
    <w:rsid w:val="008B1D63"/>
    <w:rsid w:val="008B4282"/>
    <w:rsid w:val="008B6DEF"/>
    <w:rsid w:val="008D14C6"/>
    <w:rsid w:val="008E00EE"/>
    <w:rsid w:val="008E13B7"/>
    <w:rsid w:val="008F503D"/>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B4977"/>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C06E9"/>
    <w:rsid w:val="00BF74B3"/>
    <w:rsid w:val="00C05307"/>
    <w:rsid w:val="00C057E3"/>
    <w:rsid w:val="00C34B00"/>
    <w:rsid w:val="00C52EF2"/>
    <w:rsid w:val="00C7191C"/>
    <w:rsid w:val="00C7303B"/>
    <w:rsid w:val="00CA1AC8"/>
    <w:rsid w:val="00CA1DCA"/>
    <w:rsid w:val="00CA74E8"/>
    <w:rsid w:val="00CB20D2"/>
    <w:rsid w:val="00CC12C2"/>
    <w:rsid w:val="00CC7183"/>
    <w:rsid w:val="00CC71F2"/>
    <w:rsid w:val="00CE6484"/>
    <w:rsid w:val="00D018B7"/>
    <w:rsid w:val="00D14615"/>
    <w:rsid w:val="00D31540"/>
    <w:rsid w:val="00D50108"/>
    <w:rsid w:val="00D76D78"/>
    <w:rsid w:val="00D919C6"/>
    <w:rsid w:val="00D96923"/>
    <w:rsid w:val="00DA239E"/>
    <w:rsid w:val="00DB536F"/>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DBF3"/>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6255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Web)"/>
    <w:basedOn w:val="a"/>
    <w:uiPriority w:val="99"/>
    <w:unhideWhenUsed/>
    <w:qFormat/>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character" w:customStyle="1" w:styleId="20">
    <w:name w:val="Заголовок 2 Знак"/>
    <w:basedOn w:val="a0"/>
    <w:link w:val="2"/>
    <w:uiPriority w:val="9"/>
    <w:semiHidden/>
    <w:rsid w:val="00625502"/>
    <w:rPr>
      <w:rFonts w:asciiTheme="majorHAnsi" w:eastAsiaTheme="majorEastAsia" w:hAnsiTheme="majorHAnsi" w:cstheme="majorBidi"/>
      <w:color w:val="365F91" w:themeColor="accent1" w:themeShade="BF"/>
      <w:sz w:val="26"/>
      <w:szCs w:val="26"/>
      <w:lang w:eastAsia="uk-UA"/>
    </w:rPr>
  </w:style>
  <w:style w:type="paragraph" w:customStyle="1" w:styleId="StyleZakonu">
    <w:name w:val="StyleZakonu"/>
    <w:basedOn w:val="a"/>
    <w:rsid w:val="00D018B7"/>
    <w:pPr>
      <w:spacing w:after="60" w:line="220" w:lineRule="exact"/>
      <w:ind w:firstLine="284"/>
      <w:jc w:val="both"/>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nhorieva@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3AED-4033-4BEB-8B3C-EA3CEFFD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1920</Words>
  <Characters>1095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14</cp:revision>
  <cp:lastPrinted>2019-06-07T07:45:00Z</cp:lastPrinted>
  <dcterms:created xsi:type="dcterms:W3CDTF">2020-12-02T13:59:00Z</dcterms:created>
  <dcterms:modified xsi:type="dcterms:W3CDTF">2020-12-15T16:24:00Z</dcterms:modified>
</cp:coreProperties>
</file>