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42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0"/>
      </w:tblGrid>
      <w:tr w:rsidR="008F6BBC" w:rsidRPr="008F6BBC" w:rsidTr="000D6C65">
        <w:trPr>
          <w:tblCellSpacing w:w="22" w:type="dxa"/>
        </w:trPr>
        <w:tc>
          <w:tcPr>
            <w:tcW w:w="4907" w:type="pct"/>
            <w:hideMark/>
          </w:tcPr>
          <w:p w:rsidR="001B1089" w:rsidRPr="008F6BBC" w:rsidRDefault="001B1089" w:rsidP="000D6C6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8F6BBC">
              <w:rPr>
                <w:sz w:val="28"/>
                <w:szCs w:val="28"/>
              </w:rPr>
              <w:t>ЗАТВЕРДЖЕНО</w:t>
            </w:r>
          </w:p>
          <w:p w:rsidR="001B1089" w:rsidRPr="008F6BBC" w:rsidRDefault="001B1089" w:rsidP="000D6C6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F6BBC">
              <w:rPr>
                <w:sz w:val="28"/>
                <w:szCs w:val="28"/>
              </w:rPr>
              <w:t>Наказ Міністерства фінансів України</w:t>
            </w:r>
          </w:p>
          <w:p w:rsidR="001B1089" w:rsidRPr="008F6BBC" w:rsidRDefault="00C1323C" w:rsidP="00C1323C">
            <w:pPr>
              <w:pStyle w:val="a3"/>
              <w:spacing w:before="0" w:beforeAutospacing="0" w:after="0" w:afterAutospacing="0" w:line="360" w:lineRule="auto"/>
            </w:pPr>
            <w:r>
              <w:rPr>
                <w:sz w:val="28"/>
                <w:szCs w:val="28"/>
              </w:rPr>
              <w:t xml:space="preserve">10 вересня </w:t>
            </w:r>
            <w:r w:rsidR="001B1089" w:rsidRPr="008F6BBC">
              <w:rPr>
                <w:sz w:val="28"/>
                <w:szCs w:val="28"/>
              </w:rPr>
              <w:t xml:space="preserve">2024 року № </w:t>
            </w:r>
            <w:r>
              <w:rPr>
                <w:sz w:val="28"/>
                <w:szCs w:val="28"/>
              </w:rPr>
              <w:t>436</w:t>
            </w:r>
          </w:p>
        </w:tc>
      </w:tr>
    </w:tbl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8F6BBC">
        <w:rPr>
          <w:rFonts w:eastAsia="Times New Roman"/>
          <w:b/>
          <w:sz w:val="28"/>
          <w:szCs w:val="28"/>
        </w:rPr>
        <w:t>Порядок</w:t>
      </w:r>
    </w:p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8F6BBC">
        <w:rPr>
          <w:rFonts w:eastAsia="Times New Roman"/>
          <w:b/>
          <w:sz w:val="28"/>
          <w:szCs w:val="28"/>
        </w:rPr>
        <w:t xml:space="preserve">проведення спеціального навчання або інструктажу щодо специфіки контролю за виробництвом та обігом тютюнової сировини, </w:t>
      </w:r>
      <w:r w:rsidR="00650C1B" w:rsidRPr="008F6BBC">
        <w:rPr>
          <w:rFonts w:eastAsia="Times New Roman"/>
          <w:b/>
          <w:sz w:val="28"/>
          <w:szCs w:val="28"/>
        </w:rPr>
        <w:br/>
      </w:r>
      <w:r w:rsidRPr="008F6BBC">
        <w:rPr>
          <w:rFonts w:eastAsia="Times New Roman"/>
          <w:b/>
          <w:sz w:val="28"/>
          <w:szCs w:val="28"/>
        </w:rPr>
        <w:t>тютюнових виробів</w:t>
      </w:r>
    </w:p>
    <w:p w:rsidR="001B1089" w:rsidRPr="008F6BBC" w:rsidRDefault="001B1089" w:rsidP="001B1089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 xml:space="preserve">1. Цей Порядок визначає механізм проведення спеціального навчання або інструктажу щодо специфіки контролю за виробництвом та обігом тютюнової сировини, тютюнових виробів представників контролюючих органів </w:t>
      </w:r>
      <w:r w:rsidR="00650C1B" w:rsidRPr="008F6BBC">
        <w:rPr>
          <w:rFonts w:eastAsia="Calibri"/>
          <w:sz w:val="28"/>
          <w:szCs w:val="28"/>
          <w:lang w:eastAsia="en-US"/>
        </w:rPr>
        <w:br/>
      </w:r>
      <w:r w:rsidRPr="008F6BBC">
        <w:rPr>
          <w:rFonts w:eastAsia="Calibri"/>
          <w:sz w:val="28"/>
          <w:szCs w:val="28"/>
          <w:lang w:eastAsia="en-US"/>
        </w:rPr>
        <w:t>на контрольному посту, що утворюється на підприємствах, на яких здійснюється виробництво тютюнових виробів та/або ферментація тютюнової сировини.</w:t>
      </w:r>
    </w:p>
    <w:p w:rsidR="001B1089" w:rsidRPr="008F6BBC" w:rsidRDefault="00650C1B" w:rsidP="001B1089">
      <w:pPr>
        <w:spacing w:before="240" w:after="24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>2.</w:t>
      </w:r>
      <w:r w:rsidRPr="008F6BBC">
        <w:rPr>
          <w:rFonts w:eastAsia="Calibri"/>
          <w:sz w:val="28"/>
          <w:szCs w:val="28"/>
          <w:lang w:val="en-US" w:eastAsia="en-US"/>
        </w:rPr>
        <w:t> </w:t>
      </w:r>
      <w:r w:rsidR="001B1089" w:rsidRPr="008F6BBC">
        <w:rPr>
          <w:rFonts w:eastAsia="Calibri"/>
          <w:sz w:val="28"/>
          <w:szCs w:val="28"/>
          <w:lang w:eastAsia="en-US"/>
        </w:rPr>
        <w:t>Начальник територіального органу ДПС (його заступник або уповноважена особа),</w:t>
      </w:r>
      <w:r w:rsidRPr="008F6BBC">
        <w:rPr>
          <w:rFonts w:eastAsia="Calibri"/>
          <w:sz w:val="28"/>
          <w:szCs w:val="28"/>
          <w:lang w:eastAsia="en-US"/>
        </w:rPr>
        <w:t xml:space="preserve"> </w:t>
      </w:r>
      <w:r w:rsidR="001B1089" w:rsidRPr="008F6BBC">
        <w:rPr>
          <w:rFonts w:eastAsia="Calibri"/>
          <w:sz w:val="28"/>
          <w:szCs w:val="28"/>
          <w:lang w:eastAsia="en-US"/>
        </w:rPr>
        <w:t xml:space="preserve">до функціональних повноважень якого належить контроль за виробництвом та обігом підакцизних товарів, визначає осіб структурного підрозділу, відповідальних за проведення спеціального навчання або інструктажу. </w:t>
      </w:r>
    </w:p>
    <w:p w:rsidR="001B1089" w:rsidRPr="008F6BBC" w:rsidRDefault="00650C1B" w:rsidP="001B1089">
      <w:pPr>
        <w:spacing w:before="240" w:after="24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>3.</w:t>
      </w:r>
      <w:r w:rsidRPr="008F6BBC">
        <w:rPr>
          <w:rFonts w:eastAsia="Calibri"/>
          <w:sz w:val="28"/>
          <w:szCs w:val="28"/>
          <w:lang w:val="en-US" w:eastAsia="en-US"/>
        </w:rPr>
        <w:t> </w:t>
      </w:r>
      <w:r w:rsidR="001B1089" w:rsidRPr="008F6BBC">
        <w:rPr>
          <w:rFonts w:eastAsia="Calibri"/>
          <w:sz w:val="28"/>
          <w:szCs w:val="28"/>
          <w:lang w:eastAsia="en-US"/>
        </w:rPr>
        <w:t>Спеціальне навчання або інструктаж проводиться з представниками контролюючого органу п</w:t>
      </w:r>
      <w:r w:rsidRPr="008F6BBC">
        <w:rPr>
          <w:rFonts w:eastAsia="Calibri"/>
          <w:sz w:val="28"/>
          <w:szCs w:val="28"/>
          <w:lang w:eastAsia="en-US"/>
        </w:rPr>
        <w:t>ід час</w:t>
      </w:r>
      <w:r w:rsidR="001B1089" w:rsidRPr="008F6BBC">
        <w:rPr>
          <w:rFonts w:eastAsia="Calibri"/>
          <w:sz w:val="28"/>
          <w:szCs w:val="28"/>
          <w:lang w:eastAsia="en-US"/>
        </w:rPr>
        <w:t xml:space="preserve"> призначенн</w:t>
      </w:r>
      <w:r w:rsidRPr="008F6BBC">
        <w:rPr>
          <w:rFonts w:eastAsia="Calibri"/>
          <w:sz w:val="28"/>
          <w:szCs w:val="28"/>
          <w:lang w:eastAsia="en-US"/>
        </w:rPr>
        <w:t>я</w:t>
      </w:r>
      <w:r w:rsidR="001B1089" w:rsidRPr="008F6BBC">
        <w:rPr>
          <w:rFonts w:eastAsia="Calibri"/>
          <w:sz w:val="28"/>
          <w:szCs w:val="28"/>
          <w:lang w:eastAsia="en-US"/>
        </w:rPr>
        <w:t xml:space="preserve"> на контрольний пост, а </w:t>
      </w:r>
      <w:r w:rsidR="00AB1698" w:rsidRPr="008F6BBC">
        <w:rPr>
          <w:rFonts w:eastAsia="Calibri"/>
          <w:sz w:val="28"/>
          <w:szCs w:val="28"/>
          <w:lang w:eastAsia="en-US"/>
        </w:rPr>
        <w:br/>
      </w:r>
      <w:r w:rsidR="005D3123" w:rsidRPr="008F6BBC">
        <w:rPr>
          <w:rFonts w:eastAsia="Calibri"/>
          <w:sz w:val="28"/>
          <w:szCs w:val="28"/>
          <w:lang w:eastAsia="en-US"/>
        </w:rPr>
        <w:t>надалі</w:t>
      </w:r>
      <w:r w:rsidR="001B1089" w:rsidRPr="008F6BBC">
        <w:rPr>
          <w:rFonts w:eastAsia="Calibri"/>
          <w:sz w:val="28"/>
          <w:szCs w:val="28"/>
          <w:lang w:eastAsia="en-US"/>
        </w:rPr>
        <w:t xml:space="preserve"> </w:t>
      </w:r>
      <w:r w:rsidR="00AB1698" w:rsidRPr="008F6BBC">
        <w:rPr>
          <w:rFonts w:eastAsia="Calibri"/>
          <w:sz w:val="28"/>
          <w:szCs w:val="28"/>
          <w:lang w:val="ru-RU" w:eastAsia="en-US"/>
        </w:rPr>
        <w:t xml:space="preserve">– </w:t>
      </w:r>
      <w:r w:rsidR="001B1089" w:rsidRPr="008F6BBC">
        <w:rPr>
          <w:rFonts w:eastAsia="Calibri"/>
          <w:sz w:val="28"/>
          <w:szCs w:val="28"/>
          <w:lang w:eastAsia="en-US"/>
        </w:rPr>
        <w:t>не рідше ніж один раз на рік.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>4. Представники контролюючих органів проходять спеціальне навчання або інструктаж із таких питань: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 xml:space="preserve">здійснення контролю за отриманням тютюнової сировини, її відпуском, зберіганням, переробкою і використанням у виробництві ферментованої тютюнової сировини та/або тютюнових виробів, за дотриманням норм втрат </w:t>
      </w:r>
      <w:r w:rsidR="00650C1B" w:rsidRPr="008F6BBC">
        <w:rPr>
          <w:rFonts w:eastAsia="Calibri"/>
          <w:sz w:val="28"/>
          <w:szCs w:val="28"/>
          <w:lang w:eastAsia="en-US"/>
        </w:rPr>
        <w:br/>
      </w:r>
      <w:r w:rsidR="00B2519C" w:rsidRPr="008F6BBC">
        <w:rPr>
          <w:rFonts w:eastAsia="Calibri"/>
          <w:sz w:val="28"/>
          <w:szCs w:val="28"/>
          <w:lang w:eastAsia="en-US"/>
        </w:rPr>
        <w:t xml:space="preserve">та </w:t>
      </w:r>
      <w:r w:rsidRPr="008F6BBC">
        <w:rPr>
          <w:rFonts w:eastAsia="Calibri"/>
          <w:sz w:val="28"/>
          <w:szCs w:val="28"/>
          <w:lang w:eastAsia="en-US"/>
        </w:rPr>
        <w:t xml:space="preserve">відходів неферментованої тютюнової сировини під час зберігання, транспортування, виробництва ферментованої тютюнової сировини, втрат </w:t>
      </w:r>
      <w:r w:rsidR="00B2519C" w:rsidRPr="008F6BBC">
        <w:rPr>
          <w:rFonts w:eastAsia="Calibri"/>
          <w:sz w:val="28"/>
          <w:szCs w:val="28"/>
          <w:lang w:eastAsia="en-US"/>
        </w:rPr>
        <w:t>та</w:t>
      </w:r>
      <w:r w:rsidR="00650C1B" w:rsidRPr="008F6BBC">
        <w:rPr>
          <w:rFonts w:eastAsia="Calibri"/>
          <w:sz w:val="28"/>
          <w:szCs w:val="28"/>
          <w:lang w:eastAsia="en-US"/>
        </w:rPr>
        <w:t xml:space="preserve"> </w:t>
      </w:r>
      <w:r w:rsidRPr="008F6BBC">
        <w:rPr>
          <w:rFonts w:eastAsia="Calibri"/>
          <w:sz w:val="28"/>
          <w:szCs w:val="28"/>
          <w:lang w:eastAsia="en-US"/>
        </w:rPr>
        <w:t>відходів ферментованої тютюнової сировини під час її зберігання, транспортування і використання у виробництві тютюнових виробів, витрат ферментованої тютюнової сировини для виробництва тютюнових виробів за даними бухгалтерського обліку підприємства;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>здійснення контролю за обліком, зберіганням та використанням марок акцизного податку і маркуванням продукції (використан</w:t>
      </w:r>
      <w:r w:rsidR="007075A4">
        <w:rPr>
          <w:rFonts w:eastAsia="Calibri"/>
          <w:sz w:val="28"/>
          <w:szCs w:val="28"/>
          <w:lang w:eastAsia="en-US"/>
        </w:rPr>
        <w:t xml:space="preserve">ням електронних марок – з 01 січня </w:t>
      </w:r>
      <w:r w:rsidRPr="008F6BBC">
        <w:rPr>
          <w:rFonts w:eastAsia="Calibri"/>
          <w:sz w:val="28"/>
          <w:szCs w:val="28"/>
          <w:lang w:eastAsia="en-US"/>
        </w:rPr>
        <w:t>2026</w:t>
      </w:r>
      <w:r w:rsidR="007075A4">
        <w:rPr>
          <w:rFonts w:eastAsia="Calibri"/>
          <w:sz w:val="28"/>
          <w:szCs w:val="28"/>
          <w:lang w:eastAsia="en-US"/>
        </w:rPr>
        <w:t xml:space="preserve"> року</w:t>
      </w:r>
      <w:r w:rsidRPr="008F6BBC">
        <w:rPr>
          <w:rFonts w:eastAsia="Calibri"/>
          <w:sz w:val="28"/>
          <w:szCs w:val="28"/>
          <w:lang w:eastAsia="en-US"/>
        </w:rPr>
        <w:t xml:space="preserve">); 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 xml:space="preserve">здійснення контролю за обліком надходження, витрачання сировини, </w:t>
      </w:r>
      <w:r w:rsidR="00650C1B" w:rsidRPr="008F6BBC">
        <w:rPr>
          <w:rFonts w:eastAsia="Calibri"/>
          <w:sz w:val="28"/>
          <w:szCs w:val="28"/>
          <w:lang w:eastAsia="en-US"/>
        </w:rPr>
        <w:br/>
      </w:r>
      <w:r w:rsidRPr="008F6BBC">
        <w:rPr>
          <w:rFonts w:eastAsia="Calibri"/>
          <w:sz w:val="28"/>
          <w:szCs w:val="28"/>
          <w:lang w:eastAsia="en-US"/>
        </w:rPr>
        <w:t xml:space="preserve">що використовується для виробництва тютюнової сировини, тютюнових виробів, і кількістю виробленої продукції; 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lastRenderedPageBreak/>
        <w:t>здійснення контролю за до</w:t>
      </w:r>
      <w:r w:rsidR="00B2519C" w:rsidRPr="008F6BBC">
        <w:rPr>
          <w:rFonts w:eastAsia="Calibri"/>
          <w:sz w:val="28"/>
          <w:szCs w:val="28"/>
          <w:lang w:eastAsia="en-US"/>
        </w:rPr>
        <w:t>держанням</w:t>
      </w:r>
      <w:r w:rsidRPr="008F6BBC">
        <w:rPr>
          <w:rFonts w:eastAsia="Calibri"/>
          <w:sz w:val="28"/>
          <w:szCs w:val="28"/>
          <w:lang w:eastAsia="en-US"/>
        </w:rPr>
        <w:t xml:space="preserve"> установленого порядку обчислення </w:t>
      </w:r>
      <w:r w:rsidR="00650C1B" w:rsidRPr="008F6BBC">
        <w:rPr>
          <w:rFonts w:eastAsia="Calibri"/>
          <w:sz w:val="28"/>
          <w:szCs w:val="28"/>
          <w:lang w:eastAsia="en-US"/>
        </w:rPr>
        <w:br/>
      </w:r>
      <w:r w:rsidRPr="008F6BBC">
        <w:rPr>
          <w:rFonts w:eastAsia="Calibri"/>
          <w:sz w:val="28"/>
          <w:szCs w:val="28"/>
          <w:lang w:eastAsia="en-US"/>
        </w:rPr>
        <w:t xml:space="preserve">та сплати акцизного податку; 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>участ</w:t>
      </w:r>
      <w:r w:rsidR="00650C1B" w:rsidRPr="008F6BBC">
        <w:rPr>
          <w:rFonts w:eastAsia="Calibri"/>
          <w:sz w:val="28"/>
          <w:szCs w:val="28"/>
          <w:lang w:eastAsia="en-US"/>
        </w:rPr>
        <w:t>ь</w:t>
      </w:r>
      <w:r w:rsidRPr="008F6BBC">
        <w:rPr>
          <w:rFonts w:eastAsia="Calibri"/>
          <w:sz w:val="28"/>
          <w:szCs w:val="28"/>
          <w:lang w:eastAsia="en-US"/>
        </w:rPr>
        <w:t xml:space="preserve"> у проведенні інвентаризації тютюнової сировини, тютюнових виробів і марок акцизного податку; 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 xml:space="preserve">здійснення контролю за складанням електронних документів в Електронній системі </w:t>
      </w:r>
      <w:r w:rsidRPr="008F6BBC">
        <w:rPr>
          <w:rFonts w:eastAsia="Calibri"/>
          <w:sz w:val="28"/>
          <w:szCs w:val="22"/>
          <w:lang w:eastAsia="en-US"/>
        </w:rPr>
        <w:t>обігу алкогольних напоїв, тютюнових виробів та рідин, що використовуються в електронних сигаретах</w:t>
      </w:r>
      <w:r w:rsidRPr="008F6BBC">
        <w:rPr>
          <w:rFonts w:eastAsia="Calibri"/>
          <w:sz w:val="28"/>
          <w:szCs w:val="28"/>
          <w:lang w:eastAsia="en-US"/>
        </w:rPr>
        <w:t xml:space="preserve"> (</w:t>
      </w:r>
      <w:r w:rsidR="007075A4">
        <w:rPr>
          <w:rFonts w:eastAsia="Calibri"/>
          <w:sz w:val="28"/>
          <w:szCs w:val="28"/>
          <w:lang w:eastAsia="en-US"/>
        </w:rPr>
        <w:t xml:space="preserve">з 01 січня </w:t>
      </w:r>
      <w:r w:rsidR="007075A4" w:rsidRPr="008F6BBC">
        <w:rPr>
          <w:rFonts w:eastAsia="Calibri"/>
          <w:sz w:val="28"/>
          <w:szCs w:val="28"/>
          <w:lang w:eastAsia="en-US"/>
        </w:rPr>
        <w:t>2026</w:t>
      </w:r>
      <w:r w:rsidR="007075A4">
        <w:rPr>
          <w:rFonts w:eastAsia="Calibri"/>
          <w:sz w:val="28"/>
          <w:szCs w:val="28"/>
          <w:lang w:eastAsia="en-US"/>
        </w:rPr>
        <w:t xml:space="preserve"> року</w:t>
      </w:r>
      <w:r w:rsidRPr="008F6BBC">
        <w:rPr>
          <w:rFonts w:eastAsia="Calibri"/>
          <w:sz w:val="28"/>
          <w:szCs w:val="28"/>
          <w:lang w:eastAsia="en-US"/>
        </w:rPr>
        <w:t xml:space="preserve">); 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 xml:space="preserve">надання суб’єкту господарювання рекомендації щодо усунення виявлених порушень установленого законодавством порядку ведення обліку, зберігання </w:t>
      </w:r>
      <w:r w:rsidR="00650C1B" w:rsidRPr="008F6BBC">
        <w:rPr>
          <w:rFonts w:eastAsia="Calibri"/>
          <w:sz w:val="28"/>
          <w:szCs w:val="28"/>
          <w:lang w:eastAsia="en-US"/>
        </w:rPr>
        <w:br/>
      </w:r>
      <w:r w:rsidRPr="008F6BBC">
        <w:rPr>
          <w:rFonts w:eastAsia="Calibri"/>
          <w:sz w:val="28"/>
          <w:szCs w:val="28"/>
          <w:lang w:eastAsia="en-US"/>
        </w:rPr>
        <w:t xml:space="preserve">і відпуску тютюнової сировини, тютюнових виробів, марок акцизного податку (електронних марок – </w:t>
      </w:r>
      <w:r w:rsidR="007075A4">
        <w:rPr>
          <w:rFonts w:eastAsia="Calibri"/>
          <w:sz w:val="28"/>
          <w:szCs w:val="28"/>
          <w:lang w:eastAsia="en-US"/>
        </w:rPr>
        <w:t xml:space="preserve">з 01 січня </w:t>
      </w:r>
      <w:r w:rsidR="007075A4" w:rsidRPr="008F6BBC">
        <w:rPr>
          <w:rFonts w:eastAsia="Calibri"/>
          <w:sz w:val="28"/>
          <w:szCs w:val="28"/>
          <w:lang w:eastAsia="en-US"/>
        </w:rPr>
        <w:t>2026</w:t>
      </w:r>
      <w:r w:rsidR="007075A4">
        <w:rPr>
          <w:rFonts w:eastAsia="Calibri"/>
          <w:sz w:val="28"/>
          <w:szCs w:val="28"/>
          <w:lang w:eastAsia="en-US"/>
        </w:rPr>
        <w:t xml:space="preserve"> року</w:t>
      </w:r>
      <w:r w:rsidRPr="008F6BBC">
        <w:rPr>
          <w:rFonts w:eastAsia="Calibri"/>
          <w:sz w:val="28"/>
          <w:szCs w:val="28"/>
          <w:lang w:eastAsia="en-US"/>
        </w:rPr>
        <w:t>) та контроль за їх виконанням;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>здійснення контролю за дотриманням порядку реєстрації обладнання для підготовки або обробки тютюну, тютюнової сировини, промислового виробництва тютюнових виробів;</w:t>
      </w:r>
    </w:p>
    <w:p w:rsidR="001B1089" w:rsidRPr="008F6BBC" w:rsidRDefault="001B1089" w:rsidP="001B1089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>здійснення контролю за функці</w:t>
      </w:r>
      <w:r w:rsidR="00AB1698" w:rsidRPr="008F6BBC">
        <w:rPr>
          <w:rFonts w:eastAsia="Calibri"/>
          <w:sz w:val="28"/>
          <w:szCs w:val="28"/>
          <w:lang w:eastAsia="en-US"/>
        </w:rPr>
        <w:t>ону</w:t>
      </w:r>
      <w:r w:rsidRPr="008F6BBC">
        <w:rPr>
          <w:rFonts w:eastAsia="Calibri"/>
          <w:sz w:val="28"/>
          <w:szCs w:val="28"/>
          <w:lang w:eastAsia="en-US"/>
        </w:rPr>
        <w:t xml:space="preserve">ванням цілодобової системи відеоспостереження. </w:t>
      </w:r>
    </w:p>
    <w:p w:rsidR="001B1089" w:rsidRPr="008F6BBC" w:rsidRDefault="00650C1B" w:rsidP="001B1089">
      <w:pPr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BBC">
        <w:rPr>
          <w:rFonts w:eastAsia="Calibri"/>
          <w:sz w:val="28"/>
          <w:szCs w:val="28"/>
          <w:lang w:eastAsia="en-US"/>
        </w:rPr>
        <w:t>5. </w:t>
      </w:r>
      <w:r w:rsidR="001B1089" w:rsidRPr="008F6BBC">
        <w:rPr>
          <w:rFonts w:eastAsia="Calibri"/>
          <w:sz w:val="28"/>
          <w:szCs w:val="28"/>
          <w:lang w:eastAsia="en-US"/>
        </w:rPr>
        <w:t xml:space="preserve">Про проведення спеціального навчання або інструктажу робляться відповідні записи в журналі реєстрації проведення спеціального навчання </w:t>
      </w:r>
      <w:r w:rsidRPr="008F6BBC">
        <w:rPr>
          <w:rFonts w:eastAsia="Calibri"/>
          <w:sz w:val="28"/>
          <w:szCs w:val="28"/>
          <w:lang w:eastAsia="en-US"/>
        </w:rPr>
        <w:br/>
      </w:r>
      <w:r w:rsidR="001B1089" w:rsidRPr="008F6BBC">
        <w:rPr>
          <w:rFonts w:eastAsia="Calibri"/>
          <w:sz w:val="28"/>
          <w:szCs w:val="28"/>
          <w:lang w:eastAsia="en-US"/>
        </w:rPr>
        <w:t>або інструктажу представників контролюючого органу на контрольних постах (додаток до цього Порядку).</w:t>
      </w:r>
    </w:p>
    <w:p w:rsidR="001B1089" w:rsidRPr="008F6BBC" w:rsidRDefault="001B1089" w:rsidP="001B10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1089" w:rsidRPr="008F6BBC" w:rsidRDefault="001B1089" w:rsidP="001B10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74" w:type="pct"/>
        <w:tblCellSpacing w:w="22" w:type="dxa"/>
        <w:tblInd w:w="-14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7"/>
        <w:gridCol w:w="4964"/>
      </w:tblGrid>
      <w:tr w:rsidR="008F6BBC" w:rsidRPr="008F6BBC" w:rsidTr="00BC5AEE">
        <w:trPr>
          <w:tblCellSpacing w:w="22" w:type="dxa"/>
        </w:trPr>
        <w:tc>
          <w:tcPr>
            <w:tcW w:w="2429" w:type="pct"/>
            <w:vAlign w:val="bottom"/>
            <w:hideMark/>
          </w:tcPr>
          <w:p w:rsidR="001B1089" w:rsidRPr="008F6BBC" w:rsidRDefault="004970D5" w:rsidP="00BC5AEE">
            <w:pPr>
              <w:pStyle w:val="a3"/>
              <w:spacing w:before="0" w:beforeAutospacing="0" w:after="0" w:afterAutospacing="0"/>
              <w:ind w:left="65"/>
              <w:rPr>
                <w:b/>
                <w:bCs/>
                <w:sz w:val="28"/>
                <w:szCs w:val="28"/>
              </w:rPr>
            </w:pPr>
            <w:r w:rsidRPr="008F6BBC">
              <w:rPr>
                <w:b/>
                <w:bCs/>
                <w:sz w:val="28"/>
                <w:szCs w:val="28"/>
              </w:rPr>
              <w:t>Д</w:t>
            </w:r>
            <w:r w:rsidR="001B1089" w:rsidRPr="008F6BBC">
              <w:rPr>
                <w:b/>
                <w:bCs/>
                <w:sz w:val="28"/>
                <w:szCs w:val="28"/>
              </w:rPr>
              <w:t xml:space="preserve">иректор Департаменту </w:t>
            </w:r>
          </w:p>
          <w:p w:rsidR="001B1089" w:rsidRPr="008F6BBC" w:rsidRDefault="001B1089" w:rsidP="00BC5AEE">
            <w:pPr>
              <w:pStyle w:val="a3"/>
              <w:spacing w:before="0" w:beforeAutospacing="0" w:after="0" w:afterAutospacing="0"/>
              <w:ind w:left="65"/>
              <w:rPr>
                <w:b/>
                <w:sz w:val="28"/>
                <w:szCs w:val="28"/>
              </w:rPr>
            </w:pPr>
            <w:r w:rsidRPr="008F6BBC">
              <w:rPr>
                <w:b/>
                <w:bCs/>
                <w:sz w:val="28"/>
                <w:szCs w:val="28"/>
              </w:rPr>
              <w:t xml:space="preserve">податкової політики </w:t>
            </w:r>
          </w:p>
        </w:tc>
        <w:tc>
          <w:tcPr>
            <w:tcW w:w="2503" w:type="pct"/>
            <w:vAlign w:val="bottom"/>
            <w:hideMark/>
          </w:tcPr>
          <w:p w:rsidR="001B1089" w:rsidRPr="008F6BBC" w:rsidRDefault="004970D5" w:rsidP="001B1089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8F6BBC">
              <w:rPr>
                <w:b/>
                <w:bCs/>
                <w:sz w:val="28"/>
                <w:szCs w:val="28"/>
              </w:rPr>
              <w:t>Віктор ОВЧАРЕНКО</w:t>
            </w:r>
          </w:p>
        </w:tc>
      </w:tr>
    </w:tbl>
    <w:p w:rsidR="00D17987" w:rsidRPr="008F6BBC" w:rsidRDefault="00D17987" w:rsidP="001B1089">
      <w:pPr>
        <w:pStyle w:val="a3"/>
        <w:jc w:val="both"/>
        <w:sectPr w:rsidR="00D17987" w:rsidRPr="008F6BBC" w:rsidSect="00BC5AEE">
          <w:headerReference w:type="default" r:id="rId7"/>
          <w:pgSz w:w="11906" w:h="16838"/>
          <w:pgMar w:top="567" w:right="567" w:bottom="1531" w:left="1701" w:header="709" w:footer="709" w:gutter="0"/>
          <w:cols w:space="708"/>
          <w:titlePg/>
          <w:docGrid w:linePitch="360"/>
        </w:sect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84"/>
      </w:tblGrid>
      <w:tr w:rsidR="008F6BBC" w:rsidRPr="008F6BBC" w:rsidTr="001B520E">
        <w:trPr>
          <w:tblCellSpacing w:w="22" w:type="dxa"/>
        </w:trPr>
        <w:tc>
          <w:tcPr>
            <w:tcW w:w="5000" w:type="pct"/>
            <w:hideMark/>
          </w:tcPr>
          <w:p w:rsidR="00D17987" w:rsidRPr="008F6BBC" w:rsidRDefault="00D17987" w:rsidP="001B520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8F6BBC">
              <w:rPr>
                <w:sz w:val="28"/>
                <w:szCs w:val="28"/>
              </w:rPr>
              <w:lastRenderedPageBreak/>
              <w:t xml:space="preserve">Додаток </w:t>
            </w:r>
            <w:r w:rsidRPr="008F6BBC">
              <w:rPr>
                <w:sz w:val="28"/>
                <w:szCs w:val="28"/>
              </w:rPr>
              <w:br/>
              <w:t>до П</w:t>
            </w:r>
            <w:r w:rsidRPr="008F6BBC">
              <w:rPr>
                <w:rFonts w:eastAsia="Times New Roman"/>
                <w:sz w:val="28"/>
                <w:szCs w:val="28"/>
              </w:rPr>
              <w:t xml:space="preserve">орядку проведення спеціального навчання або інструктажу щодо специфіки контролю за виробництвом та обігом тютюнової сировини, тютюнових виробів </w:t>
            </w:r>
          </w:p>
          <w:p w:rsidR="00D17987" w:rsidRPr="008F6BBC" w:rsidRDefault="00D17987" w:rsidP="001B520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6BBC">
              <w:rPr>
                <w:rFonts w:eastAsia="Times New Roman"/>
                <w:sz w:val="28"/>
                <w:szCs w:val="28"/>
              </w:rPr>
              <w:t>(пункт 5)</w:t>
            </w:r>
          </w:p>
        </w:tc>
      </w:tr>
    </w:tbl>
    <w:p w:rsidR="00D17987" w:rsidRPr="008F6BBC" w:rsidRDefault="00D17987" w:rsidP="00D17987">
      <w:pPr>
        <w:pStyle w:val="a3"/>
        <w:jc w:val="both"/>
      </w:pPr>
    </w:p>
    <w:p w:rsidR="00D17987" w:rsidRPr="008F6BBC" w:rsidRDefault="00D17987" w:rsidP="00D17987">
      <w:pPr>
        <w:pStyle w:val="a3"/>
        <w:jc w:val="both"/>
      </w:pPr>
    </w:p>
    <w:p w:rsidR="00D17987" w:rsidRPr="008F6BBC" w:rsidRDefault="00D17987" w:rsidP="00D17987">
      <w:pPr>
        <w:pStyle w:val="a3"/>
        <w:jc w:val="both"/>
      </w:pPr>
    </w:p>
    <w:p w:rsidR="00D17987" w:rsidRPr="008F6BBC" w:rsidRDefault="00D17987" w:rsidP="00D17987">
      <w:pPr>
        <w:pStyle w:val="a3"/>
        <w:jc w:val="both"/>
      </w:pPr>
    </w:p>
    <w:p w:rsidR="00D17987" w:rsidRPr="008F6BBC" w:rsidRDefault="00D17987" w:rsidP="00D17987">
      <w:pPr>
        <w:pStyle w:val="a3"/>
        <w:jc w:val="both"/>
      </w:pPr>
    </w:p>
    <w:p w:rsidR="00D17987" w:rsidRPr="008F6BBC" w:rsidRDefault="00D17987" w:rsidP="00D17987">
      <w:pPr>
        <w:pStyle w:val="3"/>
        <w:jc w:val="center"/>
        <w:rPr>
          <w:rFonts w:eastAsia="Times New Roman"/>
          <w:sz w:val="28"/>
          <w:szCs w:val="28"/>
        </w:rPr>
      </w:pPr>
      <w:r w:rsidRPr="008F6BBC">
        <w:rPr>
          <w:rFonts w:eastAsia="Times New Roman"/>
          <w:sz w:val="28"/>
          <w:szCs w:val="28"/>
        </w:rPr>
        <w:t>Журнал</w:t>
      </w:r>
      <w:r w:rsidRPr="008F6BBC">
        <w:rPr>
          <w:rFonts w:eastAsia="Times New Roman"/>
          <w:sz w:val="28"/>
          <w:szCs w:val="28"/>
        </w:rPr>
        <w:br/>
        <w:t>реєстрації проведення спеціального навчання або інструктажу представників контролюючого органу на контрольних постах</w:t>
      </w:r>
    </w:p>
    <w:p w:rsidR="00D17987" w:rsidRPr="008F6BBC" w:rsidRDefault="00D17987" w:rsidP="00D17987">
      <w:pPr>
        <w:pStyle w:val="a3"/>
        <w:jc w:val="center"/>
      </w:pPr>
      <w:r w:rsidRPr="008F6BBC">
        <w:t>________________________________________________________________________________</w:t>
      </w:r>
      <w:r w:rsidRPr="008F6BBC">
        <w:br/>
      </w:r>
      <w:r w:rsidRPr="008F6BBC">
        <w:rPr>
          <w:sz w:val="22"/>
          <w:szCs w:val="22"/>
        </w:rPr>
        <w:t>(найменування підприємства (місце розташування контрольного поста))</w:t>
      </w:r>
    </w:p>
    <w:tbl>
      <w:tblPr>
        <w:tblStyle w:val="a8"/>
        <w:tblW w:w="52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28"/>
        <w:gridCol w:w="997"/>
        <w:gridCol w:w="2066"/>
        <w:gridCol w:w="2398"/>
        <w:gridCol w:w="2235"/>
        <w:gridCol w:w="2248"/>
        <w:gridCol w:w="1951"/>
        <w:gridCol w:w="1719"/>
        <w:gridCol w:w="1288"/>
      </w:tblGrid>
      <w:tr w:rsidR="008F6BBC" w:rsidRPr="008F6BBC" w:rsidTr="001B520E">
        <w:tc>
          <w:tcPr>
            <w:tcW w:w="233" w:type="pct"/>
            <w:vMerge w:val="restar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№</w:t>
            </w:r>
            <w:r w:rsidRPr="008F6BBC">
              <w:rPr>
                <w:szCs w:val="22"/>
              </w:rPr>
              <w:br/>
              <w:t>з/п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Дата</w:t>
            </w:r>
          </w:p>
        </w:tc>
        <w:tc>
          <w:tcPr>
            <w:tcW w:w="661" w:type="pct"/>
            <w:vMerge w:val="restar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Вид інструктажу</w:t>
            </w:r>
          </w:p>
        </w:tc>
        <w:tc>
          <w:tcPr>
            <w:tcW w:w="767" w:type="pct"/>
            <w:vMerge w:val="restar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Прізвище, власне ім’я, по батькові (за наявності) особи, яку інструктують</w:t>
            </w:r>
          </w:p>
        </w:tc>
        <w:tc>
          <w:tcPr>
            <w:tcW w:w="715" w:type="pct"/>
            <w:vMerge w:val="restar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Посада особи, яку інструктують</w:t>
            </w:r>
          </w:p>
        </w:tc>
        <w:tc>
          <w:tcPr>
            <w:tcW w:w="719" w:type="pct"/>
            <w:vMerge w:val="restar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Прізвище, власне ім’я, по батькові (за наявності) особи, яка інструктує</w:t>
            </w:r>
          </w:p>
        </w:tc>
        <w:tc>
          <w:tcPr>
            <w:tcW w:w="1174" w:type="pct"/>
            <w:gridSpan w:val="2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Підписи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Примітки</w:t>
            </w:r>
          </w:p>
        </w:tc>
      </w:tr>
      <w:tr w:rsidR="008F6BBC" w:rsidRPr="008F6BBC" w:rsidTr="001B520E">
        <w:tc>
          <w:tcPr>
            <w:tcW w:w="233" w:type="pct"/>
            <w:vMerge/>
            <w:hideMark/>
          </w:tcPr>
          <w:p w:rsidR="00D17987" w:rsidRPr="008F6BBC" w:rsidRDefault="00D17987" w:rsidP="001B520E">
            <w:pPr>
              <w:rPr>
                <w:szCs w:val="22"/>
              </w:rPr>
            </w:pPr>
          </w:p>
        </w:tc>
        <w:tc>
          <w:tcPr>
            <w:tcW w:w="319" w:type="pct"/>
            <w:vMerge/>
            <w:hideMark/>
          </w:tcPr>
          <w:p w:rsidR="00D17987" w:rsidRPr="008F6BBC" w:rsidRDefault="00D17987" w:rsidP="001B520E">
            <w:pPr>
              <w:rPr>
                <w:szCs w:val="22"/>
              </w:rPr>
            </w:pPr>
          </w:p>
        </w:tc>
        <w:tc>
          <w:tcPr>
            <w:tcW w:w="661" w:type="pct"/>
            <w:vMerge/>
            <w:hideMark/>
          </w:tcPr>
          <w:p w:rsidR="00D17987" w:rsidRPr="008F6BBC" w:rsidRDefault="00D17987" w:rsidP="001B520E">
            <w:pPr>
              <w:rPr>
                <w:szCs w:val="22"/>
              </w:rPr>
            </w:pPr>
          </w:p>
        </w:tc>
        <w:tc>
          <w:tcPr>
            <w:tcW w:w="767" w:type="pct"/>
            <w:vMerge/>
            <w:hideMark/>
          </w:tcPr>
          <w:p w:rsidR="00D17987" w:rsidRPr="008F6BBC" w:rsidRDefault="00D17987" w:rsidP="001B520E">
            <w:pPr>
              <w:rPr>
                <w:szCs w:val="22"/>
              </w:rPr>
            </w:pPr>
          </w:p>
        </w:tc>
        <w:tc>
          <w:tcPr>
            <w:tcW w:w="715" w:type="pct"/>
            <w:vMerge/>
            <w:hideMark/>
          </w:tcPr>
          <w:p w:rsidR="00D17987" w:rsidRPr="008F6BBC" w:rsidRDefault="00D17987" w:rsidP="001B520E">
            <w:pPr>
              <w:rPr>
                <w:szCs w:val="22"/>
              </w:rPr>
            </w:pPr>
          </w:p>
        </w:tc>
        <w:tc>
          <w:tcPr>
            <w:tcW w:w="719" w:type="pct"/>
            <w:vMerge/>
            <w:hideMark/>
          </w:tcPr>
          <w:p w:rsidR="00D17987" w:rsidRPr="008F6BBC" w:rsidRDefault="00D17987" w:rsidP="001B520E">
            <w:pPr>
              <w:rPr>
                <w:szCs w:val="22"/>
              </w:rPr>
            </w:pPr>
          </w:p>
        </w:tc>
        <w:tc>
          <w:tcPr>
            <w:tcW w:w="624" w:type="pc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особи, яку інструктують</w:t>
            </w:r>
          </w:p>
        </w:tc>
        <w:tc>
          <w:tcPr>
            <w:tcW w:w="550" w:type="pct"/>
            <w:vAlign w:val="center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особи, яка інструктує</w:t>
            </w:r>
          </w:p>
        </w:tc>
        <w:tc>
          <w:tcPr>
            <w:tcW w:w="412" w:type="pct"/>
            <w:vMerge/>
            <w:hideMark/>
          </w:tcPr>
          <w:p w:rsidR="00D17987" w:rsidRPr="008F6BBC" w:rsidRDefault="00D17987" w:rsidP="001B520E">
            <w:pPr>
              <w:rPr>
                <w:szCs w:val="22"/>
              </w:rPr>
            </w:pPr>
          </w:p>
        </w:tc>
      </w:tr>
      <w:tr w:rsidR="008F6BBC" w:rsidRPr="008F6BBC" w:rsidTr="001B520E">
        <w:tc>
          <w:tcPr>
            <w:tcW w:w="233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1</w:t>
            </w:r>
          </w:p>
        </w:tc>
        <w:tc>
          <w:tcPr>
            <w:tcW w:w="319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2</w:t>
            </w:r>
          </w:p>
        </w:tc>
        <w:tc>
          <w:tcPr>
            <w:tcW w:w="661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3</w:t>
            </w:r>
          </w:p>
        </w:tc>
        <w:tc>
          <w:tcPr>
            <w:tcW w:w="767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4</w:t>
            </w:r>
          </w:p>
        </w:tc>
        <w:tc>
          <w:tcPr>
            <w:tcW w:w="715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5</w:t>
            </w:r>
          </w:p>
        </w:tc>
        <w:tc>
          <w:tcPr>
            <w:tcW w:w="719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6</w:t>
            </w:r>
          </w:p>
        </w:tc>
        <w:tc>
          <w:tcPr>
            <w:tcW w:w="624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7</w:t>
            </w:r>
          </w:p>
        </w:tc>
        <w:tc>
          <w:tcPr>
            <w:tcW w:w="550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8</w:t>
            </w:r>
          </w:p>
        </w:tc>
        <w:tc>
          <w:tcPr>
            <w:tcW w:w="412" w:type="pct"/>
            <w:hideMark/>
          </w:tcPr>
          <w:p w:rsidR="00D17987" w:rsidRPr="008F6BBC" w:rsidRDefault="00D17987" w:rsidP="001B520E">
            <w:pPr>
              <w:pStyle w:val="a3"/>
              <w:jc w:val="center"/>
              <w:rPr>
                <w:szCs w:val="22"/>
              </w:rPr>
            </w:pPr>
            <w:r w:rsidRPr="008F6BBC">
              <w:rPr>
                <w:szCs w:val="22"/>
              </w:rPr>
              <w:t>9</w:t>
            </w:r>
          </w:p>
        </w:tc>
      </w:tr>
      <w:tr w:rsidR="008F6BBC" w:rsidRPr="008F6BBC" w:rsidTr="001B520E">
        <w:tc>
          <w:tcPr>
            <w:tcW w:w="233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  <w:tc>
          <w:tcPr>
            <w:tcW w:w="319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  <w:tc>
          <w:tcPr>
            <w:tcW w:w="661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  <w:tc>
          <w:tcPr>
            <w:tcW w:w="767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  <w:tc>
          <w:tcPr>
            <w:tcW w:w="715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  <w:tc>
          <w:tcPr>
            <w:tcW w:w="719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  <w:tc>
          <w:tcPr>
            <w:tcW w:w="624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  <w:tc>
          <w:tcPr>
            <w:tcW w:w="550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  <w:tc>
          <w:tcPr>
            <w:tcW w:w="412" w:type="pct"/>
            <w:hideMark/>
          </w:tcPr>
          <w:p w:rsidR="00D17987" w:rsidRPr="008F6BBC" w:rsidRDefault="00D17987" w:rsidP="001B520E">
            <w:pPr>
              <w:pStyle w:val="a3"/>
              <w:jc w:val="center"/>
            </w:pPr>
            <w:r w:rsidRPr="008F6BBC">
              <w:t> </w:t>
            </w:r>
          </w:p>
        </w:tc>
      </w:tr>
    </w:tbl>
    <w:p w:rsidR="004D3CB0" w:rsidRPr="008F6BBC" w:rsidRDefault="00D17987" w:rsidP="00BC5AEE">
      <w:pPr>
        <w:pStyle w:val="a3"/>
        <w:jc w:val="center"/>
      </w:pPr>
      <w:r w:rsidRPr="008F6BBC">
        <w:br w:type="textWrapping" w:clear="all"/>
        <w:t>____________________________________________________</w:t>
      </w:r>
    </w:p>
    <w:sectPr w:rsidR="004D3CB0" w:rsidRPr="008F6BBC" w:rsidSect="00D17987">
      <w:pgSz w:w="16838" w:h="11906" w:orient="landscape"/>
      <w:pgMar w:top="1701" w:right="709" w:bottom="56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60" w:rsidRDefault="00ED1660">
      <w:r>
        <w:separator/>
      </w:r>
    </w:p>
  </w:endnote>
  <w:endnote w:type="continuationSeparator" w:id="0">
    <w:p w:rsidR="00ED1660" w:rsidRDefault="00ED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60" w:rsidRDefault="00ED1660">
      <w:r>
        <w:separator/>
      </w:r>
    </w:p>
  </w:footnote>
  <w:footnote w:type="continuationSeparator" w:id="0">
    <w:p w:rsidR="00ED1660" w:rsidRDefault="00ED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318660"/>
      <w:docPartObj>
        <w:docPartGallery w:val="Page Numbers (Top of Page)"/>
        <w:docPartUnique/>
      </w:docPartObj>
    </w:sdtPr>
    <w:sdtEndPr/>
    <w:sdtContent>
      <w:p w:rsidR="00B33D99" w:rsidRDefault="001B10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6F" w:rsidRPr="002A366F">
          <w:rPr>
            <w:noProof/>
            <w:lang w:val="ru-RU"/>
          </w:rPr>
          <w:t>2</w:t>
        </w:r>
        <w:r>
          <w:fldChar w:fldCharType="end"/>
        </w:r>
      </w:p>
    </w:sdtContent>
  </w:sdt>
  <w:p w:rsidR="00B33D99" w:rsidRDefault="00ED16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89"/>
    <w:rsid w:val="000C6168"/>
    <w:rsid w:val="00116FDA"/>
    <w:rsid w:val="001B1089"/>
    <w:rsid w:val="002A366F"/>
    <w:rsid w:val="00400659"/>
    <w:rsid w:val="004970D5"/>
    <w:rsid w:val="004D3CB0"/>
    <w:rsid w:val="004F1F07"/>
    <w:rsid w:val="00546F3B"/>
    <w:rsid w:val="005D3123"/>
    <w:rsid w:val="00650C1B"/>
    <w:rsid w:val="007075A4"/>
    <w:rsid w:val="0081420F"/>
    <w:rsid w:val="008F6BBC"/>
    <w:rsid w:val="00AB1698"/>
    <w:rsid w:val="00AE47FA"/>
    <w:rsid w:val="00B2519C"/>
    <w:rsid w:val="00B33D61"/>
    <w:rsid w:val="00B53838"/>
    <w:rsid w:val="00BA46EA"/>
    <w:rsid w:val="00BC3E04"/>
    <w:rsid w:val="00BC5AEE"/>
    <w:rsid w:val="00BD7B3B"/>
    <w:rsid w:val="00C1323C"/>
    <w:rsid w:val="00C44697"/>
    <w:rsid w:val="00C55CEB"/>
    <w:rsid w:val="00D17987"/>
    <w:rsid w:val="00D43BC6"/>
    <w:rsid w:val="00EB5F87"/>
    <w:rsid w:val="00ED1660"/>
    <w:rsid w:val="00F70DEB"/>
    <w:rsid w:val="00FA526C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6D553-8446-4F2B-88F7-0EFE3A4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179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B108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108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B108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4F1F0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F1F07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1798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table" w:styleId="a8">
    <w:name w:val="Table Grid"/>
    <w:basedOn w:val="a1"/>
    <w:uiPriority w:val="39"/>
    <w:rsid w:val="00D1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E248-AE26-4C32-8ABF-CA62A1A8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2024-09-18T06:17:00Z</dcterms:created>
  <dcterms:modified xsi:type="dcterms:W3CDTF">2024-09-18T06:17:00Z</dcterms:modified>
</cp:coreProperties>
</file>