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5DA" w:rsidRPr="00040653" w:rsidRDefault="001305DA" w:rsidP="001305DA">
      <w:pPr>
        <w:spacing w:line="240" w:lineRule="auto"/>
        <w:jc w:val="center"/>
        <w:rPr>
          <w:rFonts w:ascii="Times New Roman" w:eastAsiaTheme="minorEastAsia" w:hAnsi="Times New Roman" w:cs="Times New Roman"/>
          <w:b/>
          <w:bCs/>
          <w:sz w:val="28"/>
          <w:szCs w:val="28"/>
          <w:lang w:eastAsia="uk-UA"/>
        </w:rPr>
      </w:pPr>
      <w:r w:rsidRPr="00040653">
        <w:rPr>
          <w:rFonts w:ascii="Times New Roman" w:eastAsiaTheme="minorEastAsia" w:hAnsi="Times New Roman" w:cs="Times New Roman"/>
          <w:b/>
          <w:bCs/>
          <w:sz w:val="28"/>
          <w:szCs w:val="28"/>
          <w:lang w:eastAsia="uk-UA"/>
        </w:rPr>
        <w:t>ПОРІВНЯЛЬНА ТАБЛИЦЯ</w:t>
      </w:r>
    </w:p>
    <w:p w:rsidR="001257F2" w:rsidRPr="00040653" w:rsidRDefault="001305DA" w:rsidP="00097222">
      <w:pPr>
        <w:pStyle w:val="Default"/>
        <w:jc w:val="center"/>
        <w:rPr>
          <w:color w:val="auto"/>
        </w:rPr>
      </w:pPr>
      <w:r w:rsidRPr="00040653">
        <w:rPr>
          <w:rFonts w:eastAsiaTheme="minorEastAsia"/>
          <w:b/>
          <w:bCs/>
          <w:color w:val="auto"/>
          <w:sz w:val="28"/>
          <w:szCs w:val="28"/>
          <w:lang w:eastAsia="uk-UA"/>
        </w:rPr>
        <w:t xml:space="preserve">до </w:t>
      </w:r>
      <w:proofErr w:type="spellStart"/>
      <w:r w:rsidRPr="00040653">
        <w:rPr>
          <w:rFonts w:eastAsiaTheme="minorEastAsia"/>
          <w:b/>
          <w:bCs/>
          <w:color w:val="auto"/>
          <w:sz w:val="28"/>
          <w:szCs w:val="28"/>
          <w:lang w:eastAsia="uk-UA"/>
        </w:rPr>
        <w:t>проєкту</w:t>
      </w:r>
      <w:proofErr w:type="spellEnd"/>
      <w:r w:rsidRPr="00040653">
        <w:rPr>
          <w:rFonts w:eastAsiaTheme="minorEastAsia"/>
          <w:b/>
          <w:bCs/>
          <w:color w:val="auto"/>
          <w:sz w:val="28"/>
          <w:szCs w:val="28"/>
          <w:lang w:eastAsia="uk-UA"/>
        </w:rPr>
        <w:t xml:space="preserve"> наказу Міністерства фінансів України «</w:t>
      </w:r>
      <w:r w:rsidR="00097222" w:rsidRPr="00097222">
        <w:rPr>
          <w:rFonts w:eastAsia="Times New Roman"/>
          <w:b/>
          <w:color w:val="auto"/>
          <w:sz w:val="28"/>
          <w:szCs w:val="28"/>
          <w:lang w:eastAsia="ru-RU"/>
        </w:rPr>
        <w:t>Про внесення змін до форми Звіту про контрольовані операції та Порядку складання Звіту про контрольовані операції</w:t>
      </w:r>
      <w:r w:rsidR="003945C0">
        <w:rPr>
          <w:rFonts w:eastAsia="Times New Roman"/>
          <w:b/>
          <w:color w:val="auto"/>
          <w:sz w:val="28"/>
          <w:szCs w:val="28"/>
          <w:lang w:eastAsia="ru-RU"/>
        </w:rPr>
        <w:t>»</w:t>
      </w:r>
    </w:p>
    <w:tbl>
      <w:tblPr>
        <w:tblStyle w:val="a3"/>
        <w:tblW w:w="16165" w:type="dxa"/>
        <w:tblInd w:w="-431" w:type="dxa"/>
        <w:tblLayout w:type="fixed"/>
        <w:tblLook w:val="04A0" w:firstRow="1" w:lastRow="0" w:firstColumn="1" w:lastColumn="0" w:noHBand="0" w:noVBand="1"/>
      </w:tblPr>
      <w:tblGrid>
        <w:gridCol w:w="7372"/>
        <w:gridCol w:w="8793"/>
      </w:tblGrid>
      <w:tr w:rsidR="00040653" w:rsidRPr="00A417F0" w:rsidTr="001C532E">
        <w:tc>
          <w:tcPr>
            <w:tcW w:w="7372" w:type="dxa"/>
          </w:tcPr>
          <w:p w:rsidR="00115347" w:rsidRPr="00A417F0" w:rsidRDefault="00115347" w:rsidP="00115347">
            <w:pPr>
              <w:jc w:val="center"/>
              <w:rPr>
                <w:b/>
                <w:sz w:val="28"/>
                <w:szCs w:val="28"/>
              </w:rPr>
            </w:pPr>
            <w:r w:rsidRPr="00A417F0">
              <w:rPr>
                <w:rFonts w:ascii="Times New Roman" w:hAnsi="Times New Roman" w:cs="Times New Roman"/>
                <w:b/>
                <w:sz w:val="28"/>
                <w:szCs w:val="28"/>
              </w:rPr>
              <w:t xml:space="preserve">Зміст положення </w:t>
            </w:r>
            <w:proofErr w:type="spellStart"/>
            <w:r w:rsidRPr="00A417F0">
              <w:rPr>
                <w:rFonts w:ascii="Times New Roman" w:hAnsi="Times New Roman" w:cs="Times New Roman"/>
                <w:b/>
                <w:sz w:val="28"/>
                <w:szCs w:val="28"/>
              </w:rPr>
              <w:t>акта</w:t>
            </w:r>
            <w:proofErr w:type="spellEnd"/>
            <w:r w:rsidRPr="00A417F0">
              <w:rPr>
                <w:rFonts w:ascii="Times New Roman" w:hAnsi="Times New Roman" w:cs="Times New Roman"/>
                <w:b/>
                <w:sz w:val="28"/>
                <w:szCs w:val="28"/>
              </w:rPr>
              <w:t xml:space="preserve"> законодавства</w:t>
            </w:r>
          </w:p>
        </w:tc>
        <w:tc>
          <w:tcPr>
            <w:tcW w:w="8793" w:type="dxa"/>
          </w:tcPr>
          <w:p w:rsidR="00115347" w:rsidRPr="00A417F0" w:rsidRDefault="00115347" w:rsidP="00115347">
            <w:pPr>
              <w:jc w:val="center"/>
              <w:rPr>
                <w:b/>
                <w:sz w:val="28"/>
                <w:szCs w:val="28"/>
              </w:rPr>
            </w:pPr>
            <w:r w:rsidRPr="00A417F0">
              <w:rPr>
                <w:rFonts w:ascii="Times New Roman" w:hAnsi="Times New Roman" w:cs="Times New Roman"/>
                <w:b/>
                <w:sz w:val="28"/>
                <w:szCs w:val="28"/>
              </w:rPr>
              <w:t xml:space="preserve">Зміст відповідного положення </w:t>
            </w:r>
            <w:proofErr w:type="spellStart"/>
            <w:r w:rsidRPr="00A417F0">
              <w:rPr>
                <w:rFonts w:ascii="Times New Roman" w:hAnsi="Times New Roman" w:cs="Times New Roman"/>
                <w:b/>
                <w:sz w:val="28"/>
                <w:szCs w:val="28"/>
              </w:rPr>
              <w:t>проєкту</w:t>
            </w:r>
            <w:proofErr w:type="spellEnd"/>
            <w:r w:rsidRPr="00A417F0">
              <w:rPr>
                <w:rFonts w:ascii="Times New Roman" w:hAnsi="Times New Roman" w:cs="Times New Roman"/>
                <w:b/>
                <w:sz w:val="28"/>
                <w:szCs w:val="28"/>
              </w:rPr>
              <w:t xml:space="preserve"> </w:t>
            </w:r>
            <w:proofErr w:type="spellStart"/>
            <w:r w:rsidRPr="00A417F0">
              <w:rPr>
                <w:rFonts w:ascii="Times New Roman" w:hAnsi="Times New Roman" w:cs="Times New Roman"/>
                <w:b/>
                <w:sz w:val="28"/>
                <w:szCs w:val="28"/>
              </w:rPr>
              <w:t>акта</w:t>
            </w:r>
            <w:proofErr w:type="spellEnd"/>
            <w:r w:rsidRPr="00A417F0">
              <w:rPr>
                <w:rFonts w:ascii="Times New Roman" w:hAnsi="Times New Roman" w:cs="Times New Roman"/>
                <w:b/>
                <w:sz w:val="28"/>
                <w:szCs w:val="28"/>
              </w:rPr>
              <w:t xml:space="preserve"> </w:t>
            </w:r>
          </w:p>
        </w:tc>
      </w:tr>
      <w:tr w:rsidR="00040653" w:rsidRPr="00A417F0" w:rsidTr="00B37065">
        <w:tc>
          <w:tcPr>
            <w:tcW w:w="16165" w:type="dxa"/>
            <w:gridSpan w:val="2"/>
          </w:tcPr>
          <w:p w:rsidR="00115347" w:rsidRPr="00A417F0" w:rsidRDefault="00115347" w:rsidP="00712709">
            <w:pPr>
              <w:jc w:val="center"/>
              <w:rPr>
                <w:rFonts w:ascii="Times New Roman" w:hAnsi="Times New Roman" w:cs="Times New Roman"/>
                <w:b/>
                <w:sz w:val="28"/>
                <w:szCs w:val="28"/>
              </w:rPr>
            </w:pPr>
            <w:r w:rsidRPr="00A417F0">
              <w:rPr>
                <w:rFonts w:ascii="Times New Roman" w:hAnsi="Times New Roman" w:cs="Times New Roman"/>
                <w:b/>
                <w:sz w:val="28"/>
                <w:szCs w:val="28"/>
              </w:rPr>
              <w:t>Наказ Міністерства фінансів України від 18 січня 2016 року № 8 «Про затвердження форми та Порядку складання Звіту про контрольовані операції»</w:t>
            </w:r>
            <w:r w:rsidR="00712709" w:rsidRPr="00A417F0">
              <w:rPr>
                <w:rFonts w:ascii="Times New Roman" w:hAnsi="Times New Roman" w:cs="Times New Roman"/>
                <w:b/>
                <w:sz w:val="28"/>
                <w:szCs w:val="28"/>
              </w:rPr>
              <w:t xml:space="preserve"> (у редакції наказу Міністерства фінансів України від 31 грудня 2020 року № 841)</w:t>
            </w:r>
          </w:p>
        </w:tc>
      </w:tr>
      <w:tr w:rsidR="00040653" w:rsidRPr="00A417F0" w:rsidTr="00767F1F">
        <w:tc>
          <w:tcPr>
            <w:tcW w:w="16165" w:type="dxa"/>
            <w:gridSpan w:val="2"/>
          </w:tcPr>
          <w:p w:rsidR="00115347" w:rsidRPr="00A417F0" w:rsidRDefault="00115347" w:rsidP="00115347">
            <w:pPr>
              <w:jc w:val="center"/>
              <w:rPr>
                <w:rFonts w:ascii="Times New Roman" w:hAnsi="Times New Roman" w:cs="Times New Roman"/>
                <w:b/>
                <w:sz w:val="28"/>
                <w:szCs w:val="28"/>
              </w:rPr>
            </w:pPr>
            <w:r w:rsidRPr="00A417F0">
              <w:rPr>
                <w:rFonts w:ascii="Times New Roman" w:hAnsi="Times New Roman" w:cs="Times New Roman"/>
                <w:b/>
                <w:sz w:val="28"/>
                <w:szCs w:val="28"/>
              </w:rPr>
              <w:t>Порядок складання Звіту про контрольовані операції</w:t>
            </w:r>
          </w:p>
        </w:tc>
      </w:tr>
      <w:tr w:rsidR="00B97D2B" w:rsidRPr="00A417F0" w:rsidTr="00767F1F">
        <w:tc>
          <w:tcPr>
            <w:tcW w:w="16165" w:type="dxa"/>
            <w:gridSpan w:val="2"/>
          </w:tcPr>
          <w:p w:rsidR="00B97D2B" w:rsidRPr="00A417F0" w:rsidRDefault="00B97D2B" w:rsidP="00115347">
            <w:pPr>
              <w:jc w:val="center"/>
              <w:rPr>
                <w:rFonts w:ascii="Times New Roman" w:hAnsi="Times New Roman" w:cs="Times New Roman"/>
                <w:b/>
                <w:sz w:val="28"/>
                <w:szCs w:val="28"/>
              </w:rPr>
            </w:pPr>
            <w:r w:rsidRPr="00A417F0">
              <w:rPr>
                <w:rFonts w:ascii="Times New Roman" w:hAnsi="Times New Roman" w:cs="Times New Roman"/>
                <w:b/>
                <w:sz w:val="28"/>
                <w:szCs w:val="28"/>
              </w:rPr>
              <w:t>IV. Порядок заповнення додатка до Звіту</w:t>
            </w:r>
          </w:p>
        </w:tc>
      </w:tr>
      <w:tr w:rsidR="00B97D2B" w:rsidRPr="00A417F0" w:rsidTr="001C532E">
        <w:tc>
          <w:tcPr>
            <w:tcW w:w="7372" w:type="dxa"/>
          </w:tcPr>
          <w:p w:rsidR="00B97D2B" w:rsidRPr="00A417F0" w:rsidRDefault="00B97D2B" w:rsidP="00B97D2B">
            <w:pPr>
              <w:jc w:val="both"/>
              <w:rPr>
                <w:rFonts w:ascii="Times New Roman" w:hAnsi="Times New Roman" w:cs="Times New Roman"/>
                <w:sz w:val="28"/>
                <w:szCs w:val="28"/>
              </w:rPr>
            </w:pPr>
            <w:r w:rsidRPr="00A417F0">
              <w:rPr>
                <w:rFonts w:ascii="Times New Roman" w:hAnsi="Times New Roman" w:cs="Times New Roman"/>
                <w:sz w:val="28"/>
                <w:szCs w:val="28"/>
              </w:rPr>
              <w:t>11. У графі 6 зазначається код послуги відповідно до Класифікації зовнішньоекономічних послуг (КЗЕП), затвердженої наказом Державної служби статистики України від 27 лютого 2013 року № 69 (із змінами), у разі здійснення зовнішньої торгівлі послугами. В іншому разі у графі проставляється «0».</w:t>
            </w:r>
          </w:p>
          <w:p w:rsidR="00B97D2B" w:rsidRPr="00A417F0" w:rsidRDefault="00B97D2B" w:rsidP="00E74EDB">
            <w:pPr>
              <w:jc w:val="both"/>
              <w:rPr>
                <w:rFonts w:ascii="Times New Roman" w:hAnsi="Times New Roman" w:cs="Times New Roman"/>
                <w:sz w:val="28"/>
                <w:szCs w:val="28"/>
              </w:rPr>
            </w:pPr>
            <w:r w:rsidRPr="00A417F0">
              <w:rPr>
                <w:rFonts w:ascii="Times New Roman" w:hAnsi="Times New Roman" w:cs="Times New Roman"/>
                <w:sz w:val="28"/>
                <w:szCs w:val="28"/>
              </w:rPr>
              <w:t>Якщо код типу предмета операції, зазначений у графі 3, дорівнює 204, 205, 206 або 207, у графі 7 в обов'язковому порядку зазначається КЗЕП.</w:t>
            </w:r>
          </w:p>
        </w:tc>
        <w:tc>
          <w:tcPr>
            <w:tcW w:w="8793" w:type="dxa"/>
          </w:tcPr>
          <w:p w:rsidR="00B97D2B" w:rsidRPr="00A417F0" w:rsidRDefault="00B97D2B" w:rsidP="00424C82">
            <w:pPr>
              <w:ind w:firstLine="314"/>
              <w:jc w:val="both"/>
              <w:rPr>
                <w:rFonts w:ascii="Times New Roman" w:hAnsi="Times New Roman" w:cs="Times New Roman"/>
                <w:sz w:val="28"/>
                <w:szCs w:val="28"/>
              </w:rPr>
            </w:pPr>
            <w:r w:rsidRPr="00A417F0">
              <w:rPr>
                <w:rFonts w:ascii="Times New Roman" w:hAnsi="Times New Roman" w:cs="Times New Roman"/>
                <w:sz w:val="28"/>
                <w:szCs w:val="28"/>
              </w:rPr>
              <w:t>11. У графі 6 зазначається код послуги відповідно до Класифікації зовнішньоекономічних послуг (КЗЕП), затвердженої наказом Державної служби статистики України від 27 лютого 2013 року № 69 (із змінами), у разі здійснення зовнішньої торгівлі послугами. В іншому разі у графі проставляється «0».</w:t>
            </w:r>
          </w:p>
          <w:p w:rsidR="007A2044" w:rsidRPr="00A417F0" w:rsidRDefault="007A2044" w:rsidP="00424C82">
            <w:pPr>
              <w:ind w:firstLine="314"/>
              <w:jc w:val="both"/>
              <w:rPr>
                <w:rFonts w:ascii="Times New Roman" w:hAnsi="Times New Roman" w:cs="Times New Roman"/>
                <w:sz w:val="28"/>
                <w:szCs w:val="28"/>
              </w:rPr>
            </w:pPr>
          </w:p>
          <w:p w:rsidR="00B97D2B" w:rsidRPr="00A417F0" w:rsidRDefault="00B97D2B" w:rsidP="00424C82">
            <w:pPr>
              <w:ind w:firstLine="314"/>
              <w:jc w:val="both"/>
              <w:rPr>
                <w:rFonts w:ascii="Times New Roman" w:hAnsi="Times New Roman" w:cs="Times New Roman"/>
                <w:sz w:val="28"/>
                <w:szCs w:val="28"/>
              </w:rPr>
            </w:pPr>
            <w:r w:rsidRPr="00A417F0">
              <w:rPr>
                <w:rFonts w:ascii="Times New Roman" w:hAnsi="Times New Roman" w:cs="Times New Roman"/>
                <w:sz w:val="28"/>
                <w:szCs w:val="28"/>
              </w:rPr>
              <w:t xml:space="preserve">Якщо код типу предмета операції, зазначений у графі 3, дорівнює 204, 205, 206 або 207, у графі </w:t>
            </w:r>
            <w:r w:rsidR="00E74EDB" w:rsidRPr="00A417F0">
              <w:rPr>
                <w:rFonts w:ascii="Times New Roman" w:hAnsi="Times New Roman" w:cs="Times New Roman"/>
                <w:b/>
                <w:sz w:val="28"/>
                <w:szCs w:val="28"/>
                <w:u w:val="single"/>
              </w:rPr>
              <w:t>6</w:t>
            </w:r>
            <w:r w:rsidRPr="00A417F0">
              <w:rPr>
                <w:rFonts w:ascii="Times New Roman" w:hAnsi="Times New Roman" w:cs="Times New Roman"/>
                <w:sz w:val="28"/>
                <w:szCs w:val="28"/>
              </w:rPr>
              <w:t xml:space="preserve"> в обов'язковому порядку зазначається КЗЕП.</w:t>
            </w:r>
          </w:p>
        </w:tc>
      </w:tr>
      <w:tr w:rsidR="00040653" w:rsidRPr="00A417F0" w:rsidTr="00E74EDB">
        <w:trPr>
          <w:trHeight w:val="491"/>
        </w:trPr>
        <w:tc>
          <w:tcPr>
            <w:tcW w:w="16165" w:type="dxa"/>
            <w:gridSpan w:val="2"/>
          </w:tcPr>
          <w:p w:rsidR="00115347" w:rsidRPr="00A417F0" w:rsidRDefault="00712709" w:rsidP="00115347">
            <w:pPr>
              <w:pStyle w:val="3"/>
              <w:widowControl w:val="0"/>
              <w:spacing w:before="0" w:beforeAutospacing="0" w:after="0" w:afterAutospacing="0"/>
              <w:ind w:left="1080"/>
              <w:jc w:val="center"/>
              <w:outlineLvl w:val="2"/>
              <w:rPr>
                <w:sz w:val="28"/>
                <w:szCs w:val="28"/>
              </w:rPr>
            </w:pPr>
            <w:r w:rsidRPr="00A417F0">
              <w:rPr>
                <w:rFonts w:eastAsia="Times New Roman"/>
                <w:sz w:val="28"/>
                <w:szCs w:val="28"/>
              </w:rPr>
              <w:t>VI. Порядок заповнення інформації про пов’язаність осіб</w:t>
            </w:r>
          </w:p>
        </w:tc>
      </w:tr>
      <w:tr w:rsidR="00040653" w:rsidRPr="00A417F0" w:rsidTr="001C532E">
        <w:tc>
          <w:tcPr>
            <w:tcW w:w="7372" w:type="dxa"/>
          </w:tcPr>
          <w:p w:rsidR="00115347" w:rsidRPr="00A417F0" w:rsidRDefault="00115347" w:rsidP="00115347">
            <w:pPr>
              <w:ind w:firstLine="454"/>
              <w:jc w:val="both"/>
              <w:rPr>
                <w:rFonts w:ascii="Times New Roman" w:hAnsi="Times New Roman" w:cs="Times New Roman"/>
                <w:sz w:val="28"/>
                <w:szCs w:val="28"/>
              </w:rPr>
            </w:pPr>
            <w:r w:rsidRPr="00A417F0">
              <w:rPr>
                <w:rFonts w:ascii="Times New Roman" w:hAnsi="Times New Roman" w:cs="Times New Roman"/>
                <w:b/>
                <w:bCs/>
                <w:sz w:val="28"/>
                <w:szCs w:val="28"/>
              </w:rPr>
              <w:t>нова норма</w:t>
            </w:r>
          </w:p>
          <w:p w:rsidR="00115347" w:rsidRPr="00A417F0" w:rsidRDefault="00115347" w:rsidP="00115347">
            <w:pPr>
              <w:pStyle w:val="3"/>
              <w:widowControl w:val="0"/>
              <w:spacing w:before="0" w:beforeAutospacing="0" w:after="0" w:afterAutospacing="0"/>
              <w:ind w:left="360"/>
              <w:outlineLvl w:val="2"/>
              <w:rPr>
                <w:rFonts w:eastAsia="Times New Roman"/>
                <w:b w:val="0"/>
                <w:sz w:val="28"/>
                <w:szCs w:val="28"/>
                <w:lang w:val="ru-RU"/>
              </w:rPr>
            </w:pPr>
          </w:p>
        </w:tc>
        <w:tc>
          <w:tcPr>
            <w:tcW w:w="8793" w:type="dxa"/>
          </w:tcPr>
          <w:p w:rsidR="008F2D14" w:rsidRPr="00A417F0" w:rsidRDefault="00712709"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8. При розкритті інформації за кодом пов’язаності «525»</w:t>
            </w:r>
            <w:r w:rsidR="0071174E" w:rsidRPr="00A417F0">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у граф</w:t>
            </w:r>
            <w:r w:rsidR="0071174E" w:rsidRPr="00A417F0">
              <w:rPr>
                <w:rFonts w:ascii="Times New Roman" w:eastAsia="Times New Roman" w:hAnsi="Times New Roman" w:cs="Times New Roman"/>
                <w:b/>
                <w:bCs/>
                <w:sz w:val="28"/>
                <w:szCs w:val="28"/>
                <w:lang w:eastAsia="uk-UA"/>
              </w:rPr>
              <w:t>ах</w:t>
            </w:r>
            <w:r w:rsidR="008F2D14" w:rsidRPr="00A417F0">
              <w:rPr>
                <w:rFonts w:ascii="Times New Roman" w:eastAsia="Times New Roman" w:hAnsi="Times New Roman" w:cs="Times New Roman"/>
                <w:b/>
                <w:bCs/>
                <w:sz w:val="28"/>
                <w:szCs w:val="28"/>
                <w:lang w:eastAsia="uk-UA"/>
              </w:rPr>
              <w:t xml:space="preserve">: </w:t>
            </w:r>
          </w:p>
          <w:p w:rsidR="008F2D14"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«Загальна сума доходу (виручки) юридичної особи </w:t>
            </w:r>
            <w:r w:rsidR="00726EB8">
              <w:rPr>
                <w:rFonts w:ascii="Times New Roman" w:eastAsia="Times New Roman" w:hAnsi="Times New Roman" w:cs="Times New Roman"/>
                <w:b/>
                <w:bCs/>
                <w:sz w:val="28"/>
                <w:szCs w:val="28"/>
                <w:lang w:eastAsia="uk-UA"/>
              </w:rPr>
              <w:t xml:space="preserve">– </w:t>
            </w:r>
            <w:r w:rsidRPr="00A417F0">
              <w:rPr>
                <w:rFonts w:ascii="Times New Roman" w:eastAsia="Times New Roman" w:hAnsi="Times New Roman" w:cs="Times New Roman"/>
                <w:b/>
                <w:bCs/>
                <w:sz w:val="28"/>
                <w:szCs w:val="28"/>
                <w:lang w:eastAsia="uk-UA"/>
              </w:rPr>
              <w:t>резидента від реалізації продукції (товарів, робіт, послуг)</w:t>
            </w:r>
            <w:r w:rsidR="00F10386" w:rsidRPr="00A417F0">
              <w:rPr>
                <w:rFonts w:ascii="Times New Roman" w:eastAsia="Times New Roman" w:hAnsi="Times New Roman" w:cs="Times New Roman"/>
                <w:b/>
                <w:bCs/>
                <w:sz w:val="28"/>
                <w:szCs w:val="28"/>
                <w:lang w:eastAsia="uk-UA"/>
              </w:rPr>
              <w:t xml:space="preserve"> (за вирахуванням непрямих податків)</w:t>
            </w:r>
            <w:r w:rsidR="00E67E2B" w:rsidRPr="00A417F0">
              <w:rPr>
                <w:rFonts w:ascii="Times New Roman" w:eastAsia="Times New Roman" w:hAnsi="Times New Roman" w:cs="Times New Roman"/>
                <w:b/>
                <w:bCs/>
                <w:sz w:val="28"/>
                <w:szCs w:val="28"/>
                <w:lang w:eastAsia="uk-UA"/>
              </w:rPr>
              <w:t xml:space="preserve"> </w:t>
            </w:r>
            <w:r w:rsidRPr="00A417F0">
              <w:rPr>
                <w:rFonts w:ascii="Times New Roman" w:eastAsia="Times New Roman" w:hAnsi="Times New Roman" w:cs="Times New Roman"/>
                <w:b/>
                <w:bCs/>
                <w:sz w:val="28"/>
                <w:szCs w:val="28"/>
                <w:lang w:eastAsia="uk-UA"/>
              </w:rPr>
              <w:t xml:space="preserve">протягом календарного року всім нерезидентам»; </w:t>
            </w:r>
          </w:p>
          <w:p w:rsidR="008F2D14"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«Загальна сума доходу</w:t>
            </w:r>
            <w:r w:rsidR="00F10386" w:rsidRPr="00A417F0">
              <w:rPr>
                <w:rFonts w:ascii="Times New Roman" w:eastAsia="Times New Roman" w:hAnsi="Times New Roman" w:cs="Times New Roman"/>
                <w:b/>
                <w:bCs/>
                <w:sz w:val="28"/>
                <w:szCs w:val="28"/>
                <w:lang w:eastAsia="uk-UA"/>
              </w:rPr>
              <w:t xml:space="preserve"> (виручки)</w:t>
            </w:r>
            <w:r w:rsidRPr="00A417F0">
              <w:rPr>
                <w:rFonts w:ascii="Times New Roman" w:eastAsia="Times New Roman" w:hAnsi="Times New Roman" w:cs="Times New Roman"/>
                <w:b/>
                <w:bCs/>
                <w:sz w:val="28"/>
                <w:szCs w:val="28"/>
                <w:lang w:eastAsia="uk-UA"/>
              </w:rPr>
              <w:t xml:space="preserve"> юридичної особи </w:t>
            </w:r>
            <w:r w:rsidR="00726EB8">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резидента від реалізації продукції (товарів, робіт, послуг) </w:t>
            </w:r>
            <w:r w:rsidR="0071174E" w:rsidRPr="00A417F0">
              <w:rPr>
                <w:rFonts w:ascii="Times New Roman" w:eastAsia="Times New Roman" w:hAnsi="Times New Roman" w:cs="Times New Roman"/>
                <w:b/>
                <w:bCs/>
                <w:sz w:val="28"/>
                <w:szCs w:val="28"/>
                <w:lang w:eastAsia="uk-UA"/>
              </w:rPr>
              <w:t xml:space="preserve">(за вирахуванням непрямих податків), визначеного за правилами бухгалтерського обліку </w:t>
            </w:r>
            <w:r w:rsidRPr="00A417F0">
              <w:rPr>
                <w:rFonts w:ascii="Times New Roman" w:eastAsia="Times New Roman" w:hAnsi="Times New Roman" w:cs="Times New Roman"/>
                <w:b/>
                <w:bCs/>
                <w:sz w:val="28"/>
                <w:szCs w:val="28"/>
                <w:lang w:eastAsia="uk-UA"/>
              </w:rPr>
              <w:t xml:space="preserve">протягом календарного року, грн»; </w:t>
            </w:r>
          </w:p>
          <w:p w:rsidR="00C135A6"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lastRenderedPageBreak/>
              <w:t xml:space="preserve">«Доходи (виручка) юридичної особи </w:t>
            </w:r>
            <w:r w:rsidR="00726EB8">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резидента від реалізації продукції (товарів, робіт, послуг) </w:t>
            </w:r>
            <w:r w:rsidR="00C135A6" w:rsidRPr="00A417F0">
              <w:rPr>
                <w:rFonts w:ascii="Times New Roman" w:eastAsia="Times New Roman" w:hAnsi="Times New Roman" w:cs="Times New Roman"/>
                <w:b/>
                <w:bCs/>
                <w:sz w:val="28"/>
                <w:szCs w:val="28"/>
                <w:lang w:eastAsia="uk-UA"/>
              </w:rPr>
              <w:t xml:space="preserve">(за вирахуванням непрямих податків) </w:t>
            </w:r>
            <w:r w:rsidRPr="00A417F0">
              <w:rPr>
                <w:rFonts w:ascii="Times New Roman" w:eastAsia="Times New Roman" w:hAnsi="Times New Roman" w:cs="Times New Roman"/>
                <w:b/>
                <w:bCs/>
                <w:sz w:val="28"/>
                <w:szCs w:val="28"/>
                <w:lang w:eastAsia="uk-UA"/>
              </w:rPr>
              <w:t xml:space="preserve">окремій юридичній особі </w:t>
            </w:r>
            <w:r w:rsidR="00726EB8">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нерезиденту або окремому іноземному утворенню без статусу юридичної особи (в тому числі нерезиденту, який провадить господарську діяльність через постійне представництво на території України) протягом календарного року»</w:t>
            </w:r>
            <w:r w:rsidR="0071174E" w:rsidRPr="00A417F0">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w:t>
            </w:r>
            <w:r w:rsidR="0071174E" w:rsidRPr="00A417F0">
              <w:rPr>
                <w:rFonts w:ascii="Times New Roman" w:eastAsia="Times New Roman" w:hAnsi="Times New Roman" w:cs="Times New Roman"/>
                <w:b/>
                <w:bCs/>
                <w:sz w:val="28"/>
                <w:szCs w:val="28"/>
                <w:lang w:eastAsia="uk-UA"/>
              </w:rPr>
              <w:t>в полях</w:t>
            </w:r>
            <w:r w:rsidR="00C135A6" w:rsidRPr="00A417F0">
              <w:rPr>
                <w:rFonts w:ascii="Times New Roman" w:eastAsia="Times New Roman" w:hAnsi="Times New Roman" w:cs="Times New Roman"/>
                <w:b/>
                <w:bCs/>
                <w:sz w:val="28"/>
                <w:szCs w:val="28"/>
                <w:lang w:eastAsia="uk-UA"/>
              </w:rPr>
              <w:t>:</w:t>
            </w:r>
          </w:p>
          <w:p w:rsidR="00115347" w:rsidRPr="00A417F0" w:rsidRDefault="0071174E"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«гривень»</w:t>
            </w:r>
            <w:r w:rsidR="00C135A6" w:rsidRPr="00A417F0">
              <w:rPr>
                <w:rFonts w:ascii="Times New Roman" w:eastAsia="Times New Roman" w:hAnsi="Times New Roman" w:cs="Times New Roman"/>
                <w:b/>
                <w:bCs/>
                <w:sz w:val="28"/>
                <w:szCs w:val="28"/>
                <w:lang w:eastAsia="uk-UA"/>
              </w:rPr>
              <w:t xml:space="preserve"> - </w:t>
            </w:r>
            <w:r w:rsidRPr="00A417F0">
              <w:rPr>
                <w:rFonts w:ascii="Times New Roman" w:eastAsia="Times New Roman" w:hAnsi="Times New Roman" w:cs="Times New Roman"/>
                <w:b/>
                <w:bCs/>
                <w:sz w:val="28"/>
                <w:szCs w:val="28"/>
                <w:lang w:eastAsia="uk-UA"/>
              </w:rPr>
              <w:t xml:space="preserve"> </w:t>
            </w:r>
            <w:r w:rsidR="008F2D14" w:rsidRPr="00A417F0">
              <w:rPr>
                <w:rFonts w:ascii="Times New Roman" w:eastAsia="Times New Roman" w:hAnsi="Times New Roman" w:cs="Times New Roman"/>
                <w:b/>
                <w:bCs/>
                <w:sz w:val="28"/>
                <w:szCs w:val="28"/>
                <w:lang w:eastAsia="uk-UA"/>
              </w:rPr>
              <w:t>проставляються відповідні грошові показники</w:t>
            </w:r>
            <w:r w:rsidR="00C135A6" w:rsidRPr="00A417F0">
              <w:rPr>
                <w:rFonts w:ascii="Times New Roman" w:eastAsia="Times New Roman" w:hAnsi="Times New Roman" w:cs="Times New Roman"/>
                <w:b/>
                <w:bCs/>
                <w:sz w:val="28"/>
                <w:szCs w:val="28"/>
                <w:lang w:eastAsia="uk-UA"/>
              </w:rPr>
              <w:t>;</w:t>
            </w:r>
          </w:p>
          <w:p w:rsidR="0071174E" w:rsidRPr="00A417F0" w:rsidRDefault="00C135A6"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 </w:t>
            </w:r>
            <w:r w:rsidR="0071174E" w:rsidRPr="00A417F0">
              <w:rPr>
                <w:rFonts w:ascii="Times New Roman" w:eastAsia="Times New Roman" w:hAnsi="Times New Roman" w:cs="Times New Roman"/>
                <w:b/>
                <w:bCs/>
                <w:sz w:val="28"/>
                <w:szCs w:val="28"/>
                <w:lang w:eastAsia="uk-UA"/>
              </w:rPr>
              <w:t>«відсоток від загальної суми доходу</w:t>
            </w:r>
            <w:r w:rsidR="00D5223E" w:rsidRPr="00A417F0">
              <w:rPr>
                <w:rFonts w:ascii="Times New Roman" w:eastAsia="Times New Roman" w:hAnsi="Times New Roman" w:cs="Times New Roman"/>
                <w:b/>
                <w:bCs/>
                <w:sz w:val="28"/>
                <w:szCs w:val="28"/>
                <w:lang w:eastAsia="uk-UA"/>
              </w:rPr>
              <w:t xml:space="preserve"> (виручки)</w:t>
            </w:r>
            <w:r w:rsidR="0071174E" w:rsidRPr="00A417F0">
              <w:rPr>
                <w:rFonts w:ascii="Times New Roman" w:eastAsia="Times New Roman" w:hAnsi="Times New Roman" w:cs="Times New Roman"/>
                <w:b/>
                <w:bCs/>
                <w:sz w:val="28"/>
                <w:szCs w:val="28"/>
                <w:lang w:eastAsia="uk-UA"/>
              </w:rPr>
              <w:t xml:space="preserve">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w:t>
            </w:r>
            <w:r w:rsidR="0078276D">
              <w:rPr>
                <w:rFonts w:ascii="Times New Roman" w:eastAsia="Times New Roman" w:hAnsi="Times New Roman" w:cs="Times New Roman"/>
                <w:b/>
                <w:bCs/>
                <w:sz w:val="28"/>
                <w:szCs w:val="28"/>
                <w:lang w:eastAsia="uk-UA"/>
              </w:rPr>
              <w:t>%</w:t>
            </w:r>
            <w:r w:rsidR="0071174E" w:rsidRPr="00A417F0">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проставляється відповідне цифрове значення у відсотках із точністю до другого </w:t>
            </w:r>
            <w:proofErr w:type="spellStart"/>
            <w:r w:rsidRPr="00A417F0">
              <w:rPr>
                <w:rFonts w:ascii="Times New Roman" w:eastAsia="Times New Roman" w:hAnsi="Times New Roman" w:cs="Times New Roman"/>
                <w:b/>
                <w:bCs/>
                <w:sz w:val="28"/>
                <w:szCs w:val="28"/>
                <w:lang w:eastAsia="uk-UA"/>
              </w:rPr>
              <w:t>знака</w:t>
            </w:r>
            <w:proofErr w:type="spellEnd"/>
            <w:r w:rsidRPr="00A417F0">
              <w:rPr>
                <w:rFonts w:ascii="Times New Roman" w:eastAsia="Times New Roman" w:hAnsi="Times New Roman" w:cs="Times New Roman"/>
                <w:b/>
                <w:bCs/>
                <w:sz w:val="28"/>
                <w:szCs w:val="28"/>
                <w:lang w:eastAsia="uk-UA"/>
              </w:rPr>
              <w:t xml:space="preserve"> після коми</w:t>
            </w:r>
            <w:r w:rsidR="00B50303" w:rsidRPr="00A417F0">
              <w:rPr>
                <w:rFonts w:ascii="Times New Roman" w:eastAsia="Times New Roman" w:hAnsi="Times New Roman" w:cs="Times New Roman"/>
                <w:b/>
                <w:bCs/>
                <w:sz w:val="28"/>
                <w:szCs w:val="28"/>
                <w:lang w:eastAsia="uk-UA"/>
              </w:rPr>
              <w:t>;</w:t>
            </w:r>
          </w:p>
          <w:p w:rsidR="0071174E" w:rsidRPr="00A417F0" w:rsidRDefault="0071174E" w:rsidP="00C135A6">
            <w:pPr>
              <w:ind w:firstLine="314"/>
              <w:jc w:val="both"/>
              <w:rPr>
                <w:rFonts w:eastAsia="Times New Roman"/>
                <w:b/>
                <w:sz w:val="28"/>
                <w:szCs w:val="28"/>
              </w:rPr>
            </w:pPr>
            <w:r w:rsidRPr="00A417F0">
              <w:rPr>
                <w:rFonts w:ascii="Times New Roman" w:eastAsia="Times New Roman" w:hAnsi="Times New Roman" w:cs="Times New Roman"/>
                <w:b/>
                <w:bCs/>
                <w:sz w:val="28"/>
                <w:szCs w:val="28"/>
                <w:lang w:eastAsia="uk-UA"/>
              </w:rPr>
              <w:t xml:space="preserve">«відсоток від </w:t>
            </w:r>
            <w:r w:rsidR="00E67E2B" w:rsidRPr="00A417F0">
              <w:rPr>
                <w:rFonts w:ascii="Times New Roman" w:eastAsia="Times New Roman" w:hAnsi="Times New Roman" w:cs="Times New Roman"/>
                <w:b/>
                <w:bCs/>
                <w:sz w:val="28"/>
                <w:szCs w:val="28"/>
                <w:lang w:eastAsia="uk-UA"/>
              </w:rPr>
              <w:t xml:space="preserve">загальної суми </w:t>
            </w:r>
            <w:r w:rsidRPr="00A417F0">
              <w:rPr>
                <w:rFonts w:ascii="Times New Roman" w:eastAsia="Times New Roman" w:hAnsi="Times New Roman" w:cs="Times New Roman"/>
                <w:b/>
                <w:bCs/>
                <w:sz w:val="28"/>
                <w:szCs w:val="28"/>
                <w:lang w:eastAsia="uk-UA"/>
              </w:rPr>
              <w:t>доход</w:t>
            </w:r>
            <w:r w:rsidR="001D748E" w:rsidRPr="00A417F0">
              <w:rPr>
                <w:rFonts w:ascii="Times New Roman" w:eastAsia="Times New Roman" w:hAnsi="Times New Roman" w:cs="Times New Roman"/>
                <w:b/>
                <w:bCs/>
                <w:sz w:val="28"/>
                <w:szCs w:val="28"/>
                <w:lang w:eastAsia="uk-UA"/>
              </w:rPr>
              <w:t>у</w:t>
            </w:r>
            <w:r w:rsidRPr="00A417F0">
              <w:rPr>
                <w:rFonts w:ascii="Times New Roman" w:eastAsia="Times New Roman" w:hAnsi="Times New Roman" w:cs="Times New Roman"/>
                <w:b/>
                <w:bCs/>
                <w:sz w:val="28"/>
                <w:szCs w:val="28"/>
                <w:lang w:eastAsia="uk-UA"/>
              </w:rPr>
              <w:t xml:space="preserve"> (виручки) такої юридичної особи - резидента від реалізації продукції (товарів</w:t>
            </w:r>
            <w:r w:rsidRPr="00A417F0">
              <w:rPr>
                <w:rFonts w:ascii="Times New Roman" w:eastAsia="Times New Roman" w:hAnsi="Times New Roman" w:cs="Times New Roman"/>
                <w:b/>
                <w:sz w:val="28"/>
                <w:szCs w:val="28"/>
              </w:rPr>
              <w:t>, робіт, послуг) (за вирахуванням непрямих податків) всім нерезидентам</w:t>
            </w:r>
            <w:r w:rsidR="0078276D">
              <w:rPr>
                <w:rFonts w:ascii="Times New Roman" w:eastAsia="Times New Roman" w:hAnsi="Times New Roman" w:cs="Times New Roman"/>
                <w:b/>
                <w:sz w:val="28"/>
                <w:szCs w:val="28"/>
              </w:rPr>
              <w:t> %</w:t>
            </w:r>
            <w:r w:rsidRPr="00A417F0">
              <w:rPr>
                <w:rFonts w:ascii="Times New Roman" w:eastAsia="Times New Roman" w:hAnsi="Times New Roman" w:cs="Times New Roman"/>
                <w:b/>
                <w:sz w:val="28"/>
                <w:szCs w:val="28"/>
              </w:rPr>
              <w:t xml:space="preserve">» </w:t>
            </w:r>
            <w:bookmarkStart w:id="0" w:name="_Hlk224123291"/>
            <w:r w:rsidRPr="00A417F0">
              <w:rPr>
                <w:rFonts w:ascii="Times New Roman" w:eastAsia="Times New Roman" w:hAnsi="Times New Roman" w:cs="Times New Roman"/>
                <w:b/>
                <w:sz w:val="28"/>
                <w:szCs w:val="28"/>
              </w:rPr>
              <w:t xml:space="preserve">проставляється </w:t>
            </w:r>
            <w:bookmarkEnd w:id="0"/>
            <w:r w:rsidRPr="00A417F0">
              <w:rPr>
                <w:rFonts w:ascii="Times New Roman" w:eastAsia="Times New Roman" w:hAnsi="Times New Roman" w:cs="Times New Roman"/>
                <w:b/>
                <w:sz w:val="28"/>
                <w:szCs w:val="28"/>
              </w:rPr>
              <w:t xml:space="preserve">відповідне цифрове значення у відсотках із точністю до другого </w:t>
            </w:r>
            <w:proofErr w:type="spellStart"/>
            <w:r w:rsidRPr="00A417F0">
              <w:rPr>
                <w:rFonts w:ascii="Times New Roman" w:eastAsia="Times New Roman" w:hAnsi="Times New Roman" w:cs="Times New Roman"/>
                <w:b/>
                <w:sz w:val="28"/>
                <w:szCs w:val="28"/>
              </w:rPr>
              <w:t>знака</w:t>
            </w:r>
            <w:proofErr w:type="spellEnd"/>
            <w:r w:rsidRPr="00A417F0">
              <w:rPr>
                <w:rFonts w:ascii="Times New Roman" w:eastAsia="Times New Roman" w:hAnsi="Times New Roman" w:cs="Times New Roman"/>
                <w:b/>
                <w:sz w:val="28"/>
                <w:szCs w:val="28"/>
              </w:rPr>
              <w:t xml:space="preserve"> після коми.</w:t>
            </w:r>
          </w:p>
        </w:tc>
      </w:tr>
      <w:tr w:rsidR="008F2D14" w:rsidRPr="00A417F0" w:rsidTr="001C532E">
        <w:tc>
          <w:tcPr>
            <w:tcW w:w="7372" w:type="dxa"/>
          </w:tcPr>
          <w:p w:rsidR="008F2D14" w:rsidRPr="00A417F0" w:rsidRDefault="008F2D14" w:rsidP="008F2D14">
            <w:pPr>
              <w:ind w:firstLine="454"/>
              <w:jc w:val="both"/>
              <w:rPr>
                <w:rFonts w:ascii="Times New Roman" w:hAnsi="Times New Roman" w:cs="Times New Roman"/>
                <w:b/>
                <w:bCs/>
                <w:sz w:val="28"/>
                <w:szCs w:val="28"/>
              </w:rPr>
            </w:pPr>
            <w:r w:rsidRPr="00A417F0">
              <w:rPr>
                <w:rFonts w:ascii="Times New Roman" w:hAnsi="Times New Roman" w:cs="Times New Roman"/>
                <w:b/>
                <w:bCs/>
                <w:sz w:val="28"/>
                <w:szCs w:val="28"/>
              </w:rPr>
              <w:lastRenderedPageBreak/>
              <w:t>нова норма</w:t>
            </w:r>
          </w:p>
        </w:tc>
        <w:tc>
          <w:tcPr>
            <w:tcW w:w="8793" w:type="dxa"/>
          </w:tcPr>
          <w:p w:rsidR="008F2D14"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9. При розкритті інформації за кодом пов’язаності «526»</w:t>
            </w:r>
            <w:r w:rsidR="004772B7" w:rsidRPr="00A417F0">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у граф</w:t>
            </w:r>
            <w:r w:rsidR="004772B7" w:rsidRPr="00A417F0">
              <w:rPr>
                <w:rFonts w:ascii="Times New Roman" w:eastAsia="Times New Roman" w:hAnsi="Times New Roman" w:cs="Times New Roman"/>
                <w:b/>
                <w:bCs/>
                <w:sz w:val="28"/>
                <w:szCs w:val="28"/>
                <w:lang w:eastAsia="uk-UA"/>
              </w:rPr>
              <w:t>ах</w:t>
            </w:r>
            <w:r w:rsidRPr="00A417F0">
              <w:rPr>
                <w:rFonts w:ascii="Times New Roman" w:eastAsia="Times New Roman" w:hAnsi="Times New Roman" w:cs="Times New Roman"/>
                <w:b/>
                <w:bCs/>
                <w:sz w:val="28"/>
                <w:szCs w:val="28"/>
                <w:lang w:eastAsia="uk-UA"/>
              </w:rPr>
              <w:t xml:space="preserve">: </w:t>
            </w:r>
          </w:p>
          <w:p w:rsidR="008F2D14"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«Загальна вартість продукції (товарів, робіт, послуг), придбаної юридичною особою </w:t>
            </w:r>
            <w:r w:rsidR="00266B97">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резидентом протягом календарного року у всіх нерезидентів»;</w:t>
            </w:r>
          </w:p>
          <w:p w:rsidR="008F2D14"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«Загальна вартість продукції (товарів, робіт, послуг), придбаної юридичною особою </w:t>
            </w:r>
            <w:r w:rsidR="00266B97">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резидентом протягом календарного року, грн»;</w:t>
            </w:r>
          </w:p>
          <w:p w:rsidR="00C135A6" w:rsidRPr="00A417F0" w:rsidRDefault="008F2D14"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«Вартість продукції (товарів, робіт, послуг), придбаної юридичною особою </w:t>
            </w:r>
            <w:r w:rsidR="00266B97">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резидентом в іншої окремої юридичної особи </w:t>
            </w:r>
            <w:r w:rsidR="00266B97">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нерезидента або окремого іноземного утворення без статусу юридичної особи (в тому числі у нерезидента, який провадить </w:t>
            </w:r>
            <w:r w:rsidRPr="00A417F0">
              <w:rPr>
                <w:rFonts w:ascii="Times New Roman" w:eastAsia="Times New Roman" w:hAnsi="Times New Roman" w:cs="Times New Roman"/>
                <w:b/>
                <w:bCs/>
                <w:sz w:val="28"/>
                <w:szCs w:val="28"/>
                <w:lang w:eastAsia="uk-UA"/>
              </w:rPr>
              <w:lastRenderedPageBreak/>
              <w:t>господарську діяльність через постійне представництво на території України) протягом календарного року»</w:t>
            </w:r>
            <w:r w:rsidR="00424C82" w:rsidRPr="00A417F0">
              <w:rPr>
                <w:rFonts w:ascii="Times New Roman" w:eastAsia="Times New Roman" w:hAnsi="Times New Roman" w:cs="Times New Roman"/>
                <w:b/>
                <w:bCs/>
                <w:sz w:val="28"/>
                <w:szCs w:val="28"/>
                <w:lang w:eastAsia="uk-UA"/>
              </w:rPr>
              <w:t>,</w:t>
            </w:r>
            <w:r w:rsidR="00801781" w:rsidRPr="00A417F0">
              <w:rPr>
                <w:rFonts w:ascii="Times New Roman" w:eastAsia="Times New Roman" w:hAnsi="Times New Roman" w:cs="Times New Roman"/>
                <w:b/>
                <w:bCs/>
                <w:sz w:val="28"/>
                <w:szCs w:val="28"/>
                <w:lang w:eastAsia="uk-UA"/>
              </w:rPr>
              <w:t xml:space="preserve"> </w:t>
            </w:r>
            <w:r w:rsidR="00424C82" w:rsidRPr="00A417F0">
              <w:rPr>
                <w:rFonts w:ascii="Times New Roman" w:eastAsia="Times New Roman" w:hAnsi="Times New Roman" w:cs="Times New Roman"/>
                <w:b/>
                <w:bCs/>
                <w:sz w:val="28"/>
                <w:szCs w:val="28"/>
                <w:lang w:eastAsia="uk-UA"/>
              </w:rPr>
              <w:t>в полях</w:t>
            </w:r>
            <w:r w:rsidR="00C135A6" w:rsidRPr="00A417F0">
              <w:rPr>
                <w:rFonts w:ascii="Times New Roman" w:eastAsia="Times New Roman" w:hAnsi="Times New Roman" w:cs="Times New Roman"/>
                <w:b/>
                <w:bCs/>
                <w:sz w:val="28"/>
                <w:szCs w:val="28"/>
                <w:lang w:eastAsia="uk-UA"/>
              </w:rPr>
              <w:t>:</w:t>
            </w:r>
            <w:r w:rsidR="00424C82" w:rsidRPr="00A417F0">
              <w:rPr>
                <w:rFonts w:ascii="Times New Roman" w:eastAsia="Times New Roman" w:hAnsi="Times New Roman" w:cs="Times New Roman"/>
                <w:b/>
                <w:bCs/>
                <w:sz w:val="28"/>
                <w:szCs w:val="28"/>
                <w:lang w:eastAsia="uk-UA"/>
              </w:rPr>
              <w:t xml:space="preserve"> </w:t>
            </w:r>
          </w:p>
          <w:p w:rsidR="00234C70" w:rsidRPr="00A417F0" w:rsidRDefault="00424C82" w:rsidP="00424C82">
            <w:pPr>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«гривень»</w:t>
            </w:r>
            <w:r w:rsidR="00C135A6" w:rsidRPr="00A417F0">
              <w:rPr>
                <w:rFonts w:ascii="Times New Roman" w:eastAsia="Times New Roman" w:hAnsi="Times New Roman" w:cs="Times New Roman"/>
                <w:b/>
                <w:bCs/>
                <w:sz w:val="28"/>
                <w:szCs w:val="28"/>
                <w:lang w:eastAsia="uk-UA"/>
              </w:rPr>
              <w:t xml:space="preserve"> -</w:t>
            </w:r>
            <w:r w:rsidRPr="00A417F0">
              <w:rPr>
                <w:rFonts w:ascii="Times New Roman" w:eastAsia="Times New Roman" w:hAnsi="Times New Roman" w:cs="Times New Roman"/>
                <w:b/>
                <w:bCs/>
                <w:sz w:val="28"/>
                <w:szCs w:val="28"/>
                <w:lang w:eastAsia="uk-UA"/>
              </w:rPr>
              <w:t xml:space="preserve"> </w:t>
            </w:r>
            <w:r w:rsidR="008F2D14" w:rsidRPr="00A417F0">
              <w:rPr>
                <w:rFonts w:ascii="Times New Roman" w:eastAsia="Times New Roman" w:hAnsi="Times New Roman" w:cs="Times New Roman"/>
                <w:b/>
                <w:bCs/>
                <w:sz w:val="28"/>
                <w:szCs w:val="28"/>
                <w:lang w:eastAsia="uk-UA"/>
              </w:rPr>
              <w:t>проставляються відповідні грошові показники</w:t>
            </w:r>
            <w:r w:rsidR="00C135A6" w:rsidRPr="00A417F0">
              <w:rPr>
                <w:rFonts w:ascii="Times New Roman" w:eastAsia="Times New Roman" w:hAnsi="Times New Roman" w:cs="Times New Roman"/>
                <w:b/>
                <w:bCs/>
                <w:sz w:val="28"/>
                <w:szCs w:val="28"/>
                <w:lang w:eastAsia="uk-UA"/>
              </w:rPr>
              <w:t>;</w:t>
            </w:r>
          </w:p>
          <w:p w:rsidR="00424C82" w:rsidRPr="00A417F0" w:rsidRDefault="00C135A6" w:rsidP="00424C82">
            <w:pPr>
              <w:tabs>
                <w:tab w:val="left" w:pos="567"/>
                <w:tab w:val="left" w:pos="851"/>
              </w:tabs>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 </w:t>
            </w:r>
            <w:r w:rsidR="00424C82" w:rsidRPr="00A417F0">
              <w:rPr>
                <w:rFonts w:ascii="Times New Roman" w:eastAsia="Times New Roman" w:hAnsi="Times New Roman" w:cs="Times New Roman"/>
                <w:b/>
                <w:bCs/>
                <w:sz w:val="28"/>
                <w:szCs w:val="28"/>
                <w:lang w:eastAsia="uk-UA"/>
              </w:rPr>
              <w:t>«відсоток від загальної вартості продукції (товарів, робіт, послуг), придбаної такою юридичною особою протягом календарного року</w:t>
            </w:r>
            <w:r w:rsidR="0078276D">
              <w:rPr>
                <w:rFonts w:ascii="Times New Roman" w:eastAsia="Times New Roman" w:hAnsi="Times New Roman" w:cs="Times New Roman"/>
                <w:b/>
                <w:bCs/>
                <w:sz w:val="28"/>
                <w:szCs w:val="28"/>
                <w:lang w:eastAsia="uk-UA"/>
              </w:rPr>
              <w:t> %</w:t>
            </w:r>
            <w:r w:rsidR="00424C82" w:rsidRPr="00A417F0">
              <w:rPr>
                <w:rFonts w:ascii="Times New Roman" w:eastAsia="Times New Roman" w:hAnsi="Times New Roman" w:cs="Times New Roman"/>
                <w:b/>
                <w:bCs/>
                <w:sz w:val="28"/>
                <w:szCs w:val="28"/>
                <w:lang w:eastAsia="uk-UA"/>
              </w:rPr>
              <w:t>»</w:t>
            </w:r>
            <w:r w:rsidRPr="00A417F0">
              <w:rPr>
                <w:rFonts w:ascii="Times New Roman" w:eastAsia="Times New Roman" w:hAnsi="Times New Roman" w:cs="Times New Roman"/>
                <w:b/>
                <w:bCs/>
                <w:sz w:val="28"/>
                <w:szCs w:val="28"/>
                <w:lang w:eastAsia="uk-UA"/>
              </w:rPr>
              <w:t xml:space="preserve"> проставляється відповідне цифрове значення у відсотках із точністю до другого </w:t>
            </w:r>
            <w:proofErr w:type="spellStart"/>
            <w:r w:rsidRPr="00A417F0">
              <w:rPr>
                <w:rFonts w:ascii="Times New Roman" w:eastAsia="Times New Roman" w:hAnsi="Times New Roman" w:cs="Times New Roman"/>
                <w:b/>
                <w:bCs/>
                <w:sz w:val="28"/>
                <w:szCs w:val="28"/>
                <w:lang w:eastAsia="uk-UA"/>
              </w:rPr>
              <w:t>знака</w:t>
            </w:r>
            <w:proofErr w:type="spellEnd"/>
            <w:r w:rsidRPr="00A417F0">
              <w:rPr>
                <w:rFonts w:ascii="Times New Roman" w:eastAsia="Times New Roman" w:hAnsi="Times New Roman" w:cs="Times New Roman"/>
                <w:b/>
                <w:bCs/>
                <w:sz w:val="28"/>
                <w:szCs w:val="28"/>
                <w:lang w:eastAsia="uk-UA"/>
              </w:rPr>
              <w:t xml:space="preserve"> після коми</w:t>
            </w:r>
            <w:r w:rsidR="00B50303" w:rsidRPr="00A417F0">
              <w:rPr>
                <w:rFonts w:ascii="Times New Roman" w:eastAsia="Times New Roman" w:hAnsi="Times New Roman" w:cs="Times New Roman"/>
                <w:b/>
                <w:bCs/>
                <w:sz w:val="28"/>
                <w:szCs w:val="28"/>
                <w:lang w:eastAsia="uk-UA"/>
              </w:rPr>
              <w:t>;</w:t>
            </w:r>
          </w:p>
          <w:p w:rsidR="00E74EDB" w:rsidRPr="00A417F0" w:rsidRDefault="00424C82" w:rsidP="00C135A6">
            <w:pPr>
              <w:tabs>
                <w:tab w:val="left" w:pos="567"/>
                <w:tab w:val="left" w:pos="851"/>
              </w:tabs>
              <w:ind w:firstLine="314"/>
              <w:jc w:val="both"/>
              <w:rPr>
                <w:rFonts w:ascii="Times New Roman" w:eastAsia="Times New Roman" w:hAnsi="Times New Roman" w:cs="Times New Roman"/>
                <w:b/>
                <w:bCs/>
                <w:sz w:val="28"/>
                <w:szCs w:val="28"/>
                <w:lang w:eastAsia="uk-UA"/>
              </w:rPr>
            </w:pPr>
            <w:r w:rsidRPr="00A417F0">
              <w:rPr>
                <w:rFonts w:ascii="Times New Roman" w:eastAsia="Times New Roman" w:hAnsi="Times New Roman" w:cs="Times New Roman"/>
                <w:b/>
                <w:bCs/>
                <w:sz w:val="28"/>
                <w:szCs w:val="28"/>
                <w:lang w:eastAsia="uk-UA"/>
              </w:rPr>
              <w:t xml:space="preserve">«відсоток від </w:t>
            </w:r>
            <w:r w:rsidR="004149A3" w:rsidRPr="00A417F0">
              <w:rPr>
                <w:rFonts w:ascii="Times New Roman" w:eastAsia="Times New Roman" w:hAnsi="Times New Roman" w:cs="Times New Roman"/>
                <w:b/>
                <w:bCs/>
                <w:sz w:val="28"/>
                <w:szCs w:val="28"/>
                <w:lang w:eastAsia="uk-UA"/>
              </w:rPr>
              <w:t xml:space="preserve">загальної </w:t>
            </w:r>
            <w:r w:rsidRPr="00A417F0">
              <w:rPr>
                <w:rFonts w:ascii="Times New Roman" w:eastAsia="Times New Roman" w:hAnsi="Times New Roman" w:cs="Times New Roman"/>
                <w:b/>
                <w:bCs/>
                <w:sz w:val="28"/>
                <w:szCs w:val="28"/>
                <w:lang w:eastAsia="uk-UA"/>
              </w:rPr>
              <w:t>вартості продукції (товарів, робіт, послуг), придбаної у всіх нерезидентів</w:t>
            </w:r>
            <w:r w:rsidR="0078276D">
              <w:rPr>
                <w:rFonts w:ascii="Times New Roman" w:eastAsia="Times New Roman" w:hAnsi="Times New Roman" w:cs="Times New Roman"/>
                <w:b/>
                <w:bCs/>
                <w:sz w:val="28"/>
                <w:szCs w:val="28"/>
                <w:lang w:eastAsia="uk-UA"/>
              </w:rPr>
              <w:t> %</w:t>
            </w:r>
            <w:r w:rsidRPr="00A417F0">
              <w:rPr>
                <w:rFonts w:ascii="Times New Roman" w:eastAsia="Times New Roman" w:hAnsi="Times New Roman" w:cs="Times New Roman"/>
                <w:b/>
                <w:bCs/>
                <w:sz w:val="28"/>
                <w:szCs w:val="28"/>
                <w:lang w:eastAsia="uk-UA"/>
              </w:rPr>
              <w:t xml:space="preserve">» </w:t>
            </w:r>
            <w:r w:rsidR="00B50303" w:rsidRPr="00A417F0">
              <w:rPr>
                <w:rFonts w:ascii="Times New Roman" w:eastAsia="Times New Roman" w:hAnsi="Times New Roman" w:cs="Times New Roman"/>
                <w:b/>
                <w:bCs/>
                <w:sz w:val="28"/>
                <w:szCs w:val="28"/>
                <w:lang w:eastAsia="uk-UA"/>
              </w:rPr>
              <w:t xml:space="preserve">проставляється </w:t>
            </w:r>
            <w:r w:rsidRPr="00A417F0">
              <w:rPr>
                <w:rFonts w:ascii="Times New Roman" w:eastAsia="Times New Roman" w:hAnsi="Times New Roman" w:cs="Times New Roman"/>
                <w:b/>
                <w:bCs/>
                <w:sz w:val="28"/>
                <w:szCs w:val="28"/>
                <w:lang w:eastAsia="uk-UA"/>
              </w:rPr>
              <w:t>відповідне цифрове значення</w:t>
            </w:r>
            <w:r w:rsidRPr="00A417F0">
              <w:rPr>
                <w:rFonts w:ascii="Times New Roman" w:hAnsi="Times New Roman" w:cs="Times New Roman"/>
                <w:b/>
                <w:sz w:val="28"/>
                <w:szCs w:val="28"/>
              </w:rPr>
              <w:t xml:space="preserve"> у відсотках із точністю до другого </w:t>
            </w:r>
            <w:proofErr w:type="spellStart"/>
            <w:r w:rsidRPr="00A417F0">
              <w:rPr>
                <w:rFonts w:ascii="Times New Roman" w:hAnsi="Times New Roman" w:cs="Times New Roman"/>
                <w:b/>
                <w:sz w:val="28"/>
                <w:szCs w:val="28"/>
              </w:rPr>
              <w:t>знака</w:t>
            </w:r>
            <w:proofErr w:type="spellEnd"/>
            <w:r w:rsidRPr="00A417F0">
              <w:rPr>
                <w:rFonts w:ascii="Times New Roman" w:hAnsi="Times New Roman" w:cs="Times New Roman"/>
                <w:b/>
                <w:sz w:val="28"/>
                <w:szCs w:val="28"/>
              </w:rPr>
              <w:t xml:space="preserve"> після коми.</w:t>
            </w:r>
          </w:p>
        </w:tc>
      </w:tr>
      <w:tr w:rsidR="002725CE" w:rsidRPr="00A417F0" w:rsidTr="00C365A0">
        <w:tc>
          <w:tcPr>
            <w:tcW w:w="16165" w:type="dxa"/>
            <w:gridSpan w:val="2"/>
          </w:tcPr>
          <w:p w:rsidR="002725CE" w:rsidRPr="00A417F0" w:rsidRDefault="002725CE" w:rsidP="00E74EDB">
            <w:pPr>
              <w:ind w:firstLine="454"/>
              <w:jc w:val="center"/>
              <w:rPr>
                <w:rFonts w:ascii="Times New Roman" w:eastAsia="Times New Roman" w:hAnsi="Times New Roman" w:cs="Times New Roman"/>
                <w:b/>
                <w:bCs/>
                <w:sz w:val="28"/>
                <w:szCs w:val="28"/>
                <w:lang w:eastAsia="uk-UA"/>
              </w:rPr>
            </w:pPr>
            <w:r w:rsidRPr="00A417F0">
              <w:rPr>
                <w:rFonts w:ascii="Times New Roman" w:hAnsi="Times New Roman" w:cs="Times New Roman"/>
                <w:b/>
                <w:bCs/>
                <w:sz w:val="28"/>
                <w:szCs w:val="28"/>
              </w:rPr>
              <w:lastRenderedPageBreak/>
              <w:t>Додаток 2 до Порядку складання Звіту про контрольовані операції</w:t>
            </w:r>
            <w:r w:rsidR="00E74EDB" w:rsidRPr="00A417F0">
              <w:rPr>
                <w:rFonts w:ascii="Times New Roman" w:hAnsi="Times New Roman" w:cs="Times New Roman"/>
                <w:b/>
                <w:bCs/>
                <w:sz w:val="28"/>
                <w:szCs w:val="28"/>
              </w:rPr>
              <w:t xml:space="preserve"> </w:t>
            </w:r>
            <w:r w:rsidRPr="00A417F0">
              <w:rPr>
                <w:rFonts w:ascii="Times New Roman" w:hAnsi="Times New Roman" w:cs="Times New Roman"/>
                <w:b/>
                <w:bCs/>
                <w:sz w:val="28"/>
                <w:szCs w:val="28"/>
              </w:rPr>
              <w:t>(пункт 4 розділу IV)</w:t>
            </w:r>
          </w:p>
        </w:tc>
      </w:tr>
      <w:tr w:rsidR="00040653" w:rsidRPr="00A417F0" w:rsidTr="001C532E">
        <w:tc>
          <w:tcPr>
            <w:tcW w:w="7372" w:type="dxa"/>
          </w:tcPr>
          <w:p w:rsidR="00115347" w:rsidRDefault="00115347"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DD430E" w:rsidRDefault="00DD430E" w:rsidP="00115347">
            <w:pPr>
              <w:pStyle w:val="3"/>
              <w:widowControl w:val="0"/>
              <w:spacing w:before="0" w:beforeAutospacing="0" w:after="0" w:afterAutospacing="0"/>
              <w:ind w:firstLine="607"/>
              <w:jc w:val="both"/>
              <w:outlineLvl w:val="2"/>
              <w:rPr>
                <w:rFonts w:eastAsia="Times New Roman"/>
                <w:b w:val="0"/>
                <w:sz w:val="28"/>
                <w:szCs w:val="28"/>
                <w:lang w:val="ru-RU"/>
              </w:rPr>
            </w:pPr>
          </w:p>
          <w:p w:rsidR="00775A8A" w:rsidRPr="00A417F0" w:rsidRDefault="00775A8A" w:rsidP="00115347">
            <w:pPr>
              <w:pStyle w:val="3"/>
              <w:widowControl w:val="0"/>
              <w:spacing w:before="0" w:beforeAutospacing="0" w:after="0" w:afterAutospacing="0"/>
              <w:ind w:firstLine="607"/>
              <w:jc w:val="both"/>
              <w:outlineLvl w:val="2"/>
              <w:rPr>
                <w:rFonts w:eastAsia="Times New Roman"/>
                <w:b w:val="0"/>
                <w:sz w:val="28"/>
                <w:szCs w:val="28"/>
                <w:lang w:val="ru-RU"/>
              </w:rPr>
            </w:pPr>
            <w:r w:rsidRPr="00A417F0">
              <w:rPr>
                <w:sz w:val="28"/>
                <w:szCs w:val="28"/>
              </w:rPr>
              <w:t xml:space="preserve">нові </w:t>
            </w:r>
            <w:r w:rsidRPr="00A417F0">
              <w:rPr>
                <w:rFonts w:eastAsia="Times New Roman"/>
                <w:sz w:val="28"/>
                <w:szCs w:val="28"/>
              </w:rPr>
              <w:t>ознаки пов’язаності особи</w:t>
            </w:r>
          </w:p>
        </w:tc>
        <w:tc>
          <w:tcPr>
            <w:tcW w:w="8793" w:type="dxa"/>
          </w:tcPr>
          <w:p w:rsidR="002725CE" w:rsidRPr="004252DD" w:rsidRDefault="002725CE" w:rsidP="008475D5">
            <w:pPr>
              <w:pStyle w:val="3"/>
              <w:spacing w:before="0" w:beforeAutospacing="0" w:after="0" w:afterAutospacing="0"/>
              <w:jc w:val="center"/>
              <w:outlineLvl w:val="2"/>
              <w:rPr>
                <w:rFonts w:eastAsia="Times New Roman"/>
                <w:sz w:val="28"/>
                <w:szCs w:val="28"/>
              </w:rPr>
            </w:pPr>
            <w:r w:rsidRPr="004252DD">
              <w:rPr>
                <w:rFonts w:eastAsia="Times New Roman"/>
                <w:sz w:val="28"/>
                <w:szCs w:val="28"/>
              </w:rPr>
              <w:t>Код ознаки пов’язаності особи</w:t>
            </w:r>
          </w:p>
          <w:tbl>
            <w:tblPr>
              <w:tblW w:w="8680" w:type="dxa"/>
              <w:tblCellSpacing w:w="22" w:type="dxa"/>
              <w:tblLayout w:type="fixed"/>
              <w:tblCellMar>
                <w:top w:w="60" w:type="dxa"/>
                <w:left w:w="60" w:type="dxa"/>
                <w:bottom w:w="60" w:type="dxa"/>
                <w:right w:w="60" w:type="dxa"/>
              </w:tblCellMar>
              <w:tblLook w:val="04A0" w:firstRow="1" w:lastRow="0" w:firstColumn="1" w:lastColumn="0" w:noHBand="0" w:noVBand="1"/>
            </w:tblPr>
            <w:tblGrid>
              <w:gridCol w:w="598"/>
              <w:gridCol w:w="8082"/>
            </w:tblGrid>
            <w:tr w:rsidR="002725CE" w:rsidRPr="004252DD" w:rsidTr="008475D5">
              <w:trPr>
                <w:tblCellSpacing w:w="22" w:type="dxa"/>
              </w:trPr>
              <w:tc>
                <w:tcPr>
                  <w:tcW w:w="308" w:type="pct"/>
                  <w:hideMark/>
                </w:tcPr>
                <w:p w:rsidR="002725CE" w:rsidRPr="004252DD" w:rsidRDefault="002725CE" w:rsidP="001C532E">
                  <w:pPr>
                    <w:pStyle w:val="a4"/>
                    <w:ind w:left="-90" w:right="-57"/>
                    <w:jc w:val="center"/>
                    <w:rPr>
                      <w:b/>
                      <w:sz w:val="28"/>
                      <w:szCs w:val="28"/>
                    </w:rPr>
                  </w:pPr>
                  <w:r w:rsidRPr="004252DD">
                    <w:rPr>
                      <w:b/>
                      <w:sz w:val="28"/>
                      <w:szCs w:val="28"/>
                    </w:rPr>
                    <w:t>Код</w:t>
                  </w:r>
                </w:p>
              </w:tc>
              <w:tc>
                <w:tcPr>
                  <w:tcW w:w="4616" w:type="pct"/>
                  <w:hideMark/>
                </w:tcPr>
                <w:p w:rsidR="002725CE" w:rsidRPr="004252DD" w:rsidRDefault="002725CE" w:rsidP="002725CE">
                  <w:pPr>
                    <w:pStyle w:val="a4"/>
                    <w:jc w:val="center"/>
                    <w:rPr>
                      <w:b/>
                      <w:sz w:val="28"/>
                      <w:szCs w:val="28"/>
                    </w:rPr>
                  </w:pPr>
                  <w:r w:rsidRPr="004252DD">
                    <w:rPr>
                      <w:b/>
                      <w:sz w:val="28"/>
                      <w:szCs w:val="28"/>
                    </w:rPr>
                    <w:t>Ознака</w:t>
                  </w:r>
                </w:p>
              </w:tc>
            </w:tr>
            <w:tr w:rsidR="00DD430E" w:rsidRPr="004252DD" w:rsidTr="008475D5">
              <w:trPr>
                <w:tblCellSpacing w:w="22" w:type="dxa"/>
              </w:trPr>
              <w:tc>
                <w:tcPr>
                  <w:tcW w:w="4949" w:type="pct"/>
                  <w:gridSpan w:val="2"/>
                </w:tcPr>
                <w:p w:rsidR="00DD430E" w:rsidRPr="004252DD" w:rsidRDefault="00DD430E" w:rsidP="00DD430E">
                  <w:pPr>
                    <w:pStyle w:val="a4"/>
                    <w:jc w:val="center"/>
                    <w:rPr>
                      <w:b/>
                      <w:sz w:val="28"/>
                      <w:szCs w:val="28"/>
                    </w:rPr>
                  </w:pPr>
                  <w:r>
                    <w:rPr>
                      <w:i/>
                      <w:iCs/>
                      <w:color w:val="333333"/>
                      <w:shd w:val="clear" w:color="auto" w:fill="FFFFFF"/>
                    </w:rPr>
                    <w:t>Для юридичних осіб</w:t>
                  </w:r>
                </w:p>
              </w:tc>
            </w:tr>
            <w:tr w:rsidR="00DD430E" w:rsidRPr="004252DD" w:rsidTr="008475D5">
              <w:trPr>
                <w:tblCellSpacing w:w="22" w:type="dxa"/>
              </w:trPr>
              <w:tc>
                <w:tcPr>
                  <w:tcW w:w="4949" w:type="pct"/>
                  <w:gridSpan w:val="2"/>
                </w:tcPr>
                <w:p w:rsidR="00DD430E" w:rsidRPr="004252DD" w:rsidRDefault="00DD430E" w:rsidP="002725CE">
                  <w:pPr>
                    <w:pStyle w:val="a4"/>
                    <w:rPr>
                      <w:b/>
                      <w:sz w:val="28"/>
                      <w:szCs w:val="28"/>
                    </w:rPr>
                  </w:pPr>
                  <w:r>
                    <w:rPr>
                      <w:b/>
                      <w:sz w:val="28"/>
                      <w:szCs w:val="28"/>
                    </w:rPr>
                    <w:t>…</w:t>
                  </w:r>
                </w:p>
              </w:tc>
            </w:tr>
            <w:tr w:rsidR="00A56259" w:rsidRPr="004252DD" w:rsidTr="008475D5">
              <w:trPr>
                <w:tblCellSpacing w:w="22" w:type="dxa"/>
              </w:trPr>
              <w:tc>
                <w:tcPr>
                  <w:tcW w:w="308" w:type="pct"/>
                </w:tcPr>
                <w:p w:rsidR="001C532E" w:rsidRPr="004D08DA" w:rsidRDefault="001C532E" w:rsidP="00A56259">
                  <w:pPr>
                    <w:pStyle w:val="a4"/>
                    <w:ind w:right="-95"/>
                    <w:rPr>
                      <w:sz w:val="28"/>
                      <w:szCs w:val="28"/>
                    </w:rPr>
                  </w:pPr>
                  <w:bookmarkStart w:id="1" w:name="_GoBack"/>
                  <w:r w:rsidRPr="004D08DA">
                    <w:rPr>
                      <w:sz w:val="28"/>
                      <w:szCs w:val="28"/>
                    </w:rPr>
                    <w:t>510</w:t>
                  </w:r>
                  <w:bookmarkEnd w:id="1"/>
                </w:p>
              </w:tc>
              <w:tc>
                <w:tcPr>
                  <w:tcW w:w="4616" w:type="pct"/>
                </w:tcPr>
                <w:p w:rsidR="001C532E" w:rsidRPr="00E95B18" w:rsidRDefault="001C532E" w:rsidP="001C532E">
                  <w:pPr>
                    <w:pStyle w:val="rvps14"/>
                    <w:spacing w:before="150" w:after="150"/>
                    <w:jc w:val="both"/>
                    <w:rPr>
                      <w:b/>
                      <w:sz w:val="28"/>
                      <w:szCs w:val="28"/>
                    </w:rPr>
                  </w:pPr>
                  <w:r w:rsidRPr="00E95B18">
                    <w:rPr>
                      <w:color w:val="333333"/>
                      <w:sz w:val="28"/>
                      <w:szCs w:val="28"/>
                    </w:rPr>
                    <w:t xml:space="preserve">Сума всіх кредитів (позик), поворотної фінансової допомоги від однієї юридичної особи та/або кредитів (позик), поворотної фінансової допомоги від інших юридичних осіб, гарантованих однією юридичною особою, стосовно іншої юридичної особи перевищує суму власного капіталу більше ніж у 3,5 </w:t>
                  </w:r>
                  <w:proofErr w:type="spellStart"/>
                  <w:r w:rsidRPr="00E95B18">
                    <w:rPr>
                      <w:color w:val="333333"/>
                      <w:sz w:val="28"/>
                      <w:szCs w:val="28"/>
                    </w:rPr>
                    <w:t>раза</w:t>
                  </w:r>
                  <w:proofErr w:type="spellEnd"/>
                  <w:r w:rsidRPr="00E95B18">
                    <w:rPr>
                      <w:color w:val="333333"/>
                      <w:sz w:val="28"/>
                      <w:szCs w:val="28"/>
                    </w:rPr>
                    <w:t xml:space="preserve"> (для фінансових установ та компаній, що провадять виключно лізингову діяльність,- більше ніж у 10 разів) відповідно до </w:t>
                  </w:r>
                  <w:r w:rsidRPr="00E95B18">
                    <w:rPr>
                      <w:sz w:val="28"/>
                      <w:szCs w:val="28"/>
                    </w:rPr>
                    <w:t>підпункту 14.1.159</w:t>
                  </w:r>
                  <w:r w:rsidRPr="00E95B18">
                    <w:rPr>
                      <w:color w:val="333333"/>
                      <w:sz w:val="28"/>
                      <w:szCs w:val="28"/>
                    </w:rPr>
                    <w:t> пункту 14.1 статті 14 розділу I Податкового кодексу України на момент здійснення контрольованої операції</w:t>
                  </w:r>
                </w:p>
              </w:tc>
            </w:tr>
            <w:tr w:rsidR="002725CE" w:rsidRPr="004252DD" w:rsidTr="008475D5">
              <w:trPr>
                <w:tblCellSpacing w:w="22" w:type="dxa"/>
              </w:trPr>
              <w:tc>
                <w:tcPr>
                  <w:tcW w:w="308" w:type="pct"/>
                </w:tcPr>
                <w:p w:rsidR="002725CE" w:rsidRPr="004252DD" w:rsidRDefault="002725CE" w:rsidP="00A56259">
                  <w:pPr>
                    <w:pStyle w:val="a4"/>
                    <w:ind w:left="-82"/>
                    <w:jc w:val="center"/>
                    <w:rPr>
                      <w:b/>
                      <w:sz w:val="28"/>
                      <w:szCs w:val="28"/>
                    </w:rPr>
                  </w:pPr>
                  <w:r w:rsidRPr="004252DD">
                    <w:rPr>
                      <w:b/>
                      <w:sz w:val="28"/>
                      <w:szCs w:val="28"/>
                    </w:rPr>
                    <w:t>525</w:t>
                  </w:r>
                </w:p>
              </w:tc>
              <w:tc>
                <w:tcPr>
                  <w:tcW w:w="4616" w:type="pct"/>
                </w:tcPr>
                <w:p w:rsidR="002725CE" w:rsidRPr="004252DD" w:rsidRDefault="002725CE" w:rsidP="00775A8A">
                  <w:pPr>
                    <w:pStyle w:val="a4"/>
                    <w:jc w:val="both"/>
                    <w:rPr>
                      <w:b/>
                      <w:sz w:val="28"/>
                      <w:szCs w:val="28"/>
                    </w:rPr>
                  </w:pPr>
                  <w:r w:rsidRPr="004252DD">
                    <w:rPr>
                      <w:b/>
                      <w:sz w:val="28"/>
                      <w:szCs w:val="28"/>
                    </w:rPr>
                    <w:t xml:space="preserve">Доходи (виручка) юридичної особи - резидента від реалізації продукції (товарів, робіт, послуг) (за вирахуванням непрямих податків), окремій юридичній особі </w:t>
                  </w:r>
                  <w:r w:rsidR="00266B97">
                    <w:rPr>
                      <w:b/>
                      <w:sz w:val="28"/>
                      <w:szCs w:val="28"/>
                    </w:rPr>
                    <w:t>–</w:t>
                  </w:r>
                  <w:r w:rsidRPr="004252DD">
                    <w:rPr>
                      <w:b/>
                      <w:sz w:val="28"/>
                      <w:szCs w:val="28"/>
                    </w:rPr>
                    <w:t xml:space="preserve"> нерезиденту або </w:t>
                  </w:r>
                  <w:r w:rsidRPr="004252DD">
                    <w:rPr>
                      <w:b/>
                      <w:sz w:val="28"/>
                      <w:szCs w:val="28"/>
                    </w:rPr>
                    <w:lastRenderedPageBreak/>
                    <w:t xml:space="preserve">окремому іноземному утворенню без статусу юридичної особи (в тому числі нерезиденту, який провадить господарську діяльність через постійне представництво на території України) протягом календарного року становлять 75 і більше відсотків доходів (виручки) такої юридичної особи </w:t>
                  </w:r>
                  <w:r w:rsidR="00266B97">
                    <w:rPr>
                      <w:b/>
                      <w:sz w:val="28"/>
                      <w:szCs w:val="28"/>
                    </w:rPr>
                    <w:t xml:space="preserve">– </w:t>
                  </w:r>
                  <w:r w:rsidRPr="004252DD">
                    <w:rPr>
                      <w:b/>
                      <w:sz w:val="28"/>
                      <w:szCs w:val="28"/>
                    </w:rPr>
                    <w:t xml:space="preserve">резидента від реалізації продукції (товарів, робіт, послуг) (за вирахуванням непрямих податків) всім нерезидентам, за умови що такі доходи становлять 50 і більше відсотків загальної суми доходу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відповідно до підпункту 14.1.159 пункту 14.1 статті 14 розділу І Податкового кодексу України </w:t>
                  </w:r>
                </w:p>
              </w:tc>
            </w:tr>
            <w:tr w:rsidR="002725CE" w:rsidRPr="004252DD" w:rsidTr="008475D5">
              <w:trPr>
                <w:tblCellSpacing w:w="22" w:type="dxa"/>
              </w:trPr>
              <w:tc>
                <w:tcPr>
                  <w:tcW w:w="308" w:type="pct"/>
                </w:tcPr>
                <w:p w:rsidR="002725CE" w:rsidRPr="004252DD" w:rsidRDefault="00775A8A" w:rsidP="008475D5">
                  <w:pPr>
                    <w:pStyle w:val="a4"/>
                    <w:ind w:left="-82" w:right="-95"/>
                    <w:jc w:val="center"/>
                    <w:rPr>
                      <w:b/>
                      <w:sz w:val="28"/>
                      <w:szCs w:val="28"/>
                    </w:rPr>
                  </w:pPr>
                  <w:r w:rsidRPr="004252DD">
                    <w:rPr>
                      <w:b/>
                      <w:sz w:val="28"/>
                      <w:szCs w:val="28"/>
                    </w:rPr>
                    <w:lastRenderedPageBreak/>
                    <w:t>526</w:t>
                  </w:r>
                </w:p>
              </w:tc>
              <w:tc>
                <w:tcPr>
                  <w:tcW w:w="4616" w:type="pct"/>
                </w:tcPr>
                <w:p w:rsidR="002725CE" w:rsidRDefault="00775A8A" w:rsidP="00775A8A">
                  <w:pPr>
                    <w:pStyle w:val="a4"/>
                    <w:jc w:val="both"/>
                    <w:rPr>
                      <w:b/>
                      <w:sz w:val="28"/>
                      <w:szCs w:val="28"/>
                    </w:rPr>
                  </w:pPr>
                  <w:r w:rsidRPr="004252DD">
                    <w:rPr>
                      <w:b/>
                      <w:sz w:val="28"/>
                      <w:szCs w:val="28"/>
                    </w:rPr>
                    <w:t xml:space="preserve">Вартість продукції (товарів, робіт, послуг), придбаної юридичною особою </w:t>
                  </w:r>
                  <w:r w:rsidR="00266B97">
                    <w:rPr>
                      <w:b/>
                      <w:sz w:val="28"/>
                      <w:szCs w:val="28"/>
                    </w:rPr>
                    <w:t>–</w:t>
                  </w:r>
                  <w:r w:rsidRPr="004252DD">
                    <w:rPr>
                      <w:b/>
                      <w:sz w:val="28"/>
                      <w:szCs w:val="28"/>
                    </w:rPr>
                    <w:t xml:space="preserve"> резидентом в іншої окремої юридичної особи </w:t>
                  </w:r>
                  <w:r w:rsidR="00266B97">
                    <w:rPr>
                      <w:b/>
                      <w:sz w:val="28"/>
                      <w:szCs w:val="28"/>
                    </w:rPr>
                    <w:t>–</w:t>
                  </w:r>
                  <w:r w:rsidRPr="004252DD">
                    <w:rPr>
                      <w:b/>
                      <w:sz w:val="28"/>
                      <w:szCs w:val="28"/>
                    </w:rPr>
                    <w:t xml:space="preserve"> нерезидента або окремого іноземного утворення без статусу юридичної особи (в тому числі у нерезидента, який провадить господарську діяльність через постійне представництво на території України) протягом календарного року, становить 75 і більше відсотків вартості продукції (товарів, робіт, послуг), придбаної такою особою у всіх нерезидентів, за умови що сума таких операцій з придбання становить 50 і більше відсотків загальної вартості продукції (товарів, робіт, послуг), придбаної такою юридичною особою </w:t>
                  </w:r>
                  <w:r w:rsidR="000B574F">
                    <w:rPr>
                      <w:b/>
                      <w:sz w:val="28"/>
                      <w:szCs w:val="28"/>
                    </w:rPr>
                    <w:t>–</w:t>
                  </w:r>
                  <w:r w:rsidRPr="004252DD">
                    <w:rPr>
                      <w:b/>
                      <w:sz w:val="28"/>
                      <w:szCs w:val="28"/>
                    </w:rPr>
                    <w:t xml:space="preserve"> резидентом</w:t>
                  </w:r>
                </w:p>
                <w:p w:rsidR="000B574F" w:rsidRPr="004252DD" w:rsidRDefault="000B574F" w:rsidP="00775A8A">
                  <w:pPr>
                    <w:pStyle w:val="a4"/>
                    <w:jc w:val="both"/>
                    <w:rPr>
                      <w:b/>
                      <w:sz w:val="28"/>
                      <w:szCs w:val="28"/>
                    </w:rPr>
                  </w:pPr>
                  <w:r>
                    <w:rPr>
                      <w:b/>
                      <w:sz w:val="28"/>
                      <w:szCs w:val="28"/>
                    </w:rPr>
                    <w:t>…</w:t>
                  </w:r>
                </w:p>
              </w:tc>
            </w:tr>
          </w:tbl>
          <w:p w:rsidR="009D6E80" w:rsidRPr="00A417F0" w:rsidRDefault="009D6E80" w:rsidP="003B5026">
            <w:pPr>
              <w:pStyle w:val="3"/>
              <w:widowControl w:val="0"/>
              <w:spacing w:before="0" w:beforeAutospacing="0" w:after="0" w:afterAutospacing="0"/>
              <w:ind w:firstLine="599"/>
              <w:jc w:val="both"/>
              <w:outlineLvl w:val="2"/>
              <w:rPr>
                <w:rFonts w:eastAsia="Times New Roman"/>
                <w:b w:val="0"/>
                <w:sz w:val="28"/>
                <w:szCs w:val="28"/>
              </w:rPr>
            </w:pPr>
          </w:p>
        </w:tc>
      </w:tr>
    </w:tbl>
    <w:tbl>
      <w:tblPr>
        <w:tblW w:w="15735" w:type="dxa"/>
        <w:tblLayout w:type="fixed"/>
        <w:tblLook w:val="04A0" w:firstRow="1" w:lastRow="0" w:firstColumn="1" w:lastColumn="0" w:noHBand="0" w:noVBand="1"/>
      </w:tblPr>
      <w:tblGrid>
        <w:gridCol w:w="5807"/>
        <w:gridCol w:w="355"/>
        <w:gridCol w:w="9573"/>
      </w:tblGrid>
      <w:tr w:rsidR="000B574F" w:rsidRPr="00DE6568" w:rsidTr="00DE6568">
        <w:tc>
          <w:tcPr>
            <w:tcW w:w="5807" w:type="dxa"/>
          </w:tcPr>
          <w:p w:rsidR="00DE6568" w:rsidRPr="00DE6568" w:rsidRDefault="00DE6568" w:rsidP="00DE6568">
            <w:pPr>
              <w:tabs>
                <w:tab w:val="left" w:pos="567"/>
                <w:tab w:val="left" w:pos="851"/>
                <w:tab w:val="left" w:pos="993"/>
              </w:tabs>
              <w:spacing w:after="0" w:line="240" w:lineRule="auto"/>
              <w:ind w:left="-105"/>
              <w:jc w:val="both"/>
              <w:rPr>
                <w:rFonts w:ascii="Times New Roman" w:eastAsia="Calibri" w:hAnsi="Times New Roman" w:cs="Times New Roman"/>
                <w:b/>
                <w:spacing w:val="-6"/>
                <w:sz w:val="28"/>
                <w:szCs w:val="28"/>
              </w:rPr>
            </w:pPr>
            <w:r w:rsidRPr="00DE6568">
              <w:rPr>
                <w:rFonts w:ascii="Times New Roman" w:eastAsia="Calibri" w:hAnsi="Times New Roman" w:cs="Times New Roman"/>
                <w:b/>
                <w:spacing w:val="-6"/>
                <w:sz w:val="28"/>
                <w:szCs w:val="28"/>
              </w:rPr>
              <w:lastRenderedPageBreak/>
              <w:t xml:space="preserve">Директор Департаменту </w:t>
            </w:r>
          </w:p>
          <w:p w:rsidR="000B574F" w:rsidRPr="005F3450" w:rsidRDefault="00DE6568" w:rsidP="00DE6568">
            <w:pPr>
              <w:widowControl w:val="0"/>
              <w:spacing w:after="0" w:line="240" w:lineRule="auto"/>
              <w:ind w:left="-108"/>
              <w:rPr>
                <w:rFonts w:ascii="Times New Roman" w:eastAsia="Calibri" w:hAnsi="Times New Roman" w:cs="Times New Roman"/>
                <w:b/>
                <w:spacing w:val="-6"/>
                <w:sz w:val="28"/>
                <w:szCs w:val="28"/>
              </w:rPr>
            </w:pPr>
            <w:r w:rsidRPr="00DE6568">
              <w:rPr>
                <w:rFonts w:ascii="Times New Roman" w:eastAsia="Calibri" w:hAnsi="Times New Roman" w:cs="Times New Roman"/>
                <w:b/>
                <w:spacing w:val="-6"/>
                <w:sz w:val="28"/>
                <w:szCs w:val="28"/>
              </w:rPr>
              <w:t xml:space="preserve">міжнародного оподаткування                                                  </w:t>
            </w:r>
          </w:p>
        </w:tc>
        <w:tc>
          <w:tcPr>
            <w:tcW w:w="355" w:type="dxa"/>
          </w:tcPr>
          <w:p w:rsidR="000B574F" w:rsidRPr="00DE6568" w:rsidRDefault="000B574F" w:rsidP="00DE6568">
            <w:pPr>
              <w:widowControl w:val="0"/>
              <w:spacing w:after="0" w:line="240" w:lineRule="auto"/>
              <w:jc w:val="center"/>
              <w:rPr>
                <w:rFonts w:ascii="Times New Roman" w:eastAsia="Calibri" w:hAnsi="Times New Roman" w:cs="Times New Roman"/>
                <w:b/>
                <w:spacing w:val="-6"/>
                <w:sz w:val="28"/>
                <w:szCs w:val="28"/>
              </w:rPr>
            </w:pPr>
          </w:p>
        </w:tc>
        <w:tc>
          <w:tcPr>
            <w:tcW w:w="9573" w:type="dxa"/>
          </w:tcPr>
          <w:p w:rsidR="00DE6568" w:rsidRDefault="00DE6568" w:rsidP="00DE6568">
            <w:pPr>
              <w:widowControl w:val="0"/>
              <w:spacing w:after="0" w:line="240" w:lineRule="auto"/>
              <w:ind w:right="34"/>
              <w:jc w:val="right"/>
              <w:rPr>
                <w:rFonts w:ascii="Times New Roman" w:eastAsia="Calibri" w:hAnsi="Times New Roman" w:cs="Times New Roman"/>
                <w:b/>
                <w:spacing w:val="-6"/>
                <w:sz w:val="28"/>
                <w:szCs w:val="28"/>
              </w:rPr>
            </w:pPr>
          </w:p>
          <w:p w:rsidR="000B574F" w:rsidRPr="005F3450" w:rsidRDefault="00DE6568" w:rsidP="00DE6568">
            <w:pPr>
              <w:widowControl w:val="0"/>
              <w:spacing w:after="0" w:line="240" w:lineRule="auto"/>
              <w:ind w:right="34"/>
              <w:jc w:val="right"/>
              <w:rPr>
                <w:rFonts w:ascii="Times New Roman" w:eastAsia="Calibri" w:hAnsi="Times New Roman" w:cs="Times New Roman"/>
                <w:b/>
                <w:spacing w:val="-6"/>
                <w:sz w:val="28"/>
                <w:szCs w:val="28"/>
              </w:rPr>
            </w:pPr>
            <w:r w:rsidRPr="00DE6568">
              <w:rPr>
                <w:rFonts w:ascii="Times New Roman" w:eastAsia="Calibri" w:hAnsi="Times New Roman" w:cs="Times New Roman"/>
                <w:b/>
                <w:spacing w:val="-6"/>
                <w:sz w:val="28"/>
                <w:szCs w:val="28"/>
              </w:rPr>
              <w:t>Людмила ПАЛАМАР</w:t>
            </w:r>
          </w:p>
        </w:tc>
      </w:tr>
    </w:tbl>
    <w:p w:rsidR="003945C0" w:rsidRDefault="003945C0" w:rsidP="009C743B">
      <w:pPr>
        <w:spacing w:line="240" w:lineRule="auto"/>
        <w:jc w:val="center"/>
        <w:rPr>
          <w:rFonts w:ascii="Times New Roman" w:hAnsi="Times New Roman" w:cs="Times New Roman"/>
          <w:b/>
          <w:sz w:val="16"/>
          <w:szCs w:val="16"/>
        </w:rPr>
      </w:pPr>
    </w:p>
    <w:sectPr w:rsidR="003945C0" w:rsidSect="00E74EDB">
      <w:head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016" w:rsidRDefault="00537016" w:rsidP="002E7694">
      <w:pPr>
        <w:spacing w:after="0" w:line="240" w:lineRule="auto"/>
      </w:pPr>
      <w:r>
        <w:separator/>
      </w:r>
    </w:p>
  </w:endnote>
  <w:endnote w:type="continuationSeparator" w:id="0">
    <w:p w:rsidR="00537016" w:rsidRDefault="00537016" w:rsidP="002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016" w:rsidRDefault="00537016" w:rsidP="002E7694">
      <w:pPr>
        <w:spacing w:after="0" w:line="240" w:lineRule="auto"/>
      </w:pPr>
      <w:r>
        <w:separator/>
      </w:r>
    </w:p>
  </w:footnote>
  <w:footnote w:type="continuationSeparator" w:id="0">
    <w:p w:rsidR="00537016" w:rsidRDefault="00537016" w:rsidP="002E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268078"/>
      <w:docPartObj>
        <w:docPartGallery w:val="Page Numbers (Top of Page)"/>
        <w:docPartUnique/>
      </w:docPartObj>
    </w:sdtPr>
    <w:sdtEndPr>
      <w:rPr>
        <w:rFonts w:ascii="Times New Roman" w:hAnsi="Times New Roman" w:cs="Times New Roman"/>
      </w:rPr>
    </w:sdtEndPr>
    <w:sdtContent>
      <w:p w:rsidR="002E7694" w:rsidRPr="00E74EDB" w:rsidRDefault="002E7694" w:rsidP="00E74EDB">
        <w:pPr>
          <w:pStyle w:val="a5"/>
          <w:jc w:val="center"/>
          <w:rPr>
            <w:rFonts w:ascii="Times New Roman" w:hAnsi="Times New Roman" w:cs="Times New Roman"/>
          </w:rPr>
        </w:pPr>
        <w:r w:rsidRPr="00E74EDB">
          <w:rPr>
            <w:rFonts w:ascii="Times New Roman" w:hAnsi="Times New Roman" w:cs="Times New Roman"/>
          </w:rPr>
          <w:fldChar w:fldCharType="begin"/>
        </w:r>
        <w:r w:rsidRPr="00E74EDB">
          <w:rPr>
            <w:rFonts w:ascii="Times New Roman" w:hAnsi="Times New Roman" w:cs="Times New Roman"/>
          </w:rPr>
          <w:instrText>PAGE   \* MERGEFORMAT</w:instrText>
        </w:r>
        <w:r w:rsidRPr="00E74EDB">
          <w:rPr>
            <w:rFonts w:ascii="Times New Roman" w:hAnsi="Times New Roman" w:cs="Times New Roman"/>
          </w:rPr>
          <w:fldChar w:fldCharType="separate"/>
        </w:r>
        <w:r w:rsidR="00366B64" w:rsidRPr="00E74EDB">
          <w:rPr>
            <w:rFonts w:ascii="Times New Roman" w:hAnsi="Times New Roman" w:cs="Times New Roman"/>
            <w:noProof/>
          </w:rPr>
          <w:t>4</w:t>
        </w:r>
        <w:r w:rsidRPr="00E74EDB">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6796"/>
    <w:multiLevelType w:val="hybridMultilevel"/>
    <w:tmpl w:val="F844CC66"/>
    <w:lvl w:ilvl="0" w:tplc="0C06B7AC">
      <w:start w:val="5"/>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EC74E1"/>
    <w:multiLevelType w:val="hybridMultilevel"/>
    <w:tmpl w:val="E1340B8C"/>
    <w:lvl w:ilvl="0" w:tplc="0C06B7A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F9D5DFC"/>
    <w:multiLevelType w:val="hybridMultilevel"/>
    <w:tmpl w:val="933A7F2A"/>
    <w:lvl w:ilvl="0" w:tplc="79460A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BD0002B"/>
    <w:multiLevelType w:val="hybridMultilevel"/>
    <w:tmpl w:val="E1340B8C"/>
    <w:lvl w:ilvl="0" w:tplc="0C06B7A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34B51A6"/>
    <w:multiLevelType w:val="hybridMultilevel"/>
    <w:tmpl w:val="132CFFA4"/>
    <w:lvl w:ilvl="0" w:tplc="EEEC71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5B"/>
    <w:rsid w:val="00001321"/>
    <w:rsid w:val="00002B69"/>
    <w:rsid w:val="0000371E"/>
    <w:rsid w:val="00003E36"/>
    <w:rsid w:val="0000572D"/>
    <w:rsid w:val="00007785"/>
    <w:rsid w:val="00007D31"/>
    <w:rsid w:val="0001152F"/>
    <w:rsid w:val="00015355"/>
    <w:rsid w:val="00015BB8"/>
    <w:rsid w:val="00016C6D"/>
    <w:rsid w:val="000213D8"/>
    <w:rsid w:val="000269DD"/>
    <w:rsid w:val="00032B79"/>
    <w:rsid w:val="00033110"/>
    <w:rsid w:val="00033E99"/>
    <w:rsid w:val="0003546E"/>
    <w:rsid w:val="00035807"/>
    <w:rsid w:val="00040653"/>
    <w:rsid w:val="00040A88"/>
    <w:rsid w:val="00053056"/>
    <w:rsid w:val="000560A6"/>
    <w:rsid w:val="00061A59"/>
    <w:rsid w:val="0006218B"/>
    <w:rsid w:val="00073681"/>
    <w:rsid w:val="000743F8"/>
    <w:rsid w:val="0008271D"/>
    <w:rsid w:val="000827CC"/>
    <w:rsid w:val="00083B8C"/>
    <w:rsid w:val="0009709A"/>
    <w:rsid w:val="00097222"/>
    <w:rsid w:val="000A25E6"/>
    <w:rsid w:val="000B1220"/>
    <w:rsid w:val="000B574F"/>
    <w:rsid w:val="000B647F"/>
    <w:rsid w:val="000C0002"/>
    <w:rsid w:val="000C2D34"/>
    <w:rsid w:val="000C37CB"/>
    <w:rsid w:val="000D2926"/>
    <w:rsid w:val="000D51D5"/>
    <w:rsid w:val="000D7FC8"/>
    <w:rsid w:val="000E0A0C"/>
    <w:rsid w:val="000E0F19"/>
    <w:rsid w:val="000E2A4F"/>
    <w:rsid w:val="000E3B18"/>
    <w:rsid w:val="000E4466"/>
    <w:rsid w:val="000E62DE"/>
    <w:rsid w:val="000E7F7F"/>
    <w:rsid w:val="000F4808"/>
    <w:rsid w:val="000F7B9F"/>
    <w:rsid w:val="001017AA"/>
    <w:rsid w:val="00104D6D"/>
    <w:rsid w:val="00105458"/>
    <w:rsid w:val="00105A14"/>
    <w:rsid w:val="001122D4"/>
    <w:rsid w:val="00113641"/>
    <w:rsid w:val="00113F11"/>
    <w:rsid w:val="00114210"/>
    <w:rsid w:val="00114397"/>
    <w:rsid w:val="00115347"/>
    <w:rsid w:val="00115CBD"/>
    <w:rsid w:val="00116A95"/>
    <w:rsid w:val="00120CCB"/>
    <w:rsid w:val="001240CB"/>
    <w:rsid w:val="001247C6"/>
    <w:rsid w:val="00124ADB"/>
    <w:rsid w:val="001251C1"/>
    <w:rsid w:val="001257F2"/>
    <w:rsid w:val="001305DA"/>
    <w:rsid w:val="00134460"/>
    <w:rsid w:val="00141C27"/>
    <w:rsid w:val="00142662"/>
    <w:rsid w:val="00147E98"/>
    <w:rsid w:val="00155782"/>
    <w:rsid w:val="00160C2A"/>
    <w:rsid w:val="00164F90"/>
    <w:rsid w:val="0019066D"/>
    <w:rsid w:val="0019299B"/>
    <w:rsid w:val="00195503"/>
    <w:rsid w:val="00195FD4"/>
    <w:rsid w:val="001A109C"/>
    <w:rsid w:val="001A1F77"/>
    <w:rsid w:val="001A4AF0"/>
    <w:rsid w:val="001A66E5"/>
    <w:rsid w:val="001B4243"/>
    <w:rsid w:val="001B42E8"/>
    <w:rsid w:val="001B5F07"/>
    <w:rsid w:val="001B6A8A"/>
    <w:rsid w:val="001C110E"/>
    <w:rsid w:val="001C532E"/>
    <w:rsid w:val="001C568C"/>
    <w:rsid w:val="001C6130"/>
    <w:rsid w:val="001D2439"/>
    <w:rsid w:val="001D2B88"/>
    <w:rsid w:val="001D3B0B"/>
    <w:rsid w:val="001D748E"/>
    <w:rsid w:val="001D749A"/>
    <w:rsid w:val="001E335B"/>
    <w:rsid w:val="001E67BD"/>
    <w:rsid w:val="001F250D"/>
    <w:rsid w:val="001F3133"/>
    <w:rsid w:val="001F4B60"/>
    <w:rsid w:val="00207524"/>
    <w:rsid w:val="002079DB"/>
    <w:rsid w:val="002118E8"/>
    <w:rsid w:val="0023039B"/>
    <w:rsid w:val="00234896"/>
    <w:rsid w:val="00234C70"/>
    <w:rsid w:val="0023632B"/>
    <w:rsid w:val="002517F0"/>
    <w:rsid w:val="00251FC0"/>
    <w:rsid w:val="00266B97"/>
    <w:rsid w:val="002725CE"/>
    <w:rsid w:val="00280FC7"/>
    <w:rsid w:val="002825B2"/>
    <w:rsid w:val="00286A6F"/>
    <w:rsid w:val="0029746C"/>
    <w:rsid w:val="002B2A5B"/>
    <w:rsid w:val="002B7809"/>
    <w:rsid w:val="002C4854"/>
    <w:rsid w:val="002C488B"/>
    <w:rsid w:val="002C4C61"/>
    <w:rsid w:val="002C67F6"/>
    <w:rsid w:val="002D04A8"/>
    <w:rsid w:val="002D3AB3"/>
    <w:rsid w:val="002D4BC9"/>
    <w:rsid w:val="002D50C7"/>
    <w:rsid w:val="002D67C3"/>
    <w:rsid w:val="002D69D0"/>
    <w:rsid w:val="002D7166"/>
    <w:rsid w:val="002E5177"/>
    <w:rsid w:val="002E595B"/>
    <w:rsid w:val="002E7694"/>
    <w:rsid w:val="002F20CD"/>
    <w:rsid w:val="002F3AE9"/>
    <w:rsid w:val="002F4A9F"/>
    <w:rsid w:val="002F6ECE"/>
    <w:rsid w:val="002F7B3E"/>
    <w:rsid w:val="00306683"/>
    <w:rsid w:val="00306BB9"/>
    <w:rsid w:val="00311AC5"/>
    <w:rsid w:val="0031424B"/>
    <w:rsid w:val="0031545B"/>
    <w:rsid w:val="00322A24"/>
    <w:rsid w:val="00327552"/>
    <w:rsid w:val="00330085"/>
    <w:rsid w:val="00335029"/>
    <w:rsid w:val="0033746E"/>
    <w:rsid w:val="00341B63"/>
    <w:rsid w:val="00341B8F"/>
    <w:rsid w:val="00342BA3"/>
    <w:rsid w:val="00351F98"/>
    <w:rsid w:val="003549EB"/>
    <w:rsid w:val="00355241"/>
    <w:rsid w:val="003610AD"/>
    <w:rsid w:val="00361C46"/>
    <w:rsid w:val="00363DAB"/>
    <w:rsid w:val="00366B64"/>
    <w:rsid w:val="00367994"/>
    <w:rsid w:val="00370554"/>
    <w:rsid w:val="00371AB7"/>
    <w:rsid w:val="00380C44"/>
    <w:rsid w:val="00386029"/>
    <w:rsid w:val="003945C0"/>
    <w:rsid w:val="003A25CB"/>
    <w:rsid w:val="003B00F9"/>
    <w:rsid w:val="003B41F7"/>
    <w:rsid w:val="003B5026"/>
    <w:rsid w:val="003C0777"/>
    <w:rsid w:val="003C68D0"/>
    <w:rsid w:val="003D32FC"/>
    <w:rsid w:val="003D3CBA"/>
    <w:rsid w:val="003D5D91"/>
    <w:rsid w:val="003E20EB"/>
    <w:rsid w:val="003E6B58"/>
    <w:rsid w:val="003E7A8B"/>
    <w:rsid w:val="003F2FD4"/>
    <w:rsid w:val="003F6D1D"/>
    <w:rsid w:val="003F6D5E"/>
    <w:rsid w:val="00405012"/>
    <w:rsid w:val="004149A3"/>
    <w:rsid w:val="00422D32"/>
    <w:rsid w:val="0042477F"/>
    <w:rsid w:val="00424C82"/>
    <w:rsid w:val="004252DD"/>
    <w:rsid w:val="00427F1F"/>
    <w:rsid w:val="004300CB"/>
    <w:rsid w:val="004320AA"/>
    <w:rsid w:val="00450004"/>
    <w:rsid w:val="004605C9"/>
    <w:rsid w:val="004611A9"/>
    <w:rsid w:val="004636D1"/>
    <w:rsid w:val="0046605B"/>
    <w:rsid w:val="00474D6D"/>
    <w:rsid w:val="004772B7"/>
    <w:rsid w:val="00477954"/>
    <w:rsid w:val="00485167"/>
    <w:rsid w:val="00485B94"/>
    <w:rsid w:val="00485D59"/>
    <w:rsid w:val="0049231F"/>
    <w:rsid w:val="00495413"/>
    <w:rsid w:val="00495A2C"/>
    <w:rsid w:val="004A2F17"/>
    <w:rsid w:val="004A55FD"/>
    <w:rsid w:val="004B2397"/>
    <w:rsid w:val="004B29CF"/>
    <w:rsid w:val="004B761D"/>
    <w:rsid w:val="004C7155"/>
    <w:rsid w:val="004D08DA"/>
    <w:rsid w:val="004E05B1"/>
    <w:rsid w:val="004E180F"/>
    <w:rsid w:val="004E6B33"/>
    <w:rsid w:val="004F2771"/>
    <w:rsid w:val="005022D5"/>
    <w:rsid w:val="0050311E"/>
    <w:rsid w:val="00505CDA"/>
    <w:rsid w:val="00510897"/>
    <w:rsid w:val="00513272"/>
    <w:rsid w:val="005169D5"/>
    <w:rsid w:val="00521411"/>
    <w:rsid w:val="00522D83"/>
    <w:rsid w:val="005238DE"/>
    <w:rsid w:val="00527978"/>
    <w:rsid w:val="005309C0"/>
    <w:rsid w:val="00530BE0"/>
    <w:rsid w:val="00531ECA"/>
    <w:rsid w:val="0053596D"/>
    <w:rsid w:val="005360E5"/>
    <w:rsid w:val="00537016"/>
    <w:rsid w:val="00537A85"/>
    <w:rsid w:val="00552724"/>
    <w:rsid w:val="00554993"/>
    <w:rsid w:val="0056405A"/>
    <w:rsid w:val="00570C5D"/>
    <w:rsid w:val="00576262"/>
    <w:rsid w:val="00580F74"/>
    <w:rsid w:val="00583C8F"/>
    <w:rsid w:val="00584C63"/>
    <w:rsid w:val="00591497"/>
    <w:rsid w:val="0059788F"/>
    <w:rsid w:val="005A6E2B"/>
    <w:rsid w:val="005B7906"/>
    <w:rsid w:val="005C0D54"/>
    <w:rsid w:val="005C4557"/>
    <w:rsid w:val="005C49F6"/>
    <w:rsid w:val="005C6DAF"/>
    <w:rsid w:val="005D76EC"/>
    <w:rsid w:val="005E0922"/>
    <w:rsid w:val="005E1C01"/>
    <w:rsid w:val="005E1D72"/>
    <w:rsid w:val="005E3F38"/>
    <w:rsid w:val="005E745A"/>
    <w:rsid w:val="005F5099"/>
    <w:rsid w:val="005F7C56"/>
    <w:rsid w:val="006133FE"/>
    <w:rsid w:val="0061463D"/>
    <w:rsid w:val="00622F12"/>
    <w:rsid w:val="00626EFA"/>
    <w:rsid w:val="00626F61"/>
    <w:rsid w:val="006323D7"/>
    <w:rsid w:val="0064150E"/>
    <w:rsid w:val="00645A0A"/>
    <w:rsid w:val="006464AE"/>
    <w:rsid w:val="00646F30"/>
    <w:rsid w:val="00654350"/>
    <w:rsid w:val="00654D2C"/>
    <w:rsid w:val="006628B6"/>
    <w:rsid w:val="00663809"/>
    <w:rsid w:val="0066495B"/>
    <w:rsid w:val="0067090A"/>
    <w:rsid w:val="00670BF0"/>
    <w:rsid w:val="00671841"/>
    <w:rsid w:val="006970C5"/>
    <w:rsid w:val="006B5EED"/>
    <w:rsid w:val="006B772B"/>
    <w:rsid w:val="006C051F"/>
    <w:rsid w:val="006C4A6D"/>
    <w:rsid w:val="006E586F"/>
    <w:rsid w:val="006F04C0"/>
    <w:rsid w:val="007047D3"/>
    <w:rsid w:val="0071174E"/>
    <w:rsid w:val="00712709"/>
    <w:rsid w:val="00726EB8"/>
    <w:rsid w:val="007304D7"/>
    <w:rsid w:val="00742BED"/>
    <w:rsid w:val="00752496"/>
    <w:rsid w:val="0075704B"/>
    <w:rsid w:val="00763A7B"/>
    <w:rsid w:val="0076441C"/>
    <w:rsid w:val="007659E8"/>
    <w:rsid w:val="00767E4D"/>
    <w:rsid w:val="00770CB7"/>
    <w:rsid w:val="00771D7F"/>
    <w:rsid w:val="00775A8A"/>
    <w:rsid w:val="0077677F"/>
    <w:rsid w:val="00777CCE"/>
    <w:rsid w:val="007809C7"/>
    <w:rsid w:val="0078276D"/>
    <w:rsid w:val="00785D96"/>
    <w:rsid w:val="007918E1"/>
    <w:rsid w:val="007933EC"/>
    <w:rsid w:val="00793851"/>
    <w:rsid w:val="007A0E72"/>
    <w:rsid w:val="007A2044"/>
    <w:rsid w:val="007A2F2C"/>
    <w:rsid w:val="007A550F"/>
    <w:rsid w:val="007A5542"/>
    <w:rsid w:val="007A68EA"/>
    <w:rsid w:val="007D26AD"/>
    <w:rsid w:val="007D2BE7"/>
    <w:rsid w:val="007D4AF7"/>
    <w:rsid w:val="007D77ED"/>
    <w:rsid w:val="007E11AC"/>
    <w:rsid w:val="007E1851"/>
    <w:rsid w:val="007E53B8"/>
    <w:rsid w:val="007E6BB3"/>
    <w:rsid w:val="007F74E9"/>
    <w:rsid w:val="00801781"/>
    <w:rsid w:val="0080308D"/>
    <w:rsid w:val="00805BD3"/>
    <w:rsid w:val="0080675A"/>
    <w:rsid w:val="00807243"/>
    <w:rsid w:val="00812DDE"/>
    <w:rsid w:val="008141C0"/>
    <w:rsid w:val="0081572C"/>
    <w:rsid w:val="00816004"/>
    <w:rsid w:val="00817F5B"/>
    <w:rsid w:val="00820E39"/>
    <w:rsid w:val="00822084"/>
    <w:rsid w:val="00824E0A"/>
    <w:rsid w:val="008332DC"/>
    <w:rsid w:val="00846F9E"/>
    <w:rsid w:val="008475D5"/>
    <w:rsid w:val="00847740"/>
    <w:rsid w:val="008535CC"/>
    <w:rsid w:val="0085512B"/>
    <w:rsid w:val="008579F6"/>
    <w:rsid w:val="00857B98"/>
    <w:rsid w:val="008618DB"/>
    <w:rsid w:val="00861EBF"/>
    <w:rsid w:val="008663CC"/>
    <w:rsid w:val="008671F5"/>
    <w:rsid w:val="008677C2"/>
    <w:rsid w:val="008804B8"/>
    <w:rsid w:val="008866E6"/>
    <w:rsid w:val="00890177"/>
    <w:rsid w:val="008A1816"/>
    <w:rsid w:val="008B6982"/>
    <w:rsid w:val="008C25E1"/>
    <w:rsid w:val="008C3A80"/>
    <w:rsid w:val="008C4D99"/>
    <w:rsid w:val="008C560A"/>
    <w:rsid w:val="008C6019"/>
    <w:rsid w:val="008C7358"/>
    <w:rsid w:val="008D0D2E"/>
    <w:rsid w:val="008D2E57"/>
    <w:rsid w:val="008E06F0"/>
    <w:rsid w:val="008E3D50"/>
    <w:rsid w:val="008E61C9"/>
    <w:rsid w:val="008F1BA1"/>
    <w:rsid w:val="008F2D14"/>
    <w:rsid w:val="008F543D"/>
    <w:rsid w:val="00903D0B"/>
    <w:rsid w:val="00911089"/>
    <w:rsid w:val="00930F0F"/>
    <w:rsid w:val="00935BA9"/>
    <w:rsid w:val="00945DEA"/>
    <w:rsid w:val="009466DD"/>
    <w:rsid w:val="009526CB"/>
    <w:rsid w:val="00953323"/>
    <w:rsid w:val="009652B8"/>
    <w:rsid w:val="00967E4C"/>
    <w:rsid w:val="009722BE"/>
    <w:rsid w:val="009724AA"/>
    <w:rsid w:val="00975218"/>
    <w:rsid w:val="0097790A"/>
    <w:rsid w:val="00983ADD"/>
    <w:rsid w:val="00996284"/>
    <w:rsid w:val="009A102C"/>
    <w:rsid w:val="009A1163"/>
    <w:rsid w:val="009A1592"/>
    <w:rsid w:val="009A43F9"/>
    <w:rsid w:val="009A5735"/>
    <w:rsid w:val="009B10DB"/>
    <w:rsid w:val="009B1986"/>
    <w:rsid w:val="009B4655"/>
    <w:rsid w:val="009B4B9C"/>
    <w:rsid w:val="009C743B"/>
    <w:rsid w:val="009D6E80"/>
    <w:rsid w:val="009E01D1"/>
    <w:rsid w:val="009E04A8"/>
    <w:rsid w:val="009E2BC1"/>
    <w:rsid w:val="009F1492"/>
    <w:rsid w:val="009F2934"/>
    <w:rsid w:val="009F47C8"/>
    <w:rsid w:val="00A01ADE"/>
    <w:rsid w:val="00A02537"/>
    <w:rsid w:val="00A308A7"/>
    <w:rsid w:val="00A32364"/>
    <w:rsid w:val="00A357EF"/>
    <w:rsid w:val="00A417F0"/>
    <w:rsid w:val="00A45021"/>
    <w:rsid w:val="00A50905"/>
    <w:rsid w:val="00A5406A"/>
    <w:rsid w:val="00A56259"/>
    <w:rsid w:val="00A70577"/>
    <w:rsid w:val="00A750AA"/>
    <w:rsid w:val="00A83551"/>
    <w:rsid w:val="00AA3D89"/>
    <w:rsid w:val="00AB01A5"/>
    <w:rsid w:val="00AB5684"/>
    <w:rsid w:val="00AB689E"/>
    <w:rsid w:val="00AB7A3D"/>
    <w:rsid w:val="00AC4465"/>
    <w:rsid w:val="00AC61AF"/>
    <w:rsid w:val="00AC61C2"/>
    <w:rsid w:val="00AD21D3"/>
    <w:rsid w:val="00AD7006"/>
    <w:rsid w:val="00AE50AF"/>
    <w:rsid w:val="00AE75E3"/>
    <w:rsid w:val="00AE7D26"/>
    <w:rsid w:val="00B044D1"/>
    <w:rsid w:val="00B1722D"/>
    <w:rsid w:val="00B22315"/>
    <w:rsid w:val="00B252E1"/>
    <w:rsid w:val="00B25E91"/>
    <w:rsid w:val="00B34D8B"/>
    <w:rsid w:val="00B418E8"/>
    <w:rsid w:val="00B50303"/>
    <w:rsid w:val="00B56E90"/>
    <w:rsid w:val="00B63748"/>
    <w:rsid w:val="00B66FAE"/>
    <w:rsid w:val="00B70E35"/>
    <w:rsid w:val="00B718BE"/>
    <w:rsid w:val="00B71CB2"/>
    <w:rsid w:val="00B815B5"/>
    <w:rsid w:val="00B92AF5"/>
    <w:rsid w:val="00B9332F"/>
    <w:rsid w:val="00B95C85"/>
    <w:rsid w:val="00B960BB"/>
    <w:rsid w:val="00B97D2B"/>
    <w:rsid w:val="00BA4BF6"/>
    <w:rsid w:val="00BA72BB"/>
    <w:rsid w:val="00BB0BA0"/>
    <w:rsid w:val="00BB5891"/>
    <w:rsid w:val="00BC7AE5"/>
    <w:rsid w:val="00BD4F28"/>
    <w:rsid w:val="00BD527F"/>
    <w:rsid w:val="00BE4CEF"/>
    <w:rsid w:val="00BF1740"/>
    <w:rsid w:val="00BF1CE3"/>
    <w:rsid w:val="00BF2F52"/>
    <w:rsid w:val="00C01189"/>
    <w:rsid w:val="00C10632"/>
    <w:rsid w:val="00C10E1D"/>
    <w:rsid w:val="00C1333D"/>
    <w:rsid w:val="00C135A6"/>
    <w:rsid w:val="00C20A5D"/>
    <w:rsid w:val="00C2392B"/>
    <w:rsid w:val="00C27178"/>
    <w:rsid w:val="00C27CD0"/>
    <w:rsid w:val="00C3166A"/>
    <w:rsid w:val="00C31881"/>
    <w:rsid w:val="00C32067"/>
    <w:rsid w:val="00C32F6D"/>
    <w:rsid w:val="00C426BC"/>
    <w:rsid w:val="00C479F6"/>
    <w:rsid w:val="00C51369"/>
    <w:rsid w:val="00C546C8"/>
    <w:rsid w:val="00C54F96"/>
    <w:rsid w:val="00C56158"/>
    <w:rsid w:val="00C56232"/>
    <w:rsid w:val="00C565D3"/>
    <w:rsid w:val="00C600A7"/>
    <w:rsid w:val="00C673A1"/>
    <w:rsid w:val="00C67804"/>
    <w:rsid w:val="00C7080E"/>
    <w:rsid w:val="00C84389"/>
    <w:rsid w:val="00C94A41"/>
    <w:rsid w:val="00CA2D47"/>
    <w:rsid w:val="00CA31D2"/>
    <w:rsid w:val="00CA63B4"/>
    <w:rsid w:val="00CB3CF2"/>
    <w:rsid w:val="00CB6010"/>
    <w:rsid w:val="00CB7759"/>
    <w:rsid w:val="00CC2086"/>
    <w:rsid w:val="00CC5EAD"/>
    <w:rsid w:val="00CD0754"/>
    <w:rsid w:val="00CD1FEE"/>
    <w:rsid w:val="00CD6578"/>
    <w:rsid w:val="00CE2466"/>
    <w:rsid w:val="00CE313B"/>
    <w:rsid w:val="00CE4A30"/>
    <w:rsid w:val="00CF1933"/>
    <w:rsid w:val="00CF3D67"/>
    <w:rsid w:val="00CF46E5"/>
    <w:rsid w:val="00D0115F"/>
    <w:rsid w:val="00D01B44"/>
    <w:rsid w:val="00D1231B"/>
    <w:rsid w:val="00D12A1D"/>
    <w:rsid w:val="00D15B49"/>
    <w:rsid w:val="00D15DEE"/>
    <w:rsid w:val="00D20282"/>
    <w:rsid w:val="00D21A4E"/>
    <w:rsid w:val="00D245B6"/>
    <w:rsid w:val="00D31223"/>
    <w:rsid w:val="00D31763"/>
    <w:rsid w:val="00D34583"/>
    <w:rsid w:val="00D351B3"/>
    <w:rsid w:val="00D360AD"/>
    <w:rsid w:val="00D376EC"/>
    <w:rsid w:val="00D45DB3"/>
    <w:rsid w:val="00D46ABA"/>
    <w:rsid w:val="00D5223E"/>
    <w:rsid w:val="00D534E6"/>
    <w:rsid w:val="00D641D4"/>
    <w:rsid w:val="00D7311A"/>
    <w:rsid w:val="00D736AB"/>
    <w:rsid w:val="00D811A2"/>
    <w:rsid w:val="00D8262B"/>
    <w:rsid w:val="00D87171"/>
    <w:rsid w:val="00DA07D9"/>
    <w:rsid w:val="00DA1B98"/>
    <w:rsid w:val="00DA3B6B"/>
    <w:rsid w:val="00DB0F7A"/>
    <w:rsid w:val="00DB1A39"/>
    <w:rsid w:val="00DB50BF"/>
    <w:rsid w:val="00DB5406"/>
    <w:rsid w:val="00DC3AAD"/>
    <w:rsid w:val="00DC429C"/>
    <w:rsid w:val="00DC65CF"/>
    <w:rsid w:val="00DD02D9"/>
    <w:rsid w:val="00DD3AA6"/>
    <w:rsid w:val="00DD430E"/>
    <w:rsid w:val="00DD6A36"/>
    <w:rsid w:val="00DE487C"/>
    <w:rsid w:val="00DE49C6"/>
    <w:rsid w:val="00DE5F58"/>
    <w:rsid w:val="00DE6568"/>
    <w:rsid w:val="00DF3014"/>
    <w:rsid w:val="00E00619"/>
    <w:rsid w:val="00E02E91"/>
    <w:rsid w:val="00E03A28"/>
    <w:rsid w:val="00E06E87"/>
    <w:rsid w:val="00E07C61"/>
    <w:rsid w:val="00E16BF6"/>
    <w:rsid w:val="00E16FA5"/>
    <w:rsid w:val="00E2042B"/>
    <w:rsid w:val="00E340E2"/>
    <w:rsid w:val="00E56BC5"/>
    <w:rsid w:val="00E60DB8"/>
    <w:rsid w:val="00E615FB"/>
    <w:rsid w:val="00E67E2B"/>
    <w:rsid w:val="00E74EDB"/>
    <w:rsid w:val="00E754EC"/>
    <w:rsid w:val="00E77E93"/>
    <w:rsid w:val="00E810E8"/>
    <w:rsid w:val="00E92C80"/>
    <w:rsid w:val="00E9351E"/>
    <w:rsid w:val="00E95A6B"/>
    <w:rsid w:val="00E95B18"/>
    <w:rsid w:val="00EA3380"/>
    <w:rsid w:val="00EB3E54"/>
    <w:rsid w:val="00EB45DB"/>
    <w:rsid w:val="00EB56E2"/>
    <w:rsid w:val="00EC2C8A"/>
    <w:rsid w:val="00EC39B5"/>
    <w:rsid w:val="00EC51D5"/>
    <w:rsid w:val="00EC5B2D"/>
    <w:rsid w:val="00EC6E4E"/>
    <w:rsid w:val="00ED26E7"/>
    <w:rsid w:val="00ED46DA"/>
    <w:rsid w:val="00EE3226"/>
    <w:rsid w:val="00EF5B96"/>
    <w:rsid w:val="00EF7629"/>
    <w:rsid w:val="00F10386"/>
    <w:rsid w:val="00F10521"/>
    <w:rsid w:val="00F10CCC"/>
    <w:rsid w:val="00F111F2"/>
    <w:rsid w:val="00F1551C"/>
    <w:rsid w:val="00F174FE"/>
    <w:rsid w:val="00F33F36"/>
    <w:rsid w:val="00F34234"/>
    <w:rsid w:val="00F349CA"/>
    <w:rsid w:val="00F42AAE"/>
    <w:rsid w:val="00F6337A"/>
    <w:rsid w:val="00F63413"/>
    <w:rsid w:val="00F6712B"/>
    <w:rsid w:val="00F673F3"/>
    <w:rsid w:val="00F67C87"/>
    <w:rsid w:val="00F70146"/>
    <w:rsid w:val="00F710ED"/>
    <w:rsid w:val="00F7334D"/>
    <w:rsid w:val="00F81B05"/>
    <w:rsid w:val="00F84135"/>
    <w:rsid w:val="00F84563"/>
    <w:rsid w:val="00F85690"/>
    <w:rsid w:val="00F85A05"/>
    <w:rsid w:val="00F90A30"/>
    <w:rsid w:val="00F95256"/>
    <w:rsid w:val="00F95FDA"/>
    <w:rsid w:val="00FC030B"/>
    <w:rsid w:val="00FC0532"/>
    <w:rsid w:val="00FC4E28"/>
    <w:rsid w:val="00FE08F1"/>
    <w:rsid w:val="00FE1402"/>
    <w:rsid w:val="00FE1B6D"/>
    <w:rsid w:val="00FE1B8D"/>
    <w:rsid w:val="00FE710A"/>
    <w:rsid w:val="00FF34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5C77A-5C04-43EC-B42A-019CCA74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9B19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17F5B"/>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817F5B"/>
    <w:rPr>
      <w:rFonts w:ascii="Times New Roman" w:eastAsiaTheme="minorEastAsia" w:hAnsi="Times New Roman" w:cs="Times New Roman"/>
      <w:b/>
      <w:bCs/>
      <w:sz w:val="27"/>
      <w:szCs w:val="27"/>
      <w:lang w:eastAsia="uk-UA"/>
    </w:rPr>
  </w:style>
  <w:style w:type="paragraph" w:styleId="a4">
    <w:name w:val="Normal (Web)"/>
    <w:basedOn w:val="a"/>
    <w:uiPriority w:val="99"/>
    <w:unhideWhenUsed/>
    <w:rsid w:val="0055499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rvps2">
    <w:name w:val="rvps2"/>
    <w:basedOn w:val="a"/>
    <w:rsid w:val="002E517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9B1986"/>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2E769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E7694"/>
  </w:style>
  <w:style w:type="paragraph" w:styleId="a7">
    <w:name w:val="footer"/>
    <w:basedOn w:val="a"/>
    <w:link w:val="a8"/>
    <w:uiPriority w:val="99"/>
    <w:unhideWhenUsed/>
    <w:rsid w:val="002E769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E7694"/>
  </w:style>
  <w:style w:type="paragraph" w:styleId="a9">
    <w:name w:val="Balloon Text"/>
    <w:basedOn w:val="a"/>
    <w:link w:val="aa"/>
    <w:uiPriority w:val="99"/>
    <w:semiHidden/>
    <w:unhideWhenUsed/>
    <w:rsid w:val="00422D3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22D32"/>
    <w:rPr>
      <w:rFonts w:ascii="Segoe UI" w:hAnsi="Segoe UI" w:cs="Segoe UI"/>
      <w:sz w:val="18"/>
      <w:szCs w:val="18"/>
    </w:rPr>
  </w:style>
  <w:style w:type="paragraph" w:customStyle="1" w:styleId="Default">
    <w:name w:val="Default"/>
    <w:rsid w:val="004851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12">
    <w:name w:val="rvps12"/>
    <w:basedOn w:val="a"/>
    <w:rsid w:val="00DD43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DD43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semiHidden/>
    <w:unhideWhenUsed/>
    <w:rsid w:val="00DD4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3186">
      <w:bodyDiv w:val="1"/>
      <w:marLeft w:val="0"/>
      <w:marRight w:val="0"/>
      <w:marTop w:val="0"/>
      <w:marBottom w:val="0"/>
      <w:divBdr>
        <w:top w:val="none" w:sz="0" w:space="0" w:color="auto"/>
        <w:left w:val="none" w:sz="0" w:space="0" w:color="auto"/>
        <w:bottom w:val="none" w:sz="0" w:space="0" w:color="auto"/>
        <w:right w:val="none" w:sz="0" w:space="0" w:color="auto"/>
      </w:divBdr>
    </w:div>
    <w:div w:id="402921364">
      <w:bodyDiv w:val="1"/>
      <w:marLeft w:val="0"/>
      <w:marRight w:val="0"/>
      <w:marTop w:val="0"/>
      <w:marBottom w:val="0"/>
      <w:divBdr>
        <w:top w:val="none" w:sz="0" w:space="0" w:color="auto"/>
        <w:left w:val="none" w:sz="0" w:space="0" w:color="auto"/>
        <w:bottom w:val="none" w:sz="0" w:space="0" w:color="auto"/>
        <w:right w:val="none" w:sz="0" w:space="0" w:color="auto"/>
      </w:divBdr>
    </w:div>
    <w:div w:id="429081735">
      <w:bodyDiv w:val="1"/>
      <w:marLeft w:val="0"/>
      <w:marRight w:val="0"/>
      <w:marTop w:val="0"/>
      <w:marBottom w:val="0"/>
      <w:divBdr>
        <w:top w:val="none" w:sz="0" w:space="0" w:color="auto"/>
        <w:left w:val="none" w:sz="0" w:space="0" w:color="auto"/>
        <w:bottom w:val="none" w:sz="0" w:space="0" w:color="auto"/>
        <w:right w:val="none" w:sz="0" w:space="0" w:color="auto"/>
      </w:divBdr>
    </w:div>
    <w:div w:id="525406104">
      <w:bodyDiv w:val="1"/>
      <w:marLeft w:val="0"/>
      <w:marRight w:val="0"/>
      <w:marTop w:val="0"/>
      <w:marBottom w:val="0"/>
      <w:divBdr>
        <w:top w:val="none" w:sz="0" w:space="0" w:color="auto"/>
        <w:left w:val="none" w:sz="0" w:space="0" w:color="auto"/>
        <w:bottom w:val="none" w:sz="0" w:space="0" w:color="auto"/>
        <w:right w:val="none" w:sz="0" w:space="0" w:color="auto"/>
      </w:divBdr>
    </w:div>
    <w:div w:id="691299379">
      <w:bodyDiv w:val="1"/>
      <w:marLeft w:val="0"/>
      <w:marRight w:val="0"/>
      <w:marTop w:val="0"/>
      <w:marBottom w:val="0"/>
      <w:divBdr>
        <w:top w:val="none" w:sz="0" w:space="0" w:color="auto"/>
        <w:left w:val="none" w:sz="0" w:space="0" w:color="auto"/>
        <w:bottom w:val="none" w:sz="0" w:space="0" w:color="auto"/>
        <w:right w:val="none" w:sz="0" w:space="0" w:color="auto"/>
      </w:divBdr>
    </w:div>
    <w:div w:id="755858498">
      <w:bodyDiv w:val="1"/>
      <w:marLeft w:val="0"/>
      <w:marRight w:val="0"/>
      <w:marTop w:val="0"/>
      <w:marBottom w:val="0"/>
      <w:divBdr>
        <w:top w:val="none" w:sz="0" w:space="0" w:color="auto"/>
        <w:left w:val="none" w:sz="0" w:space="0" w:color="auto"/>
        <w:bottom w:val="none" w:sz="0" w:space="0" w:color="auto"/>
        <w:right w:val="none" w:sz="0" w:space="0" w:color="auto"/>
      </w:divBdr>
    </w:div>
    <w:div w:id="767888003">
      <w:bodyDiv w:val="1"/>
      <w:marLeft w:val="0"/>
      <w:marRight w:val="0"/>
      <w:marTop w:val="0"/>
      <w:marBottom w:val="0"/>
      <w:divBdr>
        <w:top w:val="none" w:sz="0" w:space="0" w:color="auto"/>
        <w:left w:val="none" w:sz="0" w:space="0" w:color="auto"/>
        <w:bottom w:val="none" w:sz="0" w:space="0" w:color="auto"/>
        <w:right w:val="none" w:sz="0" w:space="0" w:color="auto"/>
      </w:divBdr>
    </w:div>
    <w:div w:id="830830922">
      <w:bodyDiv w:val="1"/>
      <w:marLeft w:val="0"/>
      <w:marRight w:val="0"/>
      <w:marTop w:val="0"/>
      <w:marBottom w:val="0"/>
      <w:divBdr>
        <w:top w:val="none" w:sz="0" w:space="0" w:color="auto"/>
        <w:left w:val="none" w:sz="0" w:space="0" w:color="auto"/>
        <w:bottom w:val="none" w:sz="0" w:space="0" w:color="auto"/>
        <w:right w:val="none" w:sz="0" w:space="0" w:color="auto"/>
      </w:divBdr>
    </w:div>
    <w:div w:id="1048073359">
      <w:bodyDiv w:val="1"/>
      <w:marLeft w:val="0"/>
      <w:marRight w:val="0"/>
      <w:marTop w:val="0"/>
      <w:marBottom w:val="0"/>
      <w:divBdr>
        <w:top w:val="none" w:sz="0" w:space="0" w:color="auto"/>
        <w:left w:val="none" w:sz="0" w:space="0" w:color="auto"/>
        <w:bottom w:val="none" w:sz="0" w:space="0" w:color="auto"/>
        <w:right w:val="none" w:sz="0" w:space="0" w:color="auto"/>
      </w:divBdr>
    </w:div>
    <w:div w:id="1121386976">
      <w:bodyDiv w:val="1"/>
      <w:marLeft w:val="0"/>
      <w:marRight w:val="0"/>
      <w:marTop w:val="0"/>
      <w:marBottom w:val="0"/>
      <w:divBdr>
        <w:top w:val="none" w:sz="0" w:space="0" w:color="auto"/>
        <w:left w:val="none" w:sz="0" w:space="0" w:color="auto"/>
        <w:bottom w:val="none" w:sz="0" w:space="0" w:color="auto"/>
        <w:right w:val="none" w:sz="0" w:space="0" w:color="auto"/>
      </w:divBdr>
    </w:div>
    <w:div w:id="1129085996">
      <w:bodyDiv w:val="1"/>
      <w:marLeft w:val="0"/>
      <w:marRight w:val="0"/>
      <w:marTop w:val="0"/>
      <w:marBottom w:val="0"/>
      <w:divBdr>
        <w:top w:val="none" w:sz="0" w:space="0" w:color="auto"/>
        <w:left w:val="none" w:sz="0" w:space="0" w:color="auto"/>
        <w:bottom w:val="none" w:sz="0" w:space="0" w:color="auto"/>
        <w:right w:val="none" w:sz="0" w:space="0" w:color="auto"/>
      </w:divBdr>
    </w:div>
    <w:div w:id="1388408737">
      <w:bodyDiv w:val="1"/>
      <w:marLeft w:val="0"/>
      <w:marRight w:val="0"/>
      <w:marTop w:val="0"/>
      <w:marBottom w:val="0"/>
      <w:divBdr>
        <w:top w:val="none" w:sz="0" w:space="0" w:color="auto"/>
        <w:left w:val="none" w:sz="0" w:space="0" w:color="auto"/>
        <w:bottom w:val="none" w:sz="0" w:space="0" w:color="auto"/>
        <w:right w:val="none" w:sz="0" w:space="0" w:color="auto"/>
      </w:divBdr>
    </w:div>
    <w:div w:id="1494174757">
      <w:bodyDiv w:val="1"/>
      <w:marLeft w:val="0"/>
      <w:marRight w:val="0"/>
      <w:marTop w:val="0"/>
      <w:marBottom w:val="0"/>
      <w:divBdr>
        <w:top w:val="none" w:sz="0" w:space="0" w:color="auto"/>
        <w:left w:val="none" w:sz="0" w:space="0" w:color="auto"/>
        <w:bottom w:val="none" w:sz="0" w:space="0" w:color="auto"/>
        <w:right w:val="none" w:sz="0" w:space="0" w:color="auto"/>
      </w:divBdr>
    </w:div>
    <w:div w:id="1812751586">
      <w:bodyDiv w:val="1"/>
      <w:marLeft w:val="0"/>
      <w:marRight w:val="0"/>
      <w:marTop w:val="0"/>
      <w:marBottom w:val="0"/>
      <w:divBdr>
        <w:top w:val="none" w:sz="0" w:space="0" w:color="auto"/>
        <w:left w:val="none" w:sz="0" w:space="0" w:color="auto"/>
        <w:bottom w:val="none" w:sz="0" w:space="0" w:color="auto"/>
        <w:right w:val="none" w:sz="0" w:space="0" w:color="auto"/>
      </w:divBdr>
    </w:div>
    <w:div w:id="1878929210">
      <w:bodyDiv w:val="1"/>
      <w:marLeft w:val="0"/>
      <w:marRight w:val="0"/>
      <w:marTop w:val="0"/>
      <w:marBottom w:val="0"/>
      <w:divBdr>
        <w:top w:val="none" w:sz="0" w:space="0" w:color="auto"/>
        <w:left w:val="none" w:sz="0" w:space="0" w:color="auto"/>
        <w:bottom w:val="none" w:sz="0" w:space="0" w:color="auto"/>
        <w:right w:val="none" w:sz="0" w:space="0" w:color="auto"/>
      </w:divBdr>
    </w:div>
    <w:div w:id="188285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96D4-D314-4FD8-9510-7BA4F376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4228</Words>
  <Characters>2411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Ministry of Finance of Ukraine</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Висовень Олексій Васильович</dc:creator>
  <cp:keywords/>
  <dc:description/>
  <cp:lastModifiedBy>ВИСОВЕНЬ Олексій Васильович</cp:lastModifiedBy>
  <cp:revision>27</cp:revision>
  <cp:lastPrinted>2023-09-06T13:08:00Z</cp:lastPrinted>
  <dcterms:created xsi:type="dcterms:W3CDTF">2026-04-13T08:45:00Z</dcterms:created>
  <dcterms:modified xsi:type="dcterms:W3CDTF">2026-04-29T13:52:00Z</dcterms:modified>
</cp:coreProperties>
</file>