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54A9" w:rsidRDefault="008B4E41">
      <w:pPr>
        <w:spacing w:after="200" w:line="276" w:lineRule="auto"/>
        <w:jc w:val="right"/>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6.2</w:t>
      </w:r>
    </w:p>
    <w:p w14:paraId="00000002" w14:textId="77777777" w:rsidR="00CE54A9" w:rsidRDefault="008B4E41">
      <w:pPr>
        <w:spacing w:after="200"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Концепція державної політики</w:t>
      </w:r>
    </w:p>
    <w:p w14:paraId="00000003" w14:textId="77777777" w:rsidR="00CE54A9" w:rsidRDefault="008B4E41">
      <w:pPr>
        <w:spacing w:after="200"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по досягненню цілі «Платники податків мають нижче податкове навантаження та значно менше часу витрачають на їх адміністрування» Програми діяльності Кабінету Міністрів України </w:t>
      </w:r>
    </w:p>
    <w:p w14:paraId="00000004" w14:textId="77777777" w:rsidR="00CE54A9" w:rsidRDefault="008B4E41">
      <w:pPr>
        <w:numPr>
          <w:ilvl w:val="0"/>
          <w:numId w:val="2"/>
        </w:num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ПРОБЛЕМА ПОЛІТИКИ</w:t>
      </w:r>
    </w:p>
    <w:p w14:paraId="00000005"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bookmarkStart w:id="1" w:name="_gjdgxs" w:colFirst="0" w:colLast="0"/>
      <w:bookmarkEnd w:id="1"/>
      <w:r>
        <w:rPr>
          <w:rFonts w:ascii="Times New Roman" w:eastAsia="Times New Roman" w:hAnsi="Times New Roman" w:cs="Times New Roman"/>
          <w:b/>
          <w:color w:val="000000"/>
          <w:sz w:val="22"/>
          <w:szCs w:val="22"/>
        </w:rPr>
        <w:t>Проблема</w:t>
      </w:r>
      <w:r>
        <w:rPr>
          <w:b/>
          <w:color w:val="000000"/>
          <w:sz w:val="22"/>
          <w:szCs w:val="22"/>
          <w:vertAlign w:val="superscript"/>
        </w:rPr>
        <w:footnoteReference w:id="1"/>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повинна бути прямо пов’язана з ціллю максимально конкретною; </w:t>
      </w:r>
      <w:proofErr w:type="spellStart"/>
      <w:r>
        <w:rPr>
          <w:rFonts w:ascii="Times New Roman" w:eastAsia="Times New Roman" w:hAnsi="Times New Roman" w:cs="Times New Roman"/>
          <w:i/>
          <w:color w:val="000000"/>
          <w:sz w:val="22"/>
          <w:szCs w:val="22"/>
        </w:rPr>
        <w:t>формулюється</w:t>
      </w:r>
      <w:proofErr w:type="spellEnd"/>
      <w:r>
        <w:rPr>
          <w:rFonts w:ascii="Times New Roman" w:eastAsia="Times New Roman" w:hAnsi="Times New Roman" w:cs="Times New Roman"/>
          <w:i/>
          <w:color w:val="000000"/>
          <w:sz w:val="22"/>
          <w:szCs w:val="22"/>
        </w:rPr>
        <w:t xml:space="preserve"> одним простим реченням</w:t>
      </w:r>
      <w:r>
        <w:rPr>
          <w:rFonts w:ascii="Times New Roman" w:eastAsia="Times New Roman" w:hAnsi="Times New Roman" w:cs="Times New Roman"/>
          <w:color w:val="000000"/>
          <w:sz w:val="22"/>
          <w:szCs w:val="22"/>
        </w:rPr>
        <w:t xml:space="preserve">). </w:t>
      </w:r>
    </w:p>
    <w:p w14:paraId="00000006"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Для платників податків податкове навантаження за окремими видами податків є зависоким та їх адміністрування для них є достатньо обтяжливим. </w:t>
      </w:r>
    </w:p>
    <w:p w14:paraId="00000007"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Носій проблеми</w:t>
      </w:r>
      <w:r>
        <w:rPr>
          <w:rFonts w:ascii="Times New Roman" w:eastAsia="Times New Roman" w:hAnsi="Times New Roman" w:cs="Times New Roman"/>
          <w:color w:val="000000"/>
          <w:sz w:val="22"/>
          <w:szCs w:val="22"/>
        </w:rPr>
        <w:t xml:space="preserve"> (клієнт; </w:t>
      </w:r>
      <w:r>
        <w:rPr>
          <w:rFonts w:ascii="Times New Roman" w:eastAsia="Times New Roman" w:hAnsi="Times New Roman" w:cs="Times New Roman"/>
          <w:i/>
          <w:color w:val="000000"/>
          <w:sz w:val="22"/>
          <w:szCs w:val="22"/>
        </w:rPr>
        <w:t>певна суспільна група, яка страждає від проблеми</w:t>
      </w:r>
      <w:r>
        <w:rPr>
          <w:rFonts w:ascii="Times New Roman" w:eastAsia="Times New Roman" w:hAnsi="Times New Roman" w:cs="Times New Roman"/>
          <w:color w:val="000000"/>
          <w:sz w:val="22"/>
          <w:szCs w:val="22"/>
        </w:rPr>
        <w:t>).</w:t>
      </w:r>
    </w:p>
    <w:p w14:paraId="00000008"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Платники податків України: юридичні особи та фізичні особи – платники податків.  </w:t>
      </w:r>
    </w:p>
    <w:p w14:paraId="00000009"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Масштаб проблеми: </w:t>
      </w: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кількісна характеристика клієнта у абсолютних (тис. \ млн. осіб),  або відносних (% від …) показниках</w:t>
      </w:r>
      <w:r>
        <w:rPr>
          <w:rFonts w:ascii="Times New Roman" w:eastAsia="Times New Roman" w:hAnsi="Times New Roman" w:cs="Times New Roman"/>
          <w:color w:val="000000"/>
          <w:sz w:val="22"/>
          <w:szCs w:val="22"/>
        </w:rPr>
        <w:t>).</w:t>
      </w:r>
    </w:p>
    <w:p w14:paraId="0000000A" w14:textId="77777777" w:rsidR="00CE54A9" w:rsidRDefault="008B4E41">
      <w:pPr>
        <w:widowControl w:val="0"/>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Обирається один із варіантів </w:t>
      </w:r>
      <w:r>
        <w:rPr>
          <w:rFonts w:ascii="Times New Roman" w:eastAsia="Times New Roman" w:hAnsi="Times New Roman" w:cs="Times New Roman"/>
          <w:b/>
          <w:color w:val="000000"/>
          <w:sz w:val="22"/>
          <w:szCs w:val="22"/>
        </w:rPr>
        <w:t>[загальнонаціональна; регіональна/галузева; місцева/групова]</w:t>
      </w:r>
      <w:r>
        <w:rPr>
          <w:rFonts w:ascii="Times New Roman" w:eastAsia="Times New Roman" w:hAnsi="Times New Roman" w:cs="Times New Roman"/>
          <w:color w:val="000000"/>
          <w:sz w:val="22"/>
          <w:szCs w:val="22"/>
        </w:rPr>
        <w:t xml:space="preserve"> та розшифровується.</w:t>
      </w:r>
    </w:p>
    <w:p w14:paraId="0000000B" w14:textId="77777777" w:rsidR="00CE54A9" w:rsidRDefault="008B4E41">
      <w:pPr>
        <w:widowControl w:val="0"/>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Загальнонаціональна – питання податкового навантаження є загальнонаціональним, оскільки правила стосовно оподаткування встановлюються для всіх платників податків на загальнодержавному рівні. </w:t>
      </w:r>
    </w:p>
    <w:p w14:paraId="0000000C" w14:textId="77777777" w:rsidR="00CE54A9" w:rsidRDefault="008B4E41">
      <w:pPr>
        <w:widowControl w:val="0"/>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Згідно даних Державної податкової служби України станом на 01.11.2019 кількість платників податків: 1,4 млн. юридичних осіб, в </w:t>
      </w:r>
      <w:proofErr w:type="spellStart"/>
      <w:r>
        <w:rPr>
          <w:rFonts w:ascii="Times New Roman" w:eastAsia="Times New Roman" w:hAnsi="Times New Roman" w:cs="Times New Roman"/>
          <w:color w:val="000000"/>
          <w:sz w:val="22"/>
          <w:szCs w:val="22"/>
        </w:rPr>
        <w:t>т.ч</w:t>
      </w:r>
      <w:proofErr w:type="spellEnd"/>
      <w:r>
        <w:rPr>
          <w:rFonts w:ascii="Times New Roman" w:eastAsia="Times New Roman" w:hAnsi="Times New Roman" w:cs="Times New Roman"/>
          <w:color w:val="000000"/>
          <w:sz w:val="22"/>
          <w:szCs w:val="22"/>
        </w:rPr>
        <w:t xml:space="preserve">. 2 594 – великі платники податків; 1,89 млн. – фізичних осіб – підприємців; </w:t>
      </w:r>
      <w:r>
        <w:rPr>
          <w:rFonts w:ascii="Times New Roman" w:eastAsia="Times New Roman" w:hAnsi="Times New Roman" w:cs="Times New Roman"/>
          <w:sz w:val="22"/>
          <w:szCs w:val="22"/>
        </w:rPr>
        <w:t>44,48 млн. - фізичних осіб.</w:t>
      </w:r>
    </w:p>
    <w:p w14:paraId="0000000D"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Гострота проблеми: </w:t>
      </w: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пріоритетність</w:t>
      </w:r>
      <w:r>
        <w:rPr>
          <w:i/>
          <w:color w:val="000000"/>
          <w:sz w:val="22"/>
          <w:szCs w:val="22"/>
          <w:vertAlign w:val="superscript"/>
        </w:rPr>
        <w:footnoteReference w:id="2"/>
      </w:r>
      <w:r>
        <w:rPr>
          <w:rFonts w:ascii="Times New Roman" w:eastAsia="Times New Roman" w:hAnsi="Times New Roman" w:cs="Times New Roman"/>
          <w:i/>
          <w:color w:val="000000"/>
          <w:sz w:val="22"/>
          <w:szCs w:val="22"/>
        </w:rPr>
        <w:t xml:space="preserve"> проблеми для клієнта порівняно з іншими його проблемами, або величина збитків \ втрати ресурсів, яких зазнають клієнти</w:t>
      </w:r>
      <w:r>
        <w:rPr>
          <w:rFonts w:ascii="Times New Roman" w:eastAsia="Times New Roman" w:hAnsi="Times New Roman" w:cs="Times New Roman"/>
          <w:color w:val="000000"/>
          <w:sz w:val="22"/>
          <w:szCs w:val="22"/>
        </w:rPr>
        <w:t>)</w:t>
      </w:r>
    </w:p>
    <w:p w14:paraId="0000000E"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Обирається один із варіантів </w:t>
      </w:r>
      <w:r>
        <w:rPr>
          <w:rFonts w:ascii="Times New Roman" w:eastAsia="Times New Roman" w:hAnsi="Times New Roman" w:cs="Times New Roman"/>
          <w:b/>
          <w:color w:val="000000"/>
          <w:sz w:val="22"/>
          <w:szCs w:val="22"/>
        </w:rPr>
        <w:t>[гостра; середня; не гостра]</w:t>
      </w:r>
      <w:r>
        <w:rPr>
          <w:rFonts w:ascii="Times New Roman" w:eastAsia="Times New Roman" w:hAnsi="Times New Roman" w:cs="Times New Roman"/>
          <w:color w:val="000000"/>
          <w:sz w:val="22"/>
          <w:szCs w:val="22"/>
        </w:rPr>
        <w:t xml:space="preserve"> та розшифровується.</w:t>
      </w:r>
    </w:p>
    <w:p w14:paraId="0000000F"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Гострота проблеми з точки зору рівня оподаткування є значною для всіх категорій платників податків (згідно Індексу настроїв малого бізнесу ЕВА за 2018 рік, рівень податкового навантаження турбує 42% респондентів, 2-ге місце). В першу чергу це стосується податкового навантаження на виплату заробітної плати. Гострота проблеми щодо витрат платників податків на адміністрування є також достатньо високою (7-ме місце у згаданому вище Індексі). Це стосується питань блокування податкових накладних, надмірної та деталізованої податкової звітності, способу здійснення та результатів податкових перевірок, процедур адміністративного оскарження тощо. На даний момент особливої гостроти набула проблема </w:t>
      </w:r>
      <w:proofErr w:type="spellStart"/>
      <w:r>
        <w:rPr>
          <w:rFonts w:ascii="Times New Roman" w:eastAsia="Times New Roman" w:hAnsi="Times New Roman" w:cs="Times New Roman"/>
          <w:color w:val="000000"/>
          <w:sz w:val="22"/>
          <w:szCs w:val="22"/>
        </w:rPr>
        <w:t>фіскалізації</w:t>
      </w:r>
      <w:proofErr w:type="spellEnd"/>
      <w:r>
        <w:rPr>
          <w:rFonts w:ascii="Times New Roman" w:eastAsia="Times New Roman" w:hAnsi="Times New Roman" w:cs="Times New Roman"/>
          <w:color w:val="000000"/>
          <w:sz w:val="22"/>
          <w:szCs w:val="22"/>
        </w:rPr>
        <w:t xml:space="preserve"> господарських операцій для фізичних осіб – підприємців через введення РРО. Згідно рейтингу </w:t>
      </w:r>
      <w:proofErr w:type="spellStart"/>
      <w:r>
        <w:rPr>
          <w:rFonts w:ascii="Times New Roman" w:eastAsia="Times New Roman" w:hAnsi="Times New Roman" w:cs="Times New Roman"/>
          <w:color w:val="000000"/>
          <w:sz w:val="22"/>
          <w:szCs w:val="22"/>
        </w:rPr>
        <w:t>Doing</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Business</w:t>
      </w:r>
      <w:proofErr w:type="spellEnd"/>
      <w:r>
        <w:rPr>
          <w:rFonts w:ascii="Times New Roman" w:eastAsia="Times New Roman" w:hAnsi="Times New Roman" w:cs="Times New Roman"/>
          <w:color w:val="000000"/>
          <w:sz w:val="22"/>
          <w:szCs w:val="22"/>
        </w:rPr>
        <w:t xml:space="preserve"> 2019 однією з найбільших проблем в адмініструванні податків в Україні є час, що витрачається на адміністрування ПДВ.       </w:t>
      </w:r>
    </w:p>
    <w:p w14:paraId="00000010"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Динаміка проблеми</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зміна показників масштабу та гостроти проблеми в часі (за останні 3-5 років, а також очікувані показники в наступні 1-3 роки, за умови продовження чинної політики)</w:t>
      </w:r>
      <w:r>
        <w:rPr>
          <w:rFonts w:ascii="Times New Roman" w:eastAsia="Times New Roman" w:hAnsi="Times New Roman" w:cs="Times New Roman"/>
          <w:color w:val="000000"/>
          <w:sz w:val="22"/>
          <w:szCs w:val="22"/>
        </w:rPr>
        <w:t>).</w:t>
      </w:r>
    </w:p>
    <w:p w14:paraId="00000011" w14:textId="77777777" w:rsidR="00CE54A9" w:rsidRDefault="008B4E41">
      <w:pPr>
        <w:widowControl w:val="0"/>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Обирається один із варіантів </w:t>
      </w:r>
      <w:r>
        <w:rPr>
          <w:rFonts w:ascii="Times New Roman" w:eastAsia="Times New Roman" w:hAnsi="Times New Roman" w:cs="Times New Roman"/>
          <w:b/>
          <w:color w:val="000000"/>
          <w:sz w:val="22"/>
          <w:szCs w:val="22"/>
        </w:rPr>
        <w:t>[позитивна; нейтральна; негативна]</w:t>
      </w:r>
      <w:r>
        <w:rPr>
          <w:rFonts w:ascii="Times New Roman" w:eastAsia="Times New Roman" w:hAnsi="Times New Roman" w:cs="Times New Roman"/>
          <w:color w:val="000000"/>
          <w:sz w:val="22"/>
          <w:szCs w:val="22"/>
        </w:rPr>
        <w:t xml:space="preserve"> та розшифровується.</w:t>
      </w:r>
    </w:p>
    <w:p w14:paraId="00000012" w14:textId="7E2E9CD2" w:rsidR="00CE54A9" w:rsidRDefault="008B4E41">
      <w:pPr>
        <w:widowControl w:val="0"/>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Змішана – з одного боку є фактори, які впливатимуть на зменшення гостроти проблеми, зокрема </w:t>
      </w:r>
      <w:r>
        <w:rPr>
          <w:rFonts w:ascii="Times New Roman" w:eastAsia="Times New Roman" w:hAnsi="Times New Roman" w:cs="Times New Roman"/>
          <w:color w:val="000000"/>
          <w:sz w:val="22"/>
          <w:szCs w:val="22"/>
        </w:rPr>
        <w:lastRenderedPageBreak/>
        <w:t xml:space="preserve">в частині податкового навантаження відбулося зменшення ставки ЕСВ з близько 40% </w:t>
      </w:r>
      <w:r w:rsidR="00DD6F90">
        <w:rPr>
          <w:rFonts w:ascii="Times New Roman" w:eastAsia="Times New Roman" w:hAnsi="Times New Roman" w:cs="Times New Roman"/>
          <w:color w:val="000000"/>
          <w:sz w:val="22"/>
          <w:szCs w:val="22"/>
        </w:rPr>
        <w:t xml:space="preserve">в період </w:t>
      </w:r>
      <w:r>
        <w:rPr>
          <w:rFonts w:ascii="Times New Roman" w:eastAsia="Times New Roman" w:hAnsi="Times New Roman" w:cs="Times New Roman"/>
          <w:color w:val="000000"/>
          <w:sz w:val="22"/>
          <w:szCs w:val="22"/>
        </w:rPr>
        <w:t xml:space="preserve">до 2015 року, до 22% - після 2016 року. Також в частині адміністрування на зменшення проблеми впливають, зокрема, такі фактори як реформування ДПС (2019 рік), запровадження більшої кількості електронних сервісів (протягом 2014-2019 рр.), спрощення окремих податкових процедур (зокрема запровадження ритмічного відшкодування ПДВ 2017-2019 рр.) тощо. З іншого боку на збільшення гостроти проблеми впливають спроби детінізації економіки, вирівнювання податкового поля для всіх платників податків, процес </w:t>
      </w:r>
      <w:proofErr w:type="spellStart"/>
      <w:r>
        <w:rPr>
          <w:rFonts w:ascii="Times New Roman" w:eastAsia="Times New Roman" w:hAnsi="Times New Roman" w:cs="Times New Roman"/>
          <w:color w:val="000000"/>
          <w:sz w:val="22"/>
          <w:szCs w:val="22"/>
        </w:rPr>
        <w:t>фіскалізації</w:t>
      </w:r>
      <w:proofErr w:type="spellEnd"/>
      <w:r>
        <w:rPr>
          <w:rFonts w:ascii="Times New Roman" w:eastAsia="Times New Roman" w:hAnsi="Times New Roman" w:cs="Times New Roman"/>
          <w:color w:val="000000"/>
          <w:sz w:val="22"/>
          <w:szCs w:val="22"/>
        </w:rPr>
        <w:t>, можлива імплементація BEPS (20</w:t>
      </w:r>
      <w:r w:rsidR="00DD6F90">
        <w:rPr>
          <w:rFonts w:ascii="Times New Roman" w:eastAsia="Times New Roman" w:hAnsi="Times New Roman" w:cs="Times New Roman"/>
          <w:color w:val="000000"/>
          <w:sz w:val="22"/>
          <w:szCs w:val="22"/>
        </w:rPr>
        <w:t>20</w:t>
      </w:r>
      <w:r>
        <w:rPr>
          <w:rFonts w:ascii="Times New Roman" w:eastAsia="Times New Roman" w:hAnsi="Times New Roman" w:cs="Times New Roman"/>
          <w:color w:val="000000"/>
          <w:sz w:val="22"/>
          <w:szCs w:val="22"/>
        </w:rPr>
        <w:t xml:space="preserve"> рік).</w:t>
      </w:r>
    </w:p>
    <w:p w14:paraId="00000013"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Причини проблеми</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фактори, що породжують проблему або негативно позначаються на її динаміці</w:t>
      </w:r>
      <w:r>
        <w:rPr>
          <w:rFonts w:ascii="Times New Roman" w:eastAsia="Times New Roman" w:hAnsi="Times New Roman" w:cs="Times New Roman"/>
          <w:color w:val="000000"/>
          <w:sz w:val="22"/>
          <w:szCs w:val="22"/>
        </w:rPr>
        <w:t>):</w:t>
      </w:r>
    </w:p>
    <w:p w14:paraId="00000014"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Зменшення податкового навантаження можливе за рахунок розширення бази оподаткування внаслідок детінізації та/або забезпечення економічного зростання. Спрощення адміністрування податків можливе за рахунок зменшення кількості зловживань при сплаті податків (як з боку платників податків, так і податкових органів) та </w:t>
      </w:r>
      <w:proofErr w:type="spellStart"/>
      <w:r>
        <w:rPr>
          <w:rFonts w:ascii="Times New Roman" w:eastAsia="Times New Roman" w:hAnsi="Times New Roman" w:cs="Times New Roman"/>
          <w:color w:val="000000"/>
          <w:sz w:val="22"/>
          <w:szCs w:val="22"/>
        </w:rPr>
        <w:t>налогодження</w:t>
      </w:r>
      <w:proofErr w:type="spellEnd"/>
      <w:r>
        <w:rPr>
          <w:rFonts w:ascii="Times New Roman" w:eastAsia="Times New Roman" w:hAnsi="Times New Roman" w:cs="Times New Roman"/>
          <w:color w:val="000000"/>
          <w:sz w:val="22"/>
          <w:szCs w:val="22"/>
        </w:rPr>
        <w:t xml:space="preserve"> ефективної взаємодії податкових органів з платниками податків (забезпечення довіри та високого рівня добровільності при сплаті податків). Тому, основні причини проблеми </w:t>
      </w:r>
      <w:proofErr w:type="spellStart"/>
      <w:r>
        <w:rPr>
          <w:rFonts w:ascii="Times New Roman" w:eastAsia="Times New Roman" w:hAnsi="Times New Roman" w:cs="Times New Roman"/>
          <w:color w:val="000000"/>
          <w:sz w:val="22"/>
          <w:szCs w:val="22"/>
        </w:rPr>
        <w:t>можно</w:t>
      </w:r>
      <w:proofErr w:type="spellEnd"/>
      <w:r>
        <w:rPr>
          <w:rFonts w:ascii="Times New Roman" w:eastAsia="Times New Roman" w:hAnsi="Times New Roman" w:cs="Times New Roman"/>
          <w:color w:val="000000"/>
          <w:sz w:val="22"/>
          <w:szCs w:val="22"/>
        </w:rPr>
        <w:t xml:space="preserve"> сформулювати наступним чином:   </w:t>
      </w:r>
    </w:p>
    <w:p w14:paraId="00000015" w14:textId="19CB94BA" w:rsidR="00CE54A9" w:rsidRDefault="008B4E41">
      <w:pPr>
        <w:widowControl w:val="0"/>
        <w:pBdr>
          <w:top w:val="nil"/>
          <w:left w:val="nil"/>
          <w:bottom w:val="nil"/>
          <w:right w:val="nil"/>
          <w:between w:val="nil"/>
        </w:pBdr>
        <w:ind w:left="987" w:firstLine="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Причина </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 </w:t>
      </w:r>
      <w:r w:rsidR="00DB29D6">
        <w:rPr>
          <w:rFonts w:ascii="Times New Roman" w:eastAsia="Times New Roman" w:hAnsi="Times New Roman" w:cs="Times New Roman"/>
          <w:color w:val="000000"/>
          <w:sz w:val="22"/>
          <w:szCs w:val="22"/>
        </w:rPr>
        <w:t xml:space="preserve">ефективне </w:t>
      </w:r>
      <w:r>
        <w:rPr>
          <w:rFonts w:ascii="Times New Roman" w:eastAsia="Times New Roman" w:hAnsi="Times New Roman" w:cs="Times New Roman"/>
          <w:color w:val="000000"/>
          <w:sz w:val="22"/>
          <w:szCs w:val="22"/>
        </w:rPr>
        <w:t xml:space="preserve">застосування стимулюючої моделі оподаткування економіки;  </w:t>
      </w:r>
    </w:p>
    <w:p w14:paraId="00000016" w14:textId="77777777" w:rsidR="00CE54A9" w:rsidRDefault="008B4E41">
      <w:pPr>
        <w:widowControl w:val="0"/>
        <w:pBdr>
          <w:top w:val="nil"/>
          <w:left w:val="nil"/>
          <w:bottom w:val="nil"/>
          <w:right w:val="nil"/>
          <w:between w:val="nil"/>
        </w:pBdr>
        <w:ind w:left="987" w:firstLine="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Причина </w:t>
      </w:r>
      <w:r>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 xml:space="preserve"> – зловживання з боку бізнесу податковими правилами;  </w:t>
      </w:r>
    </w:p>
    <w:p w14:paraId="00000017" w14:textId="77777777" w:rsidR="00CE54A9" w:rsidRDefault="008B4E41">
      <w:pPr>
        <w:widowControl w:val="0"/>
        <w:pBdr>
          <w:top w:val="nil"/>
          <w:left w:val="nil"/>
          <w:bottom w:val="nil"/>
          <w:right w:val="nil"/>
          <w:between w:val="nil"/>
        </w:pBdr>
        <w:ind w:left="987" w:firstLine="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Причина </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 xml:space="preserve"> – недостатньо ефективна взаємодія податкових органів з платниками податків.  </w:t>
      </w:r>
    </w:p>
    <w:p w14:paraId="00000018"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Показники ефективності політики</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наведені в Програмі діяльності</w:t>
      </w:r>
      <w:r>
        <w:rPr>
          <w:rFonts w:ascii="Times New Roman" w:eastAsia="Times New Roman" w:hAnsi="Times New Roman" w:cs="Times New Roman"/>
          <w:color w:val="000000"/>
          <w:sz w:val="22"/>
          <w:szCs w:val="22"/>
        </w:rPr>
        <w:t>).</w:t>
      </w:r>
    </w:p>
    <w:p w14:paraId="00000019" w14:textId="3A471FD3"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Зменшення витрат і часу платників податків на податкове адміністрування </w:t>
      </w:r>
    </w:p>
    <w:p w14:paraId="0000001A"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Пониження загального податкового навантаження </w:t>
      </w:r>
    </w:p>
    <w:p w14:paraId="0000001B"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Зменшення перерозподілу ВВП через зведений бюджет і в середньому через державний сектор</w:t>
      </w:r>
    </w:p>
    <w:p w14:paraId="0000001C"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Зменшення кількості судових справ в податкових спорах</w:t>
      </w:r>
    </w:p>
    <w:p w14:paraId="0000001D"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Підвищення рейтингу України в </w:t>
      </w:r>
      <w:proofErr w:type="spellStart"/>
      <w:r>
        <w:rPr>
          <w:rFonts w:ascii="Times New Roman" w:eastAsia="Times New Roman" w:hAnsi="Times New Roman" w:cs="Times New Roman"/>
          <w:color w:val="000000"/>
          <w:sz w:val="22"/>
          <w:szCs w:val="22"/>
        </w:rPr>
        <w:t>Doing</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Business</w:t>
      </w:r>
      <w:proofErr w:type="spellEnd"/>
      <w:r>
        <w:rPr>
          <w:rFonts w:ascii="Times New Roman" w:eastAsia="Times New Roman" w:hAnsi="Times New Roman" w:cs="Times New Roman"/>
          <w:color w:val="000000"/>
          <w:sz w:val="22"/>
          <w:szCs w:val="22"/>
        </w:rPr>
        <w:t xml:space="preserve"> по показнику «Оподаткування» до 25 за результатами 2024 року</w:t>
      </w:r>
    </w:p>
    <w:p w14:paraId="0000001E" w14:textId="77777777" w:rsidR="00CE54A9" w:rsidRDefault="008B4E41">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Опис чинної державної політики щодо вирішення проблеми \ її причин  (</w:t>
      </w:r>
      <w:r>
        <w:rPr>
          <w:rFonts w:ascii="Times New Roman" w:eastAsia="Times New Roman" w:hAnsi="Times New Roman" w:cs="Times New Roman"/>
          <w:i/>
          <w:color w:val="000000"/>
          <w:sz w:val="22"/>
          <w:szCs w:val="22"/>
        </w:rPr>
        <w:t>існуючі норми, інституції, програми, бюджети, міжнародні зобов’язання</w:t>
      </w:r>
      <w:r>
        <w:rPr>
          <w:rFonts w:ascii="Times New Roman" w:eastAsia="Times New Roman" w:hAnsi="Times New Roman" w:cs="Times New Roman"/>
          <w:color w:val="000000"/>
          <w:sz w:val="22"/>
          <w:szCs w:val="22"/>
        </w:rPr>
        <w:t>).</w:t>
      </w:r>
    </w:p>
    <w:p w14:paraId="0000001F"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Розбудова Нової Державної Податкової Служби на концептуально нових принципах взаємодії з платниками податків;</w:t>
      </w:r>
    </w:p>
    <w:p w14:paraId="00000020"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Надання переважної більшості послуг платникам податків онлайн через електронний кабінет;</w:t>
      </w:r>
    </w:p>
    <w:p w14:paraId="00000021"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Фіскалізація</w:t>
      </w:r>
      <w:proofErr w:type="spellEnd"/>
      <w:r>
        <w:rPr>
          <w:rFonts w:ascii="Times New Roman" w:eastAsia="Times New Roman" w:hAnsi="Times New Roman" w:cs="Times New Roman"/>
          <w:color w:val="000000"/>
          <w:sz w:val="22"/>
          <w:szCs w:val="22"/>
        </w:rPr>
        <w:t xml:space="preserve"> більшої кількості господарських операцій, в </w:t>
      </w:r>
      <w:proofErr w:type="spellStart"/>
      <w:r>
        <w:rPr>
          <w:rFonts w:ascii="Times New Roman" w:eastAsia="Times New Roman" w:hAnsi="Times New Roman" w:cs="Times New Roman"/>
          <w:color w:val="000000"/>
          <w:sz w:val="22"/>
          <w:szCs w:val="22"/>
        </w:rPr>
        <w:t>т.ч</w:t>
      </w:r>
      <w:proofErr w:type="spellEnd"/>
      <w:r>
        <w:rPr>
          <w:rFonts w:ascii="Times New Roman" w:eastAsia="Times New Roman" w:hAnsi="Times New Roman" w:cs="Times New Roman"/>
          <w:color w:val="000000"/>
          <w:sz w:val="22"/>
          <w:szCs w:val="22"/>
        </w:rPr>
        <w:t>. через введення РРО;</w:t>
      </w:r>
    </w:p>
    <w:p w14:paraId="00000022" w14:textId="77777777" w:rsidR="00CE54A9" w:rsidRDefault="008B4E41">
      <w:pPr>
        <w:widowControl w:val="0"/>
        <w:pBdr>
          <w:top w:val="nil"/>
          <w:left w:val="nil"/>
          <w:bottom w:val="nil"/>
          <w:right w:val="nil"/>
          <w:between w:val="nil"/>
        </w:pBdr>
        <w:ind w:left="98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Прийняття законодавства по імплементації плану BEPS.  </w:t>
      </w:r>
    </w:p>
    <w:p w14:paraId="00000023" w14:textId="77777777" w:rsidR="00CE54A9" w:rsidRDefault="00CE54A9">
      <w:pPr>
        <w:jc w:val="both"/>
        <w:rPr>
          <w:rFonts w:ascii="Times New Roman" w:eastAsia="Times New Roman" w:hAnsi="Times New Roman" w:cs="Times New Roman"/>
          <w:b/>
          <w:color w:val="000000"/>
          <w:sz w:val="22"/>
          <w:szCs w:val="22"/>
        </w:rPr>
      </w:pPr>
    </w:p>
    <w:p w14:paraId="00000024" w14:textId="77777777" w:rsidR="00CE54A9" w:rsidRDefault="008B4E41">
      <w:pPr>
        <w:ind w:firstLine="567"/>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 ПРОПОНОВАНИЙ КУРС ПОЛІТИКИ</w:t>
      </w:r>
    </w:p>
    <w:p w14:paraId="00000025" w14:textId="77777777" w:rsidR="00CE54A9" w:rsidRDefault="008B4E41">
      <w:pPr>
        <w:widowControl w:val="0"/>
        <w:spacing w:before="120"/>
        <w:ind w:left="566"/>
        <w:jc w:val="both"/>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 xml:space="preserve">2.1. </w:t>
      </w:r>
      <w:proofErr w:type="spellStart"/>
      <w:r>
        <w:rPr>
          <w:rFonts w:ascii="Times New Roman" w:eastAsia="Times New Roman" w:hAnsi="Times New Roman" w:cs="Times New Roman"/>
          <w:b/>
          <w:color w:val="000000"/>
          <w:sz w:val="22"/>
          <w:szCs w:val="22"/>
        </w:rPr>
        <w:t>Підціль</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1</w:t>
      </w:r>
      <w:r>
        <w:rPr>
          <w:rFonts w:ascii="Times New Roman" w:eastAsia="Times New Roman" w:hAnsi="Times New Roman" w:cs="Times New Roman"/>
          <w:b/>
          <w:color w:val="000000"/>
          <w:sz w:val="22"/>
          <w:szCs w:val="22"/>
        </w:rPr>
        <w:t xml:space="preserve"> - … </w:t>
      </w:r>
      <w:r>
        <w:rPr>
          <w:rFonts w:ascii="Times New Roman" w:eastAsia="Times New Roman" w:hAnsi="Times New Roman" w:cs="Times New Roman"/>
          <w:i/>
          <w:color w:val="000000"/>
          <w:sz w:val="22"/>
          <w:szCs w:val="22"/>
        </w:rPr>
        <w:t>(</w:t>
      </w:r>
      <w:proofErr w:type="spellStart"/>
      <w:r>
        <w:rPr>
          <w:rFonts w:ascii="Times New Roman" w:eastAsia="Times New Roman" w:hAnsi="Times New Roman" w:cs="Times New Roman"/>
          <w:i/>
          <w:color w:val="000000"/>
          <w:sz w:val="22"/>
          <w:szCs w:val="22"/>
        </w:rPr>
        <w:t>підцілі</w:t>
      </w:r>
      <w:proofErr w:type="spellEnd"/>
      <w:r>
        <w:rPr>
          <w:rFonts w:ascii="Times New Roman" w:eastAsia="Times New Roman" w:hAnsi="Times New Roman" w:cs="Times New Roman"/>
          <w:i/>
          <w:color w:val="000000"/>
          <w:sz w:val="22"/>
          <w:szCs w:val="22"/>
        </w:rPr>
        <w:t xml:space="preserve"> прямо похідні від причин проблеми, </w:t>
      </w:r>
      <w:proofErr w:type="spellStart"/>
      <w:r>
        <w:rPr>
          <w:rFonts w:ascii="Times New Roman" w:eastAsia="Times New Roman" w:hAnsi="Times New Roman" w:cs="Times New Roman"/>
          <w:i/>
          <w:color w:val="000000"/>
          <w:sz w:val="22"/>
          <w:szCs w:val="22"/>
        </w:rPr>
        <w:t>формулюються</w:t>
      </w:r>
      <w:proofErr w:type="spellEnd"/>
      <w:r>
        <w:rPr>
          <w:rFonts w:ascii="Times New Roman" w:eastAsia="Times New Roman" w:hAnsi="Times New Roman" w:cs="Times New Roman"/>
          <w:i/>
          <w:color w:val="000000"/>
          <w:sz w:val="22"/>
          <w:szCs w:val="22"/>
        </w:rPr>
        <w:t xml:space="preserve"> конкретно, вимірювано та коротко)</w:t>
      </w:r>
    </w:p>
    <w:p w14:paraId="00000026" w14:textId="77777777" w:rsidR="00CE54A9" w:rsidRDefault="008B4E41">
      <w:pPr>
        <w:widowControl w:val="0"/>
        <w:spacing w:before="120"/>
        <w:ind w:left="566"/>
        <w:jc w:val="both"/>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 xml:space="preserve">Ефективне </w:t>
      </w:r>
      <w:r>
        <w:rPr>
          <w:rFonts w:ascii="Times New Roman" w:eastAsia="Times New Roman" w:hAnsi="Times New Roman" w:cs="Times New Roman"/>
          <w:b/>
          <w:color w:val="000000"/>
          <w:sz w:val="22"/>
          <w:szCs w:val="22"/>
        </w:rPr>
        <w:t xml:space="preserve">застосування стимулюючої моделі оподаткування економіки </w:t>
      </w:r>
    </w:p>
    <w:p w14:paraId="00000027" w14:textId="77777777" w:rsidR="00CE54A9" w:rsidRDefault="008B4E41">
      <w:pPr>
        <w:widowControl w:val="0"/>
        <w:ind w:left="987" w:hanging="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Показник(-и) результативності: </w:t>
      </w:r>
      <w:r>
        <w:rPr>
          <w:rFonts w:ascii="Times New Roman" w:eastAsia="Times New Roman" w:hAnsi="Times New Roman" w:cs="Times New Roman"/>
          <w:i/>
          <w:color w:val="000000"/>
          <w:sz w:val="22"/>
          <w:szCs w:val="22"/>
        </w:rPr>
        <w:t>(вимірювані)</w:t>
      </w:r>
    </w:p>
    <w:p w14:paraId="00000028" w14:textId="77777777" w:rsidR="00CE54A9" w:rsidRDefault="008B4E41">
      <w:pPr>
        <w:widowControl w:val="0"/>
        <w:ind w:left="987" w:hanging="4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Проведення реформи оподаткування у 2020 році </w:t>
      </w:r>
    </w:p>
    <w:p w14:paraId="00000029" w14:textId="77777777" w:rsidR="00CE54A9" w:rsidRDefault="008B4E41">
      <w:pPr>
        <w:widowControl w:val="0"/>
        <w:ind w:left="987" w:hanging="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Завдання до </w:t>
      </w:r>
      <w:proofErr w:type="spellStart"/>
      <w:r>
        <w:rPr>
          <w:rFonts w:ascii="Times New Roman" w:eastAsia="Times New Roman" w:hAnsi="Times New Roman" w:cs="Times New Roman"/>
          <w:color w:val="000000"/>
          <w:sz w:val="22"/>
          <w:szCs w:val="22"/>
        </w:rPr>
        <w:t>підцілі</w:t>
      </w:r>
      <w:proofErr w:type="spellEnd"/>
      <w:r>
        <w:rPr>
          <w:rFonts w:ascii="Times New Roman" w:eastAsia="Times New Roman" w:hAnsi="Times New Roman" w:cs="Times New Roman"/>
          <w:color w:val="000000"/>
          <w:sz w:val="22"/>
          <w:szCs w:val="22"/>
        </w:rPr>
        <w:t xml:space="preserve"> 1: </w:t>
      </w:r>
      <w:r>
        <w:rPr>
          <w:rFonts w:ascii="Times New Roman" w:eastAsia="Times New Roman" w:hAnsi="Times New Roman" w:cs="Times New Roman"/>
          <w:i/>
          <w:color w:val="000000"/>
          <w:sz w:val="22"/>
          <w:szCs w:val="22"/>
        </w:rPr>
        <w:t xml:space="preserve">(замисел по досягненню </w:t>
      </w:r>
      <w:proofErr w:type="spellStart"/>
      <w:r>
        <w:rPr>
          <w:rFonts w:ascii="Times New Roman" w:eastAsia="Times New Roman" w:hAnsi="Times New Roman" w:cs="Times New Roman"/>
          <w:i/>
          <w:color w:val="000000"/>
          <w:sz w:val="22"/>
          <w:szCs w:val="22"/>
        </w:rPr>
        <w:t>підцілі</w:t>
      </w:r>
      <w:proofErr w:type="spellEnd"/>
      <w:r>
        <w:rPr>
          <w:rFonts w:ascii="Times New Roman" w:eastAsia="Times New Roman" w:hAnsi="Times New Roman" w:cs="Times New Roman"/>
          <w:i/>
          <w:color w:val="000000"/>
          <w:sz w:val="22"/>
          <w:szCs w:val="22"/>
        </w:rPr>
        <w:t>)</w:t>
      </w:r>
    </w:p>
    <w:p w14:paraId="0000002A" w14:textId="2BA2EE99" w:rsidR="00CE54A9" w:rsidRDefault="008B4E41">
      <w:pPr>
        <w:widowControl w:val="0"/>
        <w:numPr>
          <w:ilvl w:val="3"/>
          <w:numId w:val="4"/>
        </w:numP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Розробка змін до Податкового Кодексу України з метою зменшення податкового навантаження платників податків (в частині по</w:t>
      </w:r>
      <w:r>
        <w:rPr>
          <w:rFonts w:ascii="Times New Roman" w:eastAsia="Times New Roman" w:hAnsi="Times New Roman" w:cs="Times New Roman"/>
          <w:sz w:val="22"/>
          <w:szCs w:val="22"/>
        </w:rPr>
        <w:t>датку на доходи фізичних осіб (</w:t>
      </w:r>
      <w:r w:rsidR="00DB29D6">
        <w:rPr>
          <w:rFonts w:ascii="Times New Roman" w:eastAsia="Times New Roman" w:hAnsi="Times New Roman" w:cs="Times New Roman"/>
          <w:color w:val="000000"/>
          <w:sz w:val="22"/>
          <w:szCs w:val="22"/>
        </w:rPr>
        <w:t>податок на доходи фізичних осіб</w:t>
      </w:r>
      <w:r>
        <w:rPr>
          <w:rFonts w:ascii="Times New Roman" w:eastAsia="Times New Roman" w:hAnsi="Times New Roman" w:cs="Times New Roman"/>
          <w:color w:val="000000"/>
          <w:sz w:val="22"/>
          <w:szCs w:val="22"/>
        </w:rPr>
        <w:t>))</w:t>
      </w:r>
    </w:p>
    <w:p w14:paraId="0000002B" w14:textId="77777777" w:rsidR="00CE54A9" w:rsidRDefault="008B4E41">
      <w:pPr>
        <w:widowControl w:val="0"/>
        <w:numPr>
          <w:ilvl w:val="3"/>
          <w:numId w:val="4"/>
        </w:numP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Вдосконалення процедур оподаткування нерухомого майна (земельних ділянок)</w:t>
      </w:r>
    </w:p>
    <w:p w14:paraId="0000002C" w14:textId="77777777" w:rsidR="00CE54A9" w:rsidRDefault="008B4E41">
      <w:pPr>
        <w:widowControl w:val="0"/>
        <w:numPr>
          <w:ilvl w:val="3"/>
          <w:numId w:val="4"/>
        </w:numP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Перегляд екологічного податку   </w:t>
      </w:r>
    </w:p>
    <w:p w14:paraId="0000002D" w14:textId="77777777" w:rsidR="00CE54A9" w:rsidRDefault="008B4E41">
      <w:pPr>
        <w:widowControl w:val="0"/>
        <w:spacing w:before="120"/>
        <w:ind w:left="566"/>
        <w:jc w:val="both"/>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2.</w:t>
      </w:r>
      <w:r>
        <w:rPr>
          <w:rFonts w:ascii="Times New Roman" w:eastAsia="Times New Roman" w:hAnsi="Times New Roman" w:cs="Times New Roman"/>
          <w:b/>
          <w:sz w:val="22"/>
          <w:szCs w:val="22"/>
        </w:rPr>
        <w:t>2</w: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Підціль</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2</w:t>
      </w:r>
      <w:r>
        <w:rPr>
          <w:rFonts w:ascii="Times New Roman" w:eastAsia="Times New Roman" w:hAnsi="Times New Roman" w:cs="Times New Roman"/>
          <w:b/>
          <w:color w:val="000000"/>
          <w:sz w:val="22"/>
          <w:szCs w:val="22"/>
        </w:rPr>
        <w:t xml:space="preserve"> - … </w:t>
      </w:r>
      <w:r>
        <w:rPr>
          <w:rFonts w:ascii="Times New Roman" w:eastAsia="Times New Roman" w:hAnsi="Times New Roman" w:cs="Times New Roman"/>
          <w:i/>
          <w:color w:val="000000"/>
          <w:sz w:val="22"/>
          <w:szCs w:val="22"/>
        </w:rPr>
        <w:t>(</w:t>
      </w:r>
      <w:proofErr w:type="spellStart"/>
      <w:r>
        <w:rPr>
          <w:rFonts w:ascii="Times New Roman" w:eastAsia="Times New Roman" w:hAnsi="Times New Roman" w:cs="Times New Roman"/>
          <w:i/>
          <w:color w:val="000000"/>
          <w:sz w:val="22"/>
          <w:szCs w:val="22"/>
        </w:rPr>
        <w:t>підцілі</w:t>
      </w:r>
      <w:proofErr w:type="spellEnd"/>
      <w:r>
        <w:rPr>
          <w:rFonts w:ascii="Times New Roman" w:eastAsia="Times New Roman" w:hAnsi="Times New Roman" w:cs="Times New Roman"/>
          <w:i/>
          <w:color w:val="000000"/>
          <w:sz w:val="22"/>
          <w:szCs w:val="22"/>
        </w:rPr>
        <w:t xml:space="preserve"> прямо похідні від причин проблеми, </w:t>
      </w:r>
      <w:proofErr w:type="spellStart"/>
      <w:r>
        <w:rPr>
          <w:rFonts w:ascii="Times New Roman" w:eastAsia="Times New Roman" w:hAnsi="Times New Roman" w:cs="Times New Roman"/>
          <w:i/>
          <w:color w:val="000000"/>
          <w:sz w:val="22"/>
          <w:szCs w:val="22"/>
        </w:rPr>
        <w:t>формулюються</w:t>
      </w:r>
      <w:proofErr w:type="spellEnd"/>
      <w:r>
        <w:rPr>
          <w:rFonts w:ascii="Times New Roman" w:eastAsia="Times New Roman" w:hAnsi="Times New Roman" w:cs="Times New Roman"/>
          <w:i/>
          <w:color w:val="000000"/>
          <w:sz w:val="22"/>
          <w:szCs w:val="22"/>
        </w:rPr>
        <w:t xml:space="preserve"> конкретно, вимірювано та коротко)</w:t>
      </w:r>
    </w:p>
    <w:p w14:paraId="0000002E" w14:textId="77777777" w:rsidR="00CE54A9" w:rsidRDefault="008B4E41">
      <w:pPr>
        <w:widowControl w:val="0"/>
        <w:spacing w:before="120"/>
        <w:ind w:left="56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Ефективна протидія зловживанням з боку бізнесу податковими правилами </w:t>
      </w:r>
    </w:p>
    <w:p w14:paraId="0000002F" w14:textId="77777777" w:rsidR="00CE54A9" w:rsidRDefault="008B4E41">
      <w:pPr>
        <w:widowControl w:val="0"/>
        <w:pBdr>
          <w:top w:val="nil"/>
          <w:left w:val="nil"/>
          <w:bottom w:val="nil"/>
          <w:right w:val="nil"/>
          <w:between w:val="nil"/>
        </w:pBdr>
        <w:ind w:left="987" w:hanging="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Показник(-и) результативності: </w:t>
      </w:r>
      <w:r>
        <w:rPr>
          <w:rFonts w:ascii="Times New Roman" w:eastAsia="Times New Roman" w:hAnsi="Times New Roman" w:cs="Times New Roman"/>
          <w:i/>
          <w:color w:val="000000"/>
          <w:sz w:val="22"/>
          <w:szCs w:val="22"/>
        </w:rPr>
        <w:t>(вимірювані)</w:t>
      </w:r>
    </w:p>
    <w:p w14:paraId="00000030" w14:textId="77777777" w:rsidR="00CE54A9" w:rsidRDefault="008B4E41">
      <w:pPr>
        <w:widowControl w:val="0"/>
        <w:ind w:left="992" w:hanging="425"/>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Розширення бази оподаткування по податку на прибуток на 25% </w:t>
      </w:r>
    </w:p>
    <w:p w14:paraId="00000031" w14:textId="77777777" w:rsidR="00CE54A9" w:rsidRDefault="008B4E41">
      <w:pPr>
        <w:widowControl w:val="0"/>
        <w:pBdr>
          <w:top w:val="nil"/>
          <w:left w:val="nil"/>
          <w:bottom w:val="nil"/>
          <w:right w:val="nil"/>
          <w:between w:val="nil"/>
        </w:pBdr>
        <w:ind w:left="987" w:hanging="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Завдання до </w:t>
      </w:r>
      <w:proofErr w:type="spellStart"/>
      <w:r>
        <w:rPr>
          <w:rFonts w:ascii="Times New Roman" w:eastAsia="Times New Roman" w:hAnsi="Times New Roman" w:cs="Times New Roman"/>
          <w:color w:val="000000"/>
          <w:sz w:val="22"/>
          <w:szCs w:val="22"/>
        </w:rPr>
        <w:t>підцілі</w:t>
      </w:r>
      <w:proofErr w:type="spellEnd"/>
      <w:r>
        <w:rPr>
          <w:rFonts w:ascii="Times New Roman" w:eastAsia="Times New Roman" w:hAnsi="Times New Roman" w:cs="Times New Roman"/>
          <w:color w:val="000000"/>
          <w:sz w:val="22"/>
          <w:szCs w:val="22"/>
        </w:rPr>
        <w:t xml:space="preserve"> 2: </w:t>
      </w:r>
      <w:r>
        <w:rPr>
          <w:rFonts w:ascii="Times New Roman" w:eastAsia="Times New Roman" w:hAnsi="Times New Roman" w:cs="Times New Roman"/>
          <w:i/>
          <w:color w:val="000000"/>
          <w:sz w:val="22"/>
          <w:szCs w:val="22"/>
        </w:rPr>
        <w:t xml:space="preserve">(замисел по досягненню </w:t>
      </w:r>
      <w:proofErr w:type="spellStart"/>
      <w:r>
        <w:rPr>
          <w:rFonts w:ascii="Times New Roman" w:eastAsia="Times New Roman" w:hAnsi="Times New Roman" w:cs="Times New Roman"/>
          <w:i/>
          <w:color w:val="000000"/>
          <w:sz w:val="22"/>
          <w:szCs w:val="22"/>
        </w:rPr>
        <w:t>підцілі</w:t>
      </w:r>
      <w:proofErr w:type="spellEnd"/>
      <w:r>
        <w:rPr>
          <w:rFonts w:ascii="Times New Roman" w:eastAsia="Times New Roman" w:hAnsi="Times New Roman" w:cs="Times New Roman"/>
          <w:i/>
          <w:color w:val="000000"/>
          <w:sz w:val="22"/>
          <w:szCs w:val="22"/>
        </w:rPr>
        <w:t>)</w:t>
      </w:r>
    </w:p>
    <w:p w14:paraId="00000032" w14:textId="77777777" w:rsidR="00CE54A9" w:rsidRDefault="008B4E41">
      <w:pPr>
        <w:widowControl w:val="0"/>
        <w:numPr>
          <w:ilvl w:val="3"/>
          <w:numId w:val="5"/>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Прийняття пакету законів по реалізації BEPS </w:t>
      </w:r>
    </w:p>
    <w:p w14:paraId="00000033" w14:textId="77777777" w:rsidR="00CE54A9" w:rsidRDefault="008B4E41">
      <w:pPr>
        <w:widowControl w:val="0"/>
        <w:numPr>
          <w:ilvl w:val="3"/>
          <w:numId w:val="5"/>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Запровадження FATCA та стандарту CRS</w:t>
      </w:r>
    </w:p>
    <w:p w14:paraId="00000034" w14:textId="77777777" w:rsidR="00CE54A9" w:rsidRDefault="008B4E41">
      <w:pPr>
        <w:widowControl w:val="0"/>
        <w:numPr>
          <w:ilvl w:val="3"/>
          <w:numId w:val="5"/>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Ефективне використання механізмів трансфертного ціноутворення</w:t>
      </w:r>
    </w:p>
    <w:p w14:paraId="00000035" w14:textId="77777777" w:rsidR="00CE54A9" w:rsidRDefault="00CE54A9">
      <w:pPr>
        <w:widowControl w:val="0"/>
        <w:pBdr>
          <w:top w:val="nil"/>
          <w:left w:val="nil"/>
          <w:bottom w:val="nil"/>
          <w:right w:val="nil"/>
          <w:between w:val="nil"/>
        </w:pBdr>
        <w:ind w:left="992"/>
        <w:jc w:val="both"/>
        <w:rPr>
          <w:rFonts w:ascii="Times New Roman" w:eastAsia="Times New Roman" w:hAnsi="Times New Roman" w:cs="Times New Roman"/>
          <w:color w:val="000000"/>
          <w:sz w:val="22"/>
          <w:szCs w:val="22"/>
        </w:rPr>
      </w:pPr>
    </w:p>
    <w:p w14:paraId="00000036" w14:textId="77777777" w:rsidR="00CE54A9" w:rsidRDefault="008B4E41">
      <w:pPr>
        <w:widowControl w:val="0"/>
        <w:spacing w:before="120"/>
        <w:ind w:left="566"/>
        <w:jc w:val="both"/>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 xml:space="preserve">2.3. </w:t>
      </w:r>
      <w:proofErr w:type="spellStart"/>
      <w:r>
        <w:rPr>
          <w:rFonts w:ascii="Times New Roman" w:eastAsia="Times New Roman" w:hAnsi="Times New Roman" w:cs="Times New Roman"/>
          <w:b/>
          <w:color w:val="000000"/>
          <w:sz w:val="22"/>
          <w:szCs w:val="22"/>
        </w:rPr>
        <w:t>Підціль</w:t>
      </w:r>
      <w:proofErr w:type="spellEnd"/>
      <w:r>
        <w:rPr>
          <w:rFonts w:ascii="Times New Roman" w:eastAsia="Times New Roman" w:hAnsi="Times New Roman" w:cs="Times New Roman"/>
          <w:b/>
          <w:color w:val="000000"/>
          <w:sz w:val="22"/>
          <w:szCs w:val="22"/>
        </w:rPr>
        <w:t xml:space="preserve"> 3 - … </w:t>
      </w:r>
      <w:r>
        <w:rPr>
          <w:rFonts w:ascii="Times New Roman" w:eastAsia="Times New Roman" w:hAnsi="Times New Roman" w:cs="Times New Roman"/>
          <w:i/>
          <w:color w:val="000000"/>
          <w:sz w:val="22"/>
          <w:szCs w:val="22"/>
        </w:rPr>
        <w:t>(</w:t>
      </w:r>
      <w:proofErr w:type="spellStart"/>
      <w:r>
        <w:rPr>
          <w:rFonts w:ascii="Times New Roman" w:eastAsia="Times New Roman" w:hAnsi="Times New Roman" w:cs="Times New Roman"/>
          <w:i/>
          <w:color w:val="000000"/>
          <w:sz w:val="22"/>
          <w:szCs w:val="22"/>
        </w:rPr>
        <w:t>підцілі</w:t>
      </w:r>
      <w:proofErr w:type="spellEnd"/>
      <w:r>
        <w:rPr>
          <w:rFonts w:ascii="Times New Roman" w:eastAsia="Times New Roman" w:hAnsi="Times New Roman" w:cs="Times New Roman"/>
          <w:i/>
          <w:color w:val="000000"/>
          <w:sz w:val="22"/>
          <w:szCs w:val="22"/>
        </w:rPr>
        <w:t xml:space="preserve"> прямо похідні від причин проблеми, </w:t>
      </w:r>
      <w:proofErr w:type="spellStart"/>
      <w:r>
        <w:rPr>
          <w:rFonts w:ascii="Times New Roman" w:eastAsia="Times New Roman" w:hAnsi="Times New Roman" w:cs="Times New Roman"/>
          <w:i/>
          <w:color w:val="000000"/>
          <w:sz w:val="22"/>
          <w:szCs w:val="22"/>
        </w:rPr>
        <w:t>формулюються</w:t>
      </w:r>
      <w:proofErr w:type="spellEnd"/>
      <w:r>
        <w:rPr>
          <w:rFonts w:ascii="Times New Roman" w:eastAsia="Times New Roman" w:hAnsi="Times New Roman" w:cs="Times New Roman"/>
          <w:i/>
          <w:color w:val="000000"/>
          <w:sz w:val="22"/>
          <w:szCs w:val="22"/>
        </w:rPr>
        <w:t xml:space="preserve"> конкретно, вимірювано та коротко)</w:t>
      </w:r>
    </w:p>
    <w:p w14:paraId="00000037" w14:textId="77777777" w:rsidR="00CE54A9" w:rsidRDefault="008B4E41">
      <w:pPr>
        <w:widowControl w:val="0"/>
        <w:pBdr>
          <w:top w:val="nil"/>
          <w:left w:val="nil"/>
          <w:bottom w:val="nil"/>
          <w:right w:val="nil"/>
          <w:between w:val="nil"/>
        </w:pBdr>
        <w:ind w:firstLine="566"/>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Вибудування</w:t>
      </w:r>
      <w:proofErr w:type="spellEnd"/>
      <w:r>
        <w:rPr>
          <w:rFonts w:ascii="Times New Roman" w:eastAsia="Times New Roman" w:hAnsi="Times New Roman" w:cs="Times New Roman"/>
          <w:b/>
          <w:color w:val="000000"/>
          <w:sz w:val="22"/>
          <w:szCs w:val="22"/>
        </w:rPr>
        <w:t xml:space="preserve"> ефективної взаємодії податкових органів з платниками податків  </w:t>
      </w:r>
    </w:p>
    <w:p w14:paraId="00000038" w14:textId="77777777" w:rsidR="00CE54A9" w:rsidRDefault="008B4E41">
      <w:pPr>
        <w:widowControl w:val="0"/>
        <w:pBdr>
          <w:top w:val="nil"/>
          <w:left w:val="nil"/>
          <w:bottom w:val="nil"/>
          <w:right w:val="nil"/>
          <w:between w:val="nil"/>
        </w:pBdr>
        <w:ind w:left="987" w:hanging="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Показник(-и) результативності: </w:t>
      </w:r>
      <w:r>
        <w:rPr>
          <w:rFonts w:ascii="Times New Roman" w:eastAsia="Times New Roman" w:hAnsi="Times New Roman" w:cs="Times New Roman"/>
          <w:i/>
          <w:color w:val="000000"/>
          <w:sz w:val="22"/>
          <w:szCs w:val="22"/>
        </w:rPr>
        <w:t>(вимірювані)</w:t>
      </w:r>
    </w:p>
    <w:p w14:paraId="00000039" w14:textId="77777777" w:rsidR="00CE54A9" w:rsidRDefault="008B4E41">
      <w:pPr>
        <w:widowControl w:val="0"/>
        <w:pBdr>
          <w:top w:val="nil"/>
          <w:left w:val="nil"/>
          <w:bottom w:val="nil"/>
          <w:right w:val="nil"/>
          <w:between w:val="nil"/>
        </w:pBdr>
        <w:ind w:left="987" w:hanging="4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Рівень довіри до Державної податкової служби зріс на 25% </w:t>
      </w:r>
    </w:p>
    <w:p w14:paraId="0000003A" w14:textId="77777777" w:rsidR="00CE54A9" w:rsidRDefault="008B4E41">
      <w:pPr>
        <w:widowControl w:val="0"/>
        <w:pBdr>
          <w:top w:val="nil"/>
          <w:left w:val="nil"/>
          <w:bottom w:val="nil"/>
          <w:right w:val="nil"/>
          <w:between w:val="nil"/>
        </w:pBdr>
        <w:ind w:left="987" w:hanging="42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Завдання до </w:t>
      </w:r>
      <w:proofErr w:type="spellStart"/>
      <w:r>
        <w:rPr>
          <w:rFonts w:ascii="Times New Roman" w:eastAsia="Times New Roman" w:hAnsi="Times New Roman" w:cs="Times New Roman"/>
          <w:color w:val="000000"/>
          <w:sz w:val="22"/>
          <w:szCs w:val="22"/>
        </w:rPr>
        <w:t>підцілі</w:t>
      </w:r>
      <w:proofErr w:type="spellEnd"/>
      <w:r>
        <w:rPr>
          <w:rFonts w:ascii="Times New Roman" w:eastAsia="Times New Roman" w:hAnsi="Times New Roman" w:cs="Times New Roman"/>
          <w:color w:val="000000"/>
          <w:sz w:val="22"/>
          <w:szCs w:val="22"/>
        </w:rPr>
        <w:t xml:space="preserve"> 3: </w:t>
      </w:r>
      <w:r>
        <w:rPr>
          <w:rFonts w:ascii="Times New Roman" w:eastAsia="Times New Roman" w:hAnsi="Times New Roman" w:cs="Times New Roman"/>
          <w:i/>
          <w:color w:val="000000"/>
          <w:sz w:val="22"/>
          <w:szCs w:val="22"/>
        </w:rPr>
        <w:t xml:space="preserve">(замисел по досягненню </w:t>
      </w:r>
      <w:proofErr w:type="spellStart"/>
      <w:r>
        <w:rPr>
          <w:rFonts w:ascii="Times New Roman" w:eastAsia="Times New Roman" w:hAnsi="Times New Roman" w:cs="Times New Roman"/>
          <w:i/>
          <w:color w:val="000000"/>
          <w:sz w:val="22"/>
          <w:szCs w:val="22"/>
        </w:rPr>
        <w:t>підцілі</w:t>
      </w:r>
      <w:proofErr w:type="spellEnd"/>
      <w:r>
        <w:rPr>
          <w:rFonts w:ascii="Times New Roman" w:eastAsia="Times New Roman" w:hAnsi="Times New Roman" w:cs="Times New Roman"/>
          <w:i/>
          <w:color w:val="000000"/>
          <w:sz w:val="22"/>
          <w:szCs w:val="22"/>
        </w:rPr>
        <w:t>)</w:t>
      </w:r>
    </w:p>
    <w:p w14:paraId="0000003B" w14:textId="77777777" w:rsidR="00CE54A9" w:rsidRDefault="008B4E41">
      <w:pPr>
        <w:widowControl w:val="0"/>
        <w:numPr>
          <w:ilvl w:val="3"/>
          <w:numId w:val="1"/>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Запровадження горизонтального моніторингу </w:t>
      </w:r>
    </w:p>
    <w:p w14:paraId="0000003C" w14:textId="77777777" w:rsidR="00CE54A9" w:rsidRDefault="008B4E41">
      <w:pPr>
        <w:widowControl w:val="0"/>
        <w:numPr>
          <w:ilvl w:val="3"/>
          <w:numId w:val="1"/>
        </w:numPr>
        <w:pBdr>
          <w:top w:val="nil"/>
          <w:left w:val="nil"/>
          <w:bottom w:val="nil"/>
          <w:right w:val="nil"/>
          <w:between w:val="nil"/>
        </w:pBdr>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Розширення застосування новітніх електронних технологій і сервісів, запровадження електронної документальної перевірки (е-аудиту) спочатку великих платників податків, а в подальшому всіх платників  </w:t>
      </w:r>
    </w:p>
    <w:p w14:paraId="0000003D" w14:textId="77777777" w:rsidR="00CE54A9" w:rsidRDefault="008B4E41">
      <w:pPr>
        <w:widowControl w:val="0"/>
        <w:numPr>
          <w:ilvl w:val="3"/>
          <w:numId w:val="1"/>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Збільшення кількості випадків </w:t>
      </w:r>
      <w:r>
        <w:rPr>
          <w:rFonts w:ascii="Times New Roman" w:eastAsia="Times New Roman" w:hAnsi="Times New Roman" w:cs="Times New Roman"/>
          <w:sz w:val="22"/>
          <w:szCs w:val="22"/>
        </w:rPr>
        <w:t>досудового врегулювання податкових спорів</w:t>
      </w:r>
    </w:p>
    <w:p w14:paraId="0000003E" w14:textId="77777777" w:rsidR="00CE54A9" w:rsidRDefault="008B4E41">
      <w:pPr>
        <w:widowControl w:val="0"/>
        <w:numPr>
          <w:ilvl w:val="3"/>
          <w:numId w:val="1"/>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bookmarkStart w:id="2" w:name="_1fob9te" w:colFirst="0" w:colLast="0"/>
      <w:bookmarkEnd w:id="2"/>
      <w:r>
        <w:rPr>
          <w:rFonts w:ascii="Times New Roman" w:eastAsia="Times New Roman" w:hAnsi="Times New Roman" w:cs="Times New Roman"/>
          <w:color w:val="000000"/>
          <w:sz w:val="22"/>
          <w:szCs w:val="22"/>
        </w:rPr>
        <w:t>Спрощення податкової звітності по основним видам податків</w:t>
      </w:r>
    </w:p>
    <w:p w14:paraId="0000003F" w14:textId="77777777" w:rsidR="00CE54A9" w:rsidRDefault="008B4E41">
      <w:pPr>
        <w:widowControl w:val="0"/>
        <w:numPr>
          <w:ilvl w:val="3"/>
          <w:numId w:val="1"/>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bookmarkStart w:id="3" w:name="_3znysh7" w:colFirst="0" w:colLast="0"/>
      <w:bookmarkEnd w:id="3"/>
      <w:r>
        <w:rPr>
          <w:rFonts w:ascii="Times New Roman" w:eastAsia="Times New Roman" w:hAnsi="Times New Roman" w:cs="Times New Roman"/>
          <w:color w:val="000000"/>
          <w:sz w:val="22"/>
          <w:szCs w:val="22"/>
        </w:rPr>
        <w:t xml:space="preserve">Зменшення кількості часу, який витрачається платниками податків на підготовку та подання податкової звітності згідно </w:t>
      </w:r>
      <w:proofErr w:type="spellStart"/>
      <w:r>
        <w:rPr>
          <w:rFonts w:ascii="Times New Roman" w:eastAsia="Times New Roman" w:hAnsi="Times New Roman" w:cs="Times New Roman"/>
          <w:color w:val="000000"/>
          <w:sz w:val="22"/>
          <w:szCs w:val="22"/>
        </w:rPr>
        <w:t>Doing</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business</w:t>
      </w:r>
      <w:proofErr w:type="spellEnd"/>
      <w:r>
        <w:rPr>
          <w:rFonts w:ascii="Times New Roman" w:eastAsia="Times New Roman" w:hAnsi="Times New Roman" w:cs="Times New Roman"/>
          <w:color w:val="000000"/>
          <w:sz w:val="22"/>
          <w:szCs w:val="22"/>
        </w:rPr>
        <w:t xml:space="preserve">   </w:t>
      </w:r>
    </w:p>
    <w:p w14:paraId="00000040" w14:textId="77777777" w:rsidR="00CE54A9" w:rsidRDefault="008B4E41">
      <w:pPr>
        <w:widowControl w:val="0"/>
        <w:numPr>
          <w:ilvl w:val="3"/>
          <w:numId w:val="1"/>
        </w:numPr>
        <w:pBdr>
          <w:top w:val="nil"/>
          <w:left w:val="nil"/>
          <w:bottom w:val="nil"/>
          <w:right w:val="nil"/>
          <w:between w:val="nil"/>
        </w:pBdr>
        <w:ind w:left="992" w:hanging="425"/>
        <w:jc w:val="both"/>
        <w:rPr>
          <w:rFonts w:ascii="Times New Roman" w:eastAsia="Times New Roman" w:hAnsi="Times New Roman" w:cs="Times New Roman"/>
          <w:color w:val="000000"/>
          <w:sz w:val="22"/>
          <w:szCs w:val="22"/>
        </w:rPr>
      </w:pPr>
      <w:bookmarkStart w:id="4" w:name="_2et92p0" w:colFirst="0" w:colLast="0"/>
      <w:bookmarkEnd w:id="4"/>
      <w:r>
        <w:rPr>
          <w:rFonts w:ascii="Times New Roman" w:eastAsia="Times New Roman" w:hAnsi="Times New Roman" w:cs="Times New Roman"/>
          <w:color w:val="000000"/>
          <w:sz w:val="22"/>
          <w:szCs w:val="22"/>
        </w:rPr>
        <w:t xml:space="preserve">Забезпечення функціонування ДПС як єдиної юридичної особи   </w:t>
      </w:r>
    </w:p>
    <w:p w14:paraId="00000041" w14:textId="77777777" w:rsidR="00CE54A9" w:rsidRDefault="00CE54A9">
      <w:pPr>
        <w:spacing w:before="240" w:after="240"/>
        <w:ind w:firstLine="720"/>
        <w:jc w:val="both"/>
        <w:rPr>
          <w:rFonts w:ascii="Times New Roman" w:eastAsia="Times New Roman" w:hAnsi="Times New Roman" w:cs="Times New Roman"/>
          <w:color w:val="000000"/>
          <w:sz w:val="22"/>
          <w:szCs w:val="22"/>
          <w:highlight w:val="white"/>
        </w:rPr>
      </w:pPr>
    </w:p>
    <w:sectPr w:rsidR="00CE54A9">
      <w:headerReference w:type="default" r:id="rId7"/>
      <w:headerReference w:type="first" r:id="rId8"/>
      <w:pgSz w:w="11906" w:h="16838"/>
      <w:pgMar w:top="567" w:right="849" w:bottom="993" w:left="992"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37F45" w14:textId="77777777" w:rsidR="007D0FA6" w:rsidRDefault="007D0FA6">
      <w:r>
        <w:separator/>
      </w:r>
    </w:p>
  </w:endnote>
  <w:endnote w:type="continuationSeparator" w:id="0">
    <w:p w14:paraId="35F52C12" w14:textId="77777777" w:rsidR="007D0FA6" w:rsidRDefault="007D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2421" w14:textId="77777777" w:rsidR="007D0FA6" w:rsidRDefault="007D0FA6">
      <w:r>
        <w:separator/>
      </w:r>
    </w:p>
  </w:footnote>
  <w:footnote w:type="continuationSeparator" w:id="0">
    <w:p w14:paraId="644E3F73" w14:textId="77777777" w:rsidR="007D0FA6" w:rsidRDefault="007D0FA6">
      <w:r>
        <w:continuationSeparator/>
      </w:r>
    </w:p>
  </w:footnote>
  <w:footnote w:id="1">
    <w:p w14:paraId="00000042" w14:textId="77777777" w:rsidR="00CE54A9" w:rsidRDefault="008B4E41">
      <w:pPr>
        <w:jc w:val="both"/>
        <w:rPr>
          <w:rFonts w:ascii="Times New Roman" w:eastAsia="Times New Roman" w:hAnsi="Times New Roman" w:cs="Times New Roman"/>
          <w:i/>
        </w:rPr>
      </w:pPr>
      <w:r>
        <w:rPr>
          <w:vertAlign w:val="superscript"/>
        </w:rPr>
        <w:footnoteRef/>
      </w:r>
      <w:r>
        <w:t xml:space="preserve"> </w:t>
      </w:r>
      <w:r>
        <w:rPr>
          <w:rFonts w:ascii="Times New Roman" w:eastAsia="Times New Roman" w:hAnsi="Times New Roman" w:cs="Times New Roman"/>
          <w:i/>
        </w:rPr>
        <w:t xml:space="preserve">Під проблемою слід розуміти ситуацію (стан речей), що є (або ймовірно може стати) предметом істотного невдоволення частини суспільства (носія проблеми / клієнта). </w:t>
      </w:r>
    </w:p>
    <w:p w14:paraId="00000043" w14:textId="77777777" w:rsidR="00CE54A9" w:rsidRDefault="008B4E41">
      <w:pPr>
        <w:widowControl w:val="0"/>
        <w:jc w:val="both"/>
        <w:rPr>
          <w:rFonts w:ascii="Times New Roman" w:eastAsia="Times New Roman" w:hAnsi="Times New Roman" w:cs="Times New Roman"/>
          <w:i/>
        </w:rPr>
      </w:pPr>
      <w:r>
        <w:rPr>
          <w:rFonts w:ascii="Times New Roman" w:eastAsia="Times New Roman" w:hAnsi="Times New Roman" w:cs="Times New Roman"/>
          <w:i/>
        </w:rPr>
        <w:t>Наприклад: «Х людей живе за межею бідності» або «Х дітей не має можливості отримати середню освіту», тощо.</w:t>
      </w:r>
    </w:p>
    <w:p w14:paraId="00000044" w14:textId="77777777" w:rsidR="00CE54A9" w:rsidRDefault="008B4E41">
      <w:pPr>
        <w:widowControl w:val="0"/>
        <w:jc w:val="both"/>
        <w:rPr>
          <w:rFonts w:ascii="Times New Roman" w:eastAsia="Times New Roman" w:hAnsi="Times New Roman" w:cs="Times New Roman"/>
          <w:i/>
        </w:rPr>
      </w:pPr>
      <w:r>
        <w:rPr>
          <w:rFonts w:ascii="Times New Roman" w:eastAsia="Times New Roman" w:hAnsi="Times New Roman" w:cs="Times New Roman"/>
          <w:i/>
        </w:rPr>
        <w:t>В контексті цього питання проблемою НЕ є:</w:t>
      </w:r>
    </w:p>
    <w:p w14:paraId="00000045" w14:textId="77777777" w:rsidR="00CE54A9" w:rsidRDefault="008B4E41">
      <w:pPr>
        <w:widowControl w:val="0"/>
        <w:jc w:val="both"/>
        <w:rPr>
          <w:rFonts w:ascii="Times New Roman" w:eastAsia="Times New Roman" w:hAnsi="Times New Roman" w:cs="Times New Roman"/>
          <w:i/>
        </w:rPr>
      </w:pPr>
      <w:r>
        <w:rPr>
          <w:rFonts w:ascii="Times New Roman" w:eastAsia="Times New Roman" w:hAnsi="Times New Roman" w:cs="Times New Roman"/>
          <w:i/>
        </w:rPr>
        <w:t>- відсутність або недосконалість законодавства (в тому числі невиконання);</w:t>
      </w:r>
    </w:p>
    <w:p w14:paraId="00000046" w14:textId="77777777" w:rsidR="00CE54A9" w:rsidRDefault="008B4E41">
      <w:pPr>
        <w:widowControl w:val="0"/>
        <w:jc w:val="both"/>
        <w:rPr>
          <w:rFonts w:ascii="Times New Roman" w:eastAsia="Times New Roman" w:hAnsi="Times New Roman" w:cs="Times New Roman"/>
          <w:i/>
        </w:rPr>
      </w:pPr>
      <w:r>
        <w:rPr>
          <w:rFonts w:ascii="Times New Roman" w:eastAsia="Times New Roman" w:hAnsi="Times New Roman" w:cs="Times New Roman"/>
          <w:i/>
        </w:rPr>
        <w:t>- відсутність чи недоліки роботи органу влади або окремої функції;</w:t>
      </w:r>
    </w:p>
    <w:p w14:paraId="00000047" w14:textId="77777777" w:rsidR="00CE54A9" w:rsidRDefault="008B4E41">
      <w:pPr>
        <w:widowControl w:val="0"/>
        <w:jc w:val="both"/>
        <w:rPr>
          <w:rFonts w:ascii="Times New Roman" w:eastAsia="Times New Roman" w:hAnsi="Times New Roman" w:cs="Times New Roman"/>
          <w:i/>
        </w:rPr>
      </w:pPr>
      <w:r>
        <w:rPr>
          <w:rFonts w:ascii="Times New Roman" w:eastAsia="Times New Roman" w:hAnsi="Times New Roman" w:cs="Times New Roman"/>
          <w:i/>
        </w:rPr>
        <w:t>- відсутність або наявність окремого інструменту регулювання (ліцензування, цінове регулювання, квотування, тощо) або недоліки процедури;</w:t>
      </w:r>
    </w:p>
    <w:p w14:paraId="00000048" w14:textId="77777777" w:rsidR="00CE54A9" w:rsidRDefault="008B4E41">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 відсутність політичної волі; </w:t>
      </w:r>
    </w:p>
    <w:p w14:paraId="00000049" w14:textId="77777777" w:rsidR="00CE54A9" w:rsidRDefault="008B4E41">
      <w:pPr>
        <w:widowControl w:val="0"/>
        <w:spacing w:after="120"/>
        <w:jc w:val="both"/>
        <w:rPr>
          <w:rFonts w:ascii="Times New Roman" w:eastAsia="Times New Roman" w:hAnsi="Times New Roman" w:cs="Times New Roman"/>
          <w:i/>
        </w:rPr>
      </w:pPr>
      <w:r>
        <w:rPr>
          <w:rFonts w:ascii="Times New Roman" w:eastAsia="Times New Roman" w:hAnsi="Times New Roman" w:cs="Times New Roman"/>
          <w:i/>
        </w:rPr>
        <w:t>- слабка виконавська дисципліна, тощо.</w:t>
      </w:r>
    </w:p>
  </w:footnote>
  <w:footnote w:id="2">
    <w:p w14:paraId="0000004A" w14:textId="77777777" w:rsidR="00CE54A9" w:rsidRDefault="008B4E41">
      <w:pPr>
        <w:spacing w:after="200"/>
        <w:jc w:val="both"/>
      </w:pPr>
      <w:r>
        <w:rPr>
          <w:vertAlign w:val="superscript"/>
        </w:rPr>
        <w:footnoteRef/>
      </w:r>
      <w:r>
        <w:t xml:space="preserve"> </w:t>
      </w:r>
      <w:r>
        <w:rPr>
          <w:rFonts w:ascii="Times New Roman" w:eastAsia="Times New Roman" w:hAnsi="Times New Roman" w:cs="Times New Roman"/>
          <w:i/>
        </w:rPr>
        <w:t>Про пріоритетність проблеми для клієнта може свідчити: (1) готовність його активно діяти, щоб вплинути на вирішення проблеми (почати скаржитись, протестувати, змінити модель поведінки тощо); (2) фатальність наслідків для нього (загроза життю та/або безпечному існуванню).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CE54A9" w:rsidRDefault="00CE54A9">
    <w:pPr>
      <w:spacing w:before="708"/>
      <w:rPr>
        <w:sz w:val="22"/>
        <w:szCs w:val="22"/>
      </w:rPr>
    </w:pPr>
  </w:p>
  <w:p w14:paraId="0000004D" w14:textId="77777777" w:rsidR="00CE54A9" w:rsidRDefault="008B4E41">
    <w:pPr>
      <w:rPr>
        <w:sz w:val="22"/>
        <w:szCs w:val="22"/>
      </w:rPr>
    </w:pP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CE54A9" w:rsidRDefault="008B4E41">
    <w:pPr>
      <w:spacing w:before="708"/>
      <w:jc w:val="center"/>
      <w:rPr>
        <w:sz w:val="22"/>
        <w:szCs w:val="22"/>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Проект </w:t>
    </w:r>
    <w:r>
      <w:rPr>
        <w:rFonts w:ascii="Times New Roman" w:eastAsia="Times New Roman" w:hAnsi="Times New Roman" w:cs="Times New Roman"/>
        <w:i/>
        <w:sz w:val="24"/>
        <w:szCs w:val="24"/>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F88"/>
    <w:multiLevelType w:val="multilevel"/>
    <w:tmpl w:val="A96E6A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1FC683D"/>
    <w:multiLevelType w:val="multilevel"/>
    <w:tmpl w:val="7A2426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AC0339F"/>
    <w:multiLevelType w:val="multilevel"/>
    <w:tmpl w:val="567C2B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30A4997"/>
    <w:multiLevelType w:val="multilevel"/>
    <w:tmpl w:val="D87471B8"/>
    <w:lvl w:ilvl="0">
      <w:start w:val="1"/>
      <w:numFmt w:val="decimal"/>
      <w:lvlText w:val="%1."/>
      <w:lvlJc w:val="left"/>
      <w:pPr>
        <w:ind w:left="420" w:hanging="420"/>
      </w:pPr>
    </w:lvl>
    <w:lvl w:ilvl="1">
      <w:start w:val="1"/>
      <w:numFmt w:val="decimal"/>
      <w:lvlText w:val="%1.%2."/>
      <w:lvlJc w:val="left"/>
      <w:pPr>
        <w:ind w:left="987" w:hanging="42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65577B87"/>
    <w:multiLevelType w:val="multilevel"/>
    <w:tmpl w:val="787E17F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A9"/>
    <w:rsid w:val="00091C89"/>
    <w:rsid w:val="0069413D"/>
    <w:rsid w:val="007D0FA6"/>
    <w:rsid w:val="008B4E41"/>
    <w:rsid w:val="00A47CFE"/>
    <w:rsid w:val="00A86384"/>
    <w:rsid w:val="00CE54A9"/>
    <w:rsid w:val="00DB29D6"/>
    <w:rsid w:val="00DD6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4988-0F7A-4B52-9347-0FDC3BEA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ітки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8B4E41"/>
    <w:rPr>
      <w:rFonts w:ascii="Segoe UI" w:hAnsi="Segoe UI" w:cs="Segoe UI"/>
      <w:sz w:val="18"/>
      <w:szCs w:val="18"/>
    </w:rPr>
  </w:style>
  <w:style w:type="character" w:customStyle="1" w:styleId="a9">
    <w:name w:val="Текст у виносці Знак"/>
    <w:basedOn w:val="a0"/>
    <w:link w:val="a8"/>
    <w:uiPriority w:val="99"/>
    <w:semiHidden/>
    <w:rsid w:val="008B4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4642</Words>
  <Characters>2646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Ходаковський Павло Вікторович</dc:creator>
  <cp:lastModifiedBy>Булавка Ольга Миколаївна</cp:lastModifiedBy>
  <cp:revision>2</cp:revision>
  <dcterms:created xsi:type="dcterms:W3CDTF">2020-01-20T16:23:00Z</dcterms:created>
  <dcterms:modified xsi:type="dcterms:W3CDTF">2020-01-20T16:23:00Z</dcterms:modified>
</cp:coreProperties>
</file>