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1E" w:rsidRDefault="000D691E" w:rsidP="000D691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Ціль 6.4. «Бізнес та громадяни мають доступ до значно дешевших фінансових ресурсів»</w:t>
      </w:r>
    </w:p>
    <w:p w:rsidR="000D691E" w:rsidRDefault="000D691E" w:rsidP="000D691E">
      <w:pPr>
        <w:spacing w:line="200" w:lineRule="exact"/>
        <w:rPr>
          <w:sz w:val="20"/>
          <w:szCs w:val="20"/>
        </w:rPr>
      </w:pPr>
    </w:p>
    <w:p w:rsidR="000D691E" w:rsidRDefault="000D691E" w:rsidP="000D691E">
      <w:pPr>
        <w:spacing w:line="200" w:lineRule="exact"/>
        <w:rPr>
          <w:sz w:val="20"/>
          <w:szCs w:val="20"/>
        </w:rPr>
      </w:pPr>
    </w:p>
    <w:p w:rsidR="000D691E" w:rsidRDefault="000D691E" w:rsidP="000D691E">
      <w:pPr>
        <w:spacing w:line="309" w:lineRule="exact"/>
        <w:rPr>
          <w:sz w:val="20"/>
          <w:szCs w:val="20"/>
        </w:rPr>
      </w:pPr>
    </w:p>
    <w:p w:rsidR="00A03E39" w:rsidRPr="00A03E39" w:rsidRDefault="000D691E" w:rsidP="00A03E39">
      <w:pPr>
        <w:ind w:right="3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 реалізації державної політики </w:t>
      </w:r>
      <w:r w:rsidR="00A03E39">
        <w:rPr>
          <w:rFonts w:eastAsia="Times New Roman"/>
          <w:b/>
          <w:bCs/>
          <w:sz w:val="24"/>
          <w:szCs w:val="24"/>
        </w:rPr>
        <w:t xml:space="preserve"> щодо досягнення цілі </w:t>
      </w:r>
      <w:r w:rsidR="00A03E39" w:rsidRPr="00A03E39">
        <w:rPr>
          <w:rFonts w:eastAsia="Times New Roman"/>
          <w:b/>
          <w:bCs/>
          <w:sz w:val="24"/>
          <w:szCs w:val="24"/>
        </w:rPr>
        <w:t>6.4. «Бізнес та громадяни мають доступ до значно дешевших фінансових ресурсів»</w:t>
      </w:r>
    </w:p>
    <w:p w:rsidR="000D691E" w:rsidRDefault="000D691E" w:rsidP="000D691E">
      <w:pPr>
        <w:ind w:right="360"/>
        <w:jc w:val="center"/>
        <w:rPr>
          <w:sz w:val="20"/>
          <w:szCs w:val="20"/>
        </w:rPr>
      </w:pPr>
    </w:p>
    <w:p w:rsidR="000D691E" w:rsidRDefault="000D691E" w:rsidP="000D691E">
      <w:pPr>
        <w:spacing w:line="310" w:lineRule="exact"/>
        <w:rPr>
          <w:sz w:val="20"/>
          <w:szCs w:val="20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2835"/>
        <w:gridCol w:w="3969"/>
        <w:gridCol w:w="1701"/>
        <w:gridCol w:w="1134"/>
        <w:gridCol w:w="1134"/>
        <w:gridCol w:w="1701"/>
      </w:tblGrid>
      <w:tr w:rsidR="00480643" w:rsidTr="003816C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43" w:rsidRDefault="00480643" w:rsidP="00021E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Ціль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43" w:rsidRDefault="00480643" w:rsidP="00021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Підціль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43" w:rsidRDefault="00480643" w:rsidP="00021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Завдання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43" w:rsidRDefault="00480643" w:rsidP="00021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Захід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643" w:rsidRDefault="00480643" w:rsidP="00021E34">
            <w:pPr>
              <w:jc w:val="center"/>
              <w:rPr>
                <w:b/>
                <w:bCs/>
                <w:color w:val="000000"/>
                <w:w w:val="99"/>
                <w:sz w:val="20"/>
                <w:szCs w:val="20"/>
              </w:rPr>
            </w:pPr>
          </w:p>
          <w:p w:rsidR="00480643" w:rsidRDefault="00480643" w:rsidP="00021E34">
            <w:pPr>
              <w:jc w:val="center"/>
              <w:rPr>
                <w:b/>
                <w:bCs/>
                <w:color w:val="000000"/>
                <w:w w:val="99"/>
                <w:sz w:val="20"/>
                <w:szCs w:val="20"/>
              </w:rPr>
            </w:pPr>
            <w:r w:rsidRPr="00480643">
              <w:rPr>
                <w:b/>
                <w:bCs/>
                <w:color w:val="000000"/>
                <w:w w:val="99"/>
                <w:sz w:val="20"/>
                <w:szCs w:val="20"/>
              </w:rPr>
              <w:t>Тип заходу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43" w:rsidRDefault="00480643" w:rsidP="00021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w w:val="99"/>
                <w:sz w:val="20"/>
                <w:szCs w:val="20"/>
              </w:rPr>
              <w:t>Початок виконання заходу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43" w:rsidRDefault="00480643" w:rsidP="00021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Закінчення виконання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43" w:rsidRDefault="00480643" w:rsidP="00021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Відповідальний</w:t>
            </w:r>
          </w:p>
        </w:tc>
      </w:tr>
      <w:tr w:rsidR="00480643" w:rsidTr="003816CD"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Ціль 6.4. «Бізнес та громадяни мають доступ до значно дешевших фінансових ресурсів»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Підціль 1. Створення макроекономічних умов для зниження відсоткової 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Сприяння банківському кредитуванню економіки в цілому шляхом створення умов для зменшення вартості кредитних ресурсів та зниження рівня ризиків для кредиторів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Забезпечення в рамках Меморандуму між Кабінетом Міністрів України та Національним банком України про взаємодію з метою досягнення стійкого економічного зростання та цінової стабільності координації економічної, фіскальної та монетарної політики на постійній основі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80643">
              <w:rPr>
                <w:color w:val="000000"/>
                <w:sz w:val="20"/>
                <w:szCs w:val="20"/>
              </w:rPr>
              <w:t>Адміністративноорганізаційне</w:t>
            </w:r>
            <w:proofErr w:type="spellEnd"/>
            <w:r w:rsidRPr="00480643">
              <w:rPr>
                <w:color w:val="000000"/>
                <w:sz w:val="20"/>
                <w:szCs w:val="20"/>
              </w:rPr>
              <w:t xml:space="preserve"> забезпечення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  <w:r w:rsidRPr="00480643">
              <w:rPr>
                <w:color w:val="000000"/>
                <w:sz w:val="20"/>
                <w:szCs w:val="20"/>
              </w:rPr>
              <w:t>грудень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грудень</w:t>
            </w:r>
          </w:p>
          <w:p w:rsidR="00480643" w:rsidRPr="00480643" w:rsidRDefault="00480643" w:rsidP="00021E34">
            <w:pPr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Мінфін;</w:t>
            </w:r>
            <w:r>
              <w:rPr>
                <w:color w:val="000000"/>
                <w:sz w:val="20"/>
                <w:szCs w:val="20"/>
              </w:rPr>
              <w:br/>
              <w:t>НБУ;</w:t>
            </w:r>
            <w:r>
              <w:rPr>
                <w:color w:val="000000"/>
                <w:sz w:val="20"/>
                <w:szCs w:val="20"/>
              </w:rPr>
              <w:br/>
              <w:t>Мінекономіки</w:t>
            </w:r>
          </w:p>
        </w:tc>
      </w:tr>
      <w:tr w:rsidR="00480643" w:rsidTr="00F47649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Розроблення та впровадження інструментів підтримки малого та середнього бізнесу, в тому числі через механізм гарантування кредитів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DB54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Створення на базі Німецького-українського фонду </w:t>
            </w:r>
            <w:proofErr w:type="spellStart"/>
            <w:r w:rsidR="00DB54DF">
              <w:rPr>
                <w:color w:val="000000"/>
                <w:sz w:val="20"/>
                <w:szCs w:val="20"/>
              </w:rPr>
              <w:t>Фонду</w:t>
            </w:r>
            <w:proofErr w:type="spellEnd"/>
            <w:r w:rsidR="00DB54DF">
              <w:rPr>
                <w:color w:val="000000"/>
                <w:sz w:val="20"/>
                <w:szCs w:val="20"/>
              </w:rPr>
              <w:t xml:space="preserve"> розвитку підприємництва</w:t>
            </w:r>
            <w:r>
              <w:rPr>
                <w:color w:val="000000"/>
                <w:sz w:val="20"/>
                <w:szCs w:val="20"/>
              </w:rPr>
              <w:t>, основною метою функціонування якого буде компенсація відсоткових ставок для МСП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80643">
              <w:rPr>
                <w:color w:val="000000"/>
                <w:sz w:val="20"/>
                <w:szCs w:val="20"/>
              </w:rPr>
              <w:t>Адміністративноорганізаційне</w:t>
            </w:r>
            <w:proofErr w:type="spellEnd"/>
            <w:r w:rsidRPr="00480643">
              <w:rPr>
                <w:color w:val="000000"/>
                <w:sz w:val="20"/>
                <w:szCs w:val="20"/>
              </w:rPr>
              <w:t xml:space="preserve"> забезпечення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грудень 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 w:rsidRPr="00480643">
              <w:rPr>
                <w:color w:val="000000"/>
                <w:sz w:val="20"/>
                <w:szCs w:val="20"/>
              </w:rPr>
              <w:t xml:space="preserve">грудень </w:t>
            </w: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Мінфін;</w:t>
            </w:r>
            <w:r>
              <w:rPr>
                <w:color w:val="000000"/>
                <w:sz w:val="20"/>
                <w:szCs w:val="20"/>
              </w:rPr>
              <w:br/>
              <w:t>НБУ;</w:t>
            </w:r>
            <w:r>
              <w:rPr>
                <w:color w:val="000000"/>
                <w:sz w:val="20"/>
                <w:szCs w:val="20"/>
              </w:rPr>
              <w:br/>
              <w:t>Мінекономіки</w:t>
            </w:r>
          </w:p>
        </w:tc>
      </w:tr>
      <w:tr w:rsidR="00480643" w:rsidTr="00F47649">
        <w:trPr>
          <w:trHeight w:val="71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Підціль 2. Ефективне управління банками державного сектору для підвищення стабільності та інвестиційної привабливості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Імплементація стратегій банків державного сектору з метою збільшення їх економічної цінності, щоб компенсувати кошти платників податків, що були інвестовані в ці банки в минулому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Моніторинг імплементації стратегій банків державного сектору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80643">
              <w:rPr>
                <w:color w:val="000000"/>
                <w:sz w:val="20"/>
                <w:szCs w:val="20"/>
              </w:rPr>
              <w:t>Адміністративноорганізаційне</w:t>
            </w:r>
            <w:proofErr w:type="spellEnd"/>
            <w:r w:rsidRPr="00480643">
              <w:rPr>
                <w:color w:val="000000"/>
                <w:sz w:val="20"/>
                <w:szCs w:val="20"/>
              </w:rPr>
              <w:t xml:space="preserve"> забезпечення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грудень 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 w:rsidRPr="00480643">
              <w:rPr>
                <w:color w:val="000000"/>
                <w:sz w:val="20"/>
                <w:szCs w:val="20"/>
              </w:rPr>
              <w:t xml:space="preserve">грудень </w:t>
            </w: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Банки державного сектору</w:t>
            </w:r>
            <w:r>
              <w:rPr>
                <w:color w:val="000000"/>
                <w:sz w:val="20"/>
                <w:szCs w:val="20"/>
              </w:rPr>
              <w:br/>
              <w:t>(Ощадбанк,</w:t>
            </w:r>
            <w:r>
              <w:rPr>
                <w:color w:val="000000"/>
                <w:sz w:val="20"/>
                <w:szCs w:val="20"/>
              </w:rPr>
              <w:br/>
              <w:t>Укрексімбанк,</w:t>
            </w:r>
            <w:r>
              <w:rPr>
                <w:color w:val="000000"/>
                <w:sz w:val="20"/>
                <w:szCs w:val="20"/>
              </w:rPr>
              <w:br/>
              <w:t>Приватбанк,</w:t>
            </w:r>
            <w:r>
              <w:rPr>
                <w:color w:val="000000"/>
                <w:sz w:val="20"/>
                <w:szCs w:val="20"/>
              </w:rPr>
              <w:br/>
              <w:t>Укргазбанк)</w:t>
            </w:r>
            <w:r>
              <w:rPr>
                <w:color w:val="000000"/>
                <w:sz w:val="20"/>
                <w:szCs w:val="20"/>
              </w:rPr>
              <w:br/>
              <w:t>Мінфін,</w:t>
            </w:r>
            <w:r>
              <w:rPr>
                <w:color w:val="000000"/>
                <w:sz w:val="20"/>
                <w:szCs w:val="20"/>
              </w:rPr>
              <w:br/>
              <w:t>СКМУ</w:t>
            </w:r>
          </w:p>
        </w:tc>
      </w:tr>
      <w:tr w:rsidR="00480643" w:rsidTr="00F47649">
        <w:trPr>
          <w:trHeight w:val="7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Оновлення Засад стратегічного реформування державного банківського сектору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80643">
              <w:rPr>
                <w:color w:val="000000"/>
                <w:sz w:val="20"/>
                <w:szCs w:val="20"/>
              </w:rPr>
              <w:t>Адміністративноорганізаційне</w:t>
            </w:r>
            <w:proofErr w:type="spellEnd"/>
            <w:r w:rsidRPr="00480643">
              <w:rPr>
                <w:color w:val="000000"/>
                <w:sz w:val="20"/>
                <w:szCs w:val="20"/>
              </w:rPr>
              <w:t xml:space="preserve"> забезпечення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021E34">
            <w:pPr>
              <w:rPr>
                <w:color w:val="000000"/>
                <w:sz w:val="20"/>
                <w:szCs w:val="20"/>
              </w:rPr>
            </w:pPr>
          </w:p>
        </w:tc>
      </w:tr>
      <w:tr w:rsidR="00480643" w:rsidTr="00F47649">
        <w:trPr>
          <w:trHeight w:val="64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Забезпечення ефективного корпоративного управління в банках державного сектору та </w:t>
            </w:r>
            <w:r>
              <w:rPr>
                <w:color w:val="000000"/>
                <w:sz w:val="20"/>
                <w:szCs w:val="20"/>
              </w:rPr>
              <w:lastRenderedPageBreak/>
              <w:t>ефективної взаємодії між банками та акціонером (гарантуючи при цьому комерційну незалежність банку)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Розробка та підписання меморандумів про співпрацю з наглядовими радами банків державного сектору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80643">
              <w:rPr>
                <w:color w:val="000000"/>
                <w:sz w:val="20"/>
                <w:szCs w:val="20"/>
              </w:rPr>
              <w:t>Адміністративноорганізаційне</w:t>
            </w:r>
            <w:proofErr w:type="spellEnd"/>
            <w:r w:rsidRPr="00480643">
              <w:rPr>
                <w:color w:val="000000"/>
                <w:sz w:val="20"/>
                <w:szCs w:val="20"/>
              </w:rPr>
              <w:t xml:space="preserve"> забезпечення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  <w:r w:rsidRPr="00480643">
              <w:rPr>
                <w:color w:val="000000"/>
                <w:sz w:val="20"/>
                <w:szCs w:val="20"/>
              </w:rPr>
              <w:t>грудень 2019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грудень</w:t>
            </w:r>
          </w:p>
          <w:p w:rsidR="00480643" w:rsidRPr="00480643" w:rsidRDefault="00480643" w:rsidP="00480643">
            <w:pPr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DB54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Банки державного сектору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(Ощадбанк,</w:t>
            </w:r>
            <w:r>
              <w:rPr>
                <w:color w:val="000000"/>
                <w:sz w:val="20"/>
                <w:szCs w:val="20"/>
              </w:rPr>
              <w:br/>
              <w:t>Укрексімбанк,</w:t>
            </w:r>
            <w:r>
              <w:rPr>
                <w:color w:val="000000"/>
                <w:sz w:val="20"/>
                <w:szCs w:val="20"/>
              </w:rPr>
              <w:br/>
              <w:t>Приватбанк)</w:t>
            </w:r>
            <w:r>
              <w:rPr>
                <w:color w:val="000000"/>
                <w:sz w:val="20"/>
                <w:szCs w:val="20"/>
              </w:rPr>
              <w:br/>
              <w:t>Мінфін,</w:t>
            </w:r>
            <w:r>
              <w:rPr>
                <w:color w:val="000000"/>
                <w:sz w:val="20"/>
                <w:szCs w:val="20"/>
              </w:rPr>
              <w:br/>
              <w:t>СКМУ</w:t>
            </w:r>
          </w:p>
        </w:tc>
      </w:tr>
      <w:tr w:rsidR="00480643" w:rsidTr="00F47649">
        <w:trPr>
          <w:trHeight w:val="64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Визначення ключових показників ефективності для банків державного сектору та запровадження моніторингу їх досягнення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80643">
              <w:rPr>
                <w:color w:val="000000"/>
                <w:sz w:val="20"/>
                <w:szCs w:val="20"/>
              </w:rPr>
              <w:t>Адміністративноорганізаційне</w:t>
            </w:r>
            <w:proofErr w:type="spellEnd"/>
            <w:r w:rsidRPr="00480643">
              <w:rPr>
                <w:color w:val="000000"/>
                <w:sz w:val="20"/>
                <w:szCs w:val="20"/>
              </w:rPr>
              <w:t xml:space="preserve"> забезпечення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</w:p>
        </w:tc>
      </w:tr>
      <w:tr w:rsidR="00480643" w:rsidTr="00F47649">
        <w:trPr>
          <w:trHeight w:val="71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0643" w:rsidRDefault="00480643" w:rsidP="00DB54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Співпраця з наглядовими радами банків державного сектору щодо вирішення проблеми </w:t>
            </w:r>
            <w:r w:rsidRPr="001A27FF">
              <w:rPr>
                <w:color w:val="000000"/>
                <w:sz w:val="20"/>
                <w:szCs w:val="20"/>
              </w:rPr>
              <w:t xml:space="preserve">«непрацюючих кредитів» та зменшення </w:t>
            </w:r>
            <w:r w:rsidR="00DB54DF">
              <w:rPr>
                <w:color w:val="000000"/>
                <w:sz w:val="20"/>
                <w:szCs w:val="20"/>
              </w:rPr>
              <w:t xml:space="preserve">їх </w:t>
            </w:r>
            <w:r w:rsidRPr="001A27FF">
              <w:rPr>
                <w:color w:val="000000"/>
                <w:sz w:val="20"/>
                <w:szCs w:val="20"/>
              </w:rPr>
              <w:t>частки в кредитних портфелях банків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Розробка та затвердження наглядовими радами державних банків стратегії управління проблемними активами та здійснення моніторингу її реалізації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80643">
              <w:rPr>
                <w:color w:val="000000"/>
                <w:sz w:val="20"/>
                <w:szCs w:val="20"/>
              </w:rPr>
              <w:t>Адміністративноорганізаційне</w:t>
            </w:r>
            <w:proofErr w:type="spellEnd"/>
            <w:r w:rsidRPr="00480643">
              <w:rPr>
                <w:color w:val="000000"/>
                <w:sz w:val="20"/>
                <w:szCs w:val="20"/>
              </w:rPr>
              <w:t xml:space="preserve"> забезпечення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січень 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480643" w:rsidRDefault="00480643" w:rsidP="00480643">
            <w:pPr>
              <w:rPr>
                <w:color w:val="000000"/>
                <w:sz w:val="20"/>
                <w:szCs w:val="20"/>
              </w:rPr>
            </w:pPr>
            <w:r w:rsidRPr="00480643">
              <w:rPr>
                <w:color w:val="000000"/>
                <w:sz w:val="20"/>
                <w:szCs w:val="20"/>
              </w:rPr>
              <w:t>грудень</w:t>
            </w:r>
          </w:p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DF" w:rsidRDefault="00480643" w:rsidP="00BC4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Банки державного сектору</w:t>
            </w:r>
            <w:r>
              <w:rPr>
                <w:color w:val="000000"/>
                <w:sz w:val="20"/>
                <w:szCs w:val="20"/>
              </w:rPr>
              <w:br/>
              <w:t>(Ощадбанк,</w:t>
            </w:r>
            <w:r>
              <w:rPr>
                <w:color w:val="000000"/>
                <w:sz w:val="20"/>
                <w:szCs w:val="20"/>
              </w:rPr>
              <w:br/>
              <w:t>Укрексімбанк,</w:t>
            </w:r>
            <w:r>
              <w:rPr>
                <w:color w:val="000000"/>
                <w:sz w:val="20"/>
                <w:szCs w:val="20"/>
              </w:rPr>
              <w:br/>
              <w:t>Приватбанк,</w:t>
            </w:r>
          </w:p>
          <w:p w:rsidR="00480643" w:rsidRDefault="00DB54DF" w:rsidP="00BC45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B54DF">
              <w:rPr>
                <w:color w:val="000000"/>
                <w:sz w:val="20"/>
                <w:szCs w:val="20"/>
              </w:rPr>
              <w:t>Укргазбанк</w:t>
            </w:r>
            <w:proofErr w:type="spellEnd"/>
            <w:r w:rsidR="00480643">
              <w:rPr>
                <w:color w:val="000000"/>
                <w:sz w:val="20"/>
                <w:szCs w:val="20"/>
              </w:rPr>
              <w:t>)</w:t>
            </w:r>
            <w:r w:rsidR="00480643">
              <w:rPr>
                <w:color w:val="000000"/>
                <w:sz w:val="20"/>
                <w:szCs w:val="20"/>
              </w:rPr>
              <w:br/>
              <w:t>Мінфін,</w:t>
            </w:r>
            <w:r w:rsidR="00480643">
              <w:rPr>
                <w:color w:val="000000"/>
                <w:sz w:val="20"/>
                <w:szCs w:val="20"/>
              </w:rPr>
              <w:br/>
              <w:t>СКМУ,</w:t>
            </w:r>
            <w:r w:rsidR="00480643">
              <w:rPr>
                <w:color w:val="000000"/>
                <w:sz w:val="20"/>
                <w:szCs w:val="20"/>
              </w:rPr>
              <w:br/>
              <w:t>НБУ</w:t>
            </w:r>
          </w:p>
        </w:tc>
      </w:tr>
      <w:tr w:rsidR="00480643" w:rsidTr="00F47649">
        <w:trPr>
          <w:trHeight w:val="7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 питань виконання планів реалізації стратегії управління проблемними активами на засіданнях Ради фінансової стабільності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80643">
              <w:rPr>
                <w:color w:val="000000"/>
                <w:sz w:val="20"/>
                <w:szCs w:val="20"/>
              </w:rPr>
              <w:t>Адміністративноорганізаційне</w:t>
            </w:r>
            <w:proofErr w:type="spellEnd"/>
            <w:r w:rsidRPr="00480643">
              <w:rPr>
                <w:color w:val="000000"/>
                <w:sz w:val="20"/>
                <w:szCs w:val="20"/>
              </w:rPr>
              <w:t xml:space="preserve"> забезпечення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Default="00480643" w:rsidP="00480643">
            <w:pPr>
              <w:rPr>
                <w:color w:val="000000"/>
                <w:sz w:val="20"/>
                <w:szCs w:val="20"/>
              </w:rPr>
            </w:pPr>
          </w:p>
        </w:tc>
      </w:tr>
      <w:tr w:rsidR="00480643" w:rsidRPr="00052ED7" w:rsidTr="00F47649">
        <w:trPr>
          <w:trHeight w:val="4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 xml:space="preserve">Підціль 3. </w:t>
            </w:r>
          </w:p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>Забезпечення ефективної та прозорої співпраці з міжнародними фінансовими організаціями</w:t>
            </w:r>
          </w:p>
          <w:p w:rsidR="00480643" w:rsidRPr="00052ED7" w:rsidRDefault="00480643" w:rsidP="00480643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>1) Залучення довгострокового пільгового фінансування та розбудова нових партнерських відносин з іноземними партнерами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 xml:space="preserve">Проведення переговорів з іноземними країнами, МФО з метою обговорення параметрів потенційних угод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0643" w:rsidRPr="00052ED7" w:rsidRDefault="00D41179" w:rsidP="00480643">
            <w:pPr>
              <w:rPr>
                <w:sz w:val="20"/>
              </w:rPr>
            </w:pPr>
            <w:proofErr w:type="spellStart"/>
            <w:r w:rsidRPr="00D41179">
              <w:rPr>
                <w:sz w:val="20"/>
              </w:rPr>
              <w:t>Адміністративноорганізаційне</w:t>
            </w:r>
            <w:proofErr w:type="spellEnd"/>
            <w:r w:rsidRPr="00D4117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та нормативне </w:t>
            </w:r>
            <w:r w:rsidRPr="00D41179">
              <w:rPr>
                <w:sz w:val="20"/>
              </w:rPr>
              <w:t>забезпечення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D41179" w:rsidP="00480643">
            <w:pPr>
              <w:rPr>
                <w:sz w:val="20"/>
              </w:rPr>
            </w:pPr>
            <w:r w:rsidRPr="00D41179">
              <w:rPr>
                <w:sz w:val="20"/>
              </w:rPr>
              <w:t>січень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179" w:rsidRPr="00D41179" w:rsidRDefault="00D41179" w:rsidP="00D41179">
            <w:pPr>
              <w:rPr>
                <w:sz w:val="20"/>
              </w:rPr>
            </w:pPr>
            <w:r w:rsidRPr="00D41179">
              <w:rPr>
                <w:sz w:val="20"/>
              </w:rPr>
              <w:t>грудень</w:t>
            </w:r>
          </w:p>
          <w:p w:rsidR="00480643" w:rsidRPr="00052ED7" w:rsidRDefault="00D41179" w:rsidP="00D41179">
            <w:pPr>
              <w:rPr>
                <w:sz w:val="20"/>
              </w:rPr>
            </w:pPr>
            <w:r w:rsidRPr="00D41179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>Мінфін,</w:t>
            </w:r>
            <w:r w:rsidRPr="00052ED7">
              <w:rPr>
                <w:sz w:val="20"/>
              </w:rPr>
              <w:br/>
              <w:t>МЗС</w:t>
            </w:r>
          </w:p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>ЦОВВ</w:t>
            </w:r>
          </w:p>
        </w:tc>
      </w:tr>
      <w:tr w:rsidR="00480643" w:rsidRPr="00052ED7" w:rsidTr="00F47649">
        <w:trPr>
          <w:trHeight w:val="143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Pr="00052ED7" w:rsidRDefault="00480643" w:rsidP="0048064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>2) Забезпечення першочергової підготовки проектів МФО в секторах, які визначені пріоритетними в національних стратегічних та програмних документах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>Здійснення підготовки проектів МФО у пріоритетних секторах економіки України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0643" w:rsidRPr="00052ED7" w:rsidRDefault="00D41179" w:rsidP="00480643">
            <w:pPr>
              <w:rPr>
                <w:sz w:val="20"/>
              </w:rPr>
            </w:pPr>
            <w:proofErr w:type="spellStart"/>
            <w:r w:rsidRPr="00D41179">
              <w:rPr>
                <w:sz w:val="20"/>
              </w:rPr>
              <w:t>Адміністративноорганізаційне</w:t>
            </w:r>
            <w:proofErr w:type="spellEnd"/>
            <w:r w:rsidRPr="00D41179">
              <w:rPr>
                <w:sz w:val="20"/>
              </w:rPr>
              <w:t xml:space="preserve"> та нормативне забезпечення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D41179" w:rsidP="00480643">
            <w:pPr>
              <w:rPr>
                <w:sz w:val="20"/>
              </w:rPr>
            </w:pPr>
            <w:r w:rsidRPr="00D41179">
              <w:rPr>
                <w:sz w:val="20"/>
              </w:rPr>
              <w:t>січень 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179" w:rsidRPr="00D41179" w:rsidRDefault="00D41179" w:rsidP="00D41179">
            <w:pPr>
              <w:rPr>
                <w:sz w:val="20"/>
              </w:rPr>
            </w:pPr>
            <w:r w:rsidRPr="00D41179">
              <w:rPr>
                <w:sz w:val="20"/>
              </w:rPr>
              <w:t>грудень</w:t>
            </w:r>
          </w:p>
          <w:p w:rsidR="00480643" w:rsidRPr="00052ED7" w:rsidRDefault="00D41179" w:rsidP="00D41179">
            <w:pPr>
              <w:rPr>
                <w:sz w:val="20"/>
              </w:rPr>
            </w:pPr>
            <w:r w:rsidRPr="00D41179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>Мінфін,</w:t>
            </w:r>
            <w:r w:rsidRPr="00052ED7">
              <w:rPr>
                <w:sz w:val="20"/>
              </w:rPr>
              <w:br/>
              <w:t>ЦОВВ</w:t>
            </w:r>
          </w:p>
        </w:tc>
      </w:tr>
      <w:tr w:rsidR="00480643" w:rsidRPr="00052ED7" w:rsidTr="00F47649">
        <w:trPr>
          <w:trHeight w:val="64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Pr="00052ED7" w:rsidRDefault="00480643" w:rsidP="0048064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Pr="00052ED7" w:rsidRDefault="00480643" w:rsidP="00480643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 xml:space="preserve">3) Зміцнення спроможності української сторони ефективно використовувати ресурси МФО  </w:t>
            </w:r>
          </w:p>
          <w:p w:rsidR="00480643" w:rsidRPr="00052ED7" w:rsidRDefault="00480643" w:rsidP="00480643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 xml:space="preserve">Проведення переглядів портфелів в розрізі партнерів МФО (ЄІБ, ЄБРР, Світовий банк, </w:t>
            </w:r>
            <w:proofErr w:type="spellStart"/>
            <w:r w:rsidRPr="00052ED7">
              <w:rPr>
                <w:sz w:val="20"/>
              </w:rPr>
              <w:t>KfW</w:t>
            </w:r>
            <w:proofErr w:type="spellEnd"/>
            <w:r w:rsidRPr="00052ED7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43" w:rsidRPr="00052ED7" w:rsidRDefault="00D41179" w:rsidP="00480643">
            <w:pPr>
              <w:rPr>
                <w:sz w:val="20"/>
              </w:rPr>
            </w:pPr>
            <w:proofErr w:type="spellStart"/>
            <w:r w:rsidRPr="00D41179">
              <w:rPr>
                <w:sz w:val="20"/>
              </w:rPr>
              <w:t>Адміністративноорганізаційне</w:t>
            </w:r>
            <w:proofErr w:type="spellEnd"/>
            <w:r w:rsidRPr="00D41179">
              <w:rPr>
                <w:sz w:val="20"/>
              </w:rPr>
              <w:t xml:space="preserve"> забезпечення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D41179" w:rsidP="00480643">
            <w:pPr>
              <w:rPr>
                <w:sz w:val="20"/>
              </w:rPr>
            </w:pPr>
            <w:r>
              <w:rPr>
                <w:sz w:val="20"/>
              </w:rPr>
              <w:t>квітень 2020</w:t>
            </w:r>
          </w:p>
          <w:p w:rsidR="00480643" w:rsidRPr="00052ED7" w:rsidRDefault="00480643" w:rsidP="00480643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79" w:rsidRPr="00D41179" w:rsidRDefault="00480643" w:rsidP="00D41179">
            <w:pPr>
              <w:rPr>
                <w:sz w:val="20"/>
              </w:rPr>
            </w:pPr>
            <w:r w:rsidRPr="00052ED7">
              <w:rPr>
                <w:sz w:val="20"/>
              </w:rPr>
              <w:t> </w:t>
            </w:r>
            <w:r w:rsidR="00D41179" w:rsidRPr="00D41179">
              <w:rPr>
                <w:sz w:val="20"/>
              </w:rPr>
              <w:t>грудень</w:t>
            </w:r>
          </w:p>
          <w:p w:rsidR="00480643" w:rsidRPr="00052ED7" w:rsidRDefault="00D41179" w:rsidP="00D41179">
            <w:pPr>
              <w:rPr>
                <w:sz w:val="20"/>
              </w:rPr>
            </w:pPr>
            <w:r w:rsidRPr="00D41179">
              <w:rPr>
                <w:sz w:val="20"/>
              </w:rPr>
              <w:t>2024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>Мінфін,</w:t>
            </w:r>
          </w:p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>ЦОВВ,</w:t>
            </w:r>
          </w:p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>МФО</w:t>
            </w:r>
            <w:r w:rsidRPr="00052ED7">
              <w:rPr>
                <w:sz w:val="20"/>
              </w:rPr>
              <w:br/>
            </w:r>
          </w:p>
        </w:tc>
      </w:tr>
      <w:tr w:rsidR="00480643" w:rsidRPr="00052ED7" w:rsidTr="00F47649">
        <w:trPr>
          <w:trHeight w:val="64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Pr="00052ED7" w:rsidRDefault="00480643" w:rsidP="0048064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Pr="00052ED7" w:rsidRDefault="00480643" w:rsidP="00480643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 xml:space="preserve">Проведення тренінгів для працівників ЦОВВ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0643" w:rsidRPr="00052ED7" w:rsidRDefault="00D41179" w:rsidP="00480643">
            <w:pPr>
              <w:rPr>
                <w:sz w:val="20"/>
              </w:rPr>
            </w:pPr>
            <w:proofErr w:type="spellStart"/>
            <w:r w:rsidRPr="00D41179">
              <w:rPr>
                <w:sz w:val="20"/>
              </w:rPr>
              <w:t>Адміністративноорганізаційне</w:t>
            </w:r>
            <w:proofErr w:type="spellEnd"/>
            <w:r w:rsidRPr="00D41179">
              <w:rPr>
                <w:sz w:val="20"/>
              </w:rPr>
              <w:t xml:space="preserve"> забезпечення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</w:p>
        </w:tc>
      </w:tr>
      <w:tr w:rsidR="00480643" w:rsidRPr="00052ED7" w:rsidTr="00F47649">
        <w:trPr>
          <w:trHeight w:val="12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Pr="00052ED7" w:rsidRDefault="00480643" w:rsidP="0048064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43" w:rsidRPr="00052ED7" w:rsidRDefault="00480643" w:rsidP="00480643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>4) Удосконалення системи моніторингу реалізації проектів МФО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0643" w:rsidRPr="00052ED7" w:rsidRDefault="00480643" w:rsidP="00480643">
            <w:pPr>
              <w:rPr>
                <w:sz w:val="20"/>
              </w:rPr>
            </w:pPr>
            <w:r w:rsidRPr="00052ED7">
              <w:rPr>
                <w:sz w:val="20"/>
              </w:rPr>
              <w:t>Забезпечення ефективного функціонування (наповнення, постійне оновлення) порталу реєстру проектів соціального і економічного розвитку України, які реалізуються із залученням коштів міжнародних фінансових організацій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0643" w:rsidRPr="00052ED7" w:rsidRDefault="00D41179" w:rsidP="00480643">
            <w:pPr>
              <w:rPr>
                <w:sz w:val="20"/>
              </w:rPr>
            </w:pPr>
            <w:proofErr w:type="spellStart"/>
            <w:r w:rsidRPr="00D41179">
              <w:rPr>
                <w:sz w:val="20"/>
              </w:rPr>
              <w:t>Адміністративноорганізаційне</w:t>
            </w:r>
            <w:proofErr w:type="spellEnd"/>
            <w:r w:rsidRPr="00D41179">
              <w:rPr>
                <w:sz w:val="20"/>
              </w:rPr>
              <w:t xml:space="preserve"> забезпечення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CA472C" w:rsidRDefault="006B0CB2" w:rsidP="00480643">
            <w:pPr>
              <w:rPr>
                <w:sz w:val="20"/>
              </w:rPr>
            </w:pPr>
            <w:r w:rsidRPr="00CA472C">
              <w:rPr>
                <w:sz w:val="20"/>
              </w:rPr>
              <w:t xml:space="preserve">вересень </w:t>
            </w:r>
            <w:r w:rsidR="00480643" w:rsidRPr="00CA472C">
              <w:rPr>
                <w:sz w:val="2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CA472C" w:rsidRDefault="006B0CB2" w:rsidP="00480643">
            <w:pPr>
              <w:rPr>
                <w:sz w:val="20"/>
              </w:rPr>
            </w:pPr>
            <w:r w:rsidRPr="00CA472C">
              <w:rPr>
                <w:sz w:val="20"/>
              </w:rPr>
              <w:t xml:space="preserve">грудень </w:t>
            </w:r>
            <w:r w:rsidR="00480643" w:rsidRPr="00CA472C">
              <w:rPr>
                <w:sz w:val="20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43" w:rsidRPr="00CA472C" w:rsidRDefault="00480643" w:rsidP="00480643">
            <w:pPr>
              <w:rPr>
                <w:sz w:val="20"/>
              </w:rPr>
            </w:pPr>
            <w:r w:rsidRPr="00CA472C">
              <w:rPr>
                <w:sz w:val="20"/>
              </w:rPr>
              <w:t>Мінфін,</w:t>
            </w:r>
            <w:r w:rsidR="006B0CB2" w:rsidRPr="00CA472C">
              <w:rPr>
                <w:sz w:val="20"/>
              </w:rPr>
              <w:t xml:space="preserve"> ЦОВВ</w:t>
            </w:r>
            <w:r w:rsidRPr="00CA472C">
              <w:rPr>
                <w:sz w:val="20"/>
              </w:rPr>
              <w:br/>
            </w:r>
          </w:p>
        </w:tc>
      </w:tr>
    </w:tbl>
    <w:p w:rsidR="00052ED7" w:rsidRDefault="00052ED7" w:rsidP="00DB54DF"/>
    <w:sectPr w:rsidR="00052ED7" w:rsidSect="000D691E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5A5F5"/>
    <w:multiLevelType w:val="hybridMultilevel"/>
    <w:tmpl w:val="C6346816"/>
    <w:lvl w:ilvl="0" w:tplc="6E96E8E8">
      <w:start w:val="1"/>
      <w:numFmt w:val="decimal"/>
      <w:lvlText w:val="%1)"/>
      <w:lvlJc w:val="left"/>
    </w:lvl>
    <w:lvl w:ilvl="1" w:tplc="BECE7FDE">
      <w:numFmt w:val="decimal"/>
      <w:lvlText w:val=""/>
      <w:lvlJc w:val="left"/>
    </w:lvl>
    <w:lvl w:ilvl="2" w:tplc="C554B128">
      <w:numFmt w:val="decimal"/>
      <w:lvlText w:val=""/>
      <w:lvlJc w:val="left"/>
    </w:lvl>
    <w:lvl w:ilvl="3" w:tplc="CBC25E10">
      <w:numFmt w:val="decimal"/>
      <w:lvlText w:val=""/>
      <w:lvlJc w:val="left"/>
    </w:lvl>
    <w:lvl w:ilvl="4" w:tplc="258CD03E">
      <w:numFmt w:val="decimal"/>
      <w:lvlText w:val=""/>
      <w:lvlJc w:val="left"/>
    </w:lvl>
    <w:lvl w:ilvl="5" w:tplc="89B681DC">
      <w:numFmt w:val="decimal"/>
      <w:lvlText w:val=""/>
      <w:lvlJc w:val="left"/>
    </w:lvl>
    <w:lvl w:ilvl="6" w:tplc="713A3B66">
      <w:numFmt w:val="decimal"/>
      <w:lvlText w:val=""/>
      <w:lvlJc w:val="left"/>
    </w:lvl>
    <w:lvl w:ilvl="7" w:tplc="21287040">
      <w:numFmt w:val="decimal"/>
      <w:lvlText w:val=""/>
      <w:lvlJc w:val="left"/>
    </w:lvl>
    <w:lvl w:ilvl="8" w:tplc="B95221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1E"/>
    <w:rsid w:val="000114CA"/>
    <w:rsid w:val="00021E34"/>
    <w:rsid w:val="00052ED7"/>
    <w:rsid w:val="00085C0A"/>
    <w:rsid w:val="000D691E"/>
    <w:rsid w:val="00165A47"/>
    <w:rsid w:val="001A27FF"/>
    <w:rsid w:val="00283EC7"/>
    <w:rsid w:val="003050EC"/>
    <w:rsid w:val="003744BB"/>
    <w:rsid w:val="003816CD"/>
    <w:rsid w:val="00480643"/>
    <w:rsid w:val="006B0CB2"/>
    <w:rsid w:val="00746F6E"/>
    <w:rsid w:val="00853591"/>
    <w:rsid w:val="008A7539"/>
    <w:rsid w:val="009240C7"/>
    <w:rsid w:val="009D080C"/>
    <w:rsid w:val="009E5E1A"/>
    <w:rsid w:val="00A03E39"/>
    <w:rsid w:val="00BC45D3"/>
    <w:rsid w:val="00CA472C"/>
    <w:rsid w:val="00D41179"/>
    <w:rsid w:val="00DB54DF"/>
    <w:rsid w:val="00E3341D"/>
    <w:rsid w:val="00E83415"/>
    <w:rsid w:val="00F47649"/>
    <w:rsid w:val="00F478B3"/>
    <w:rsid w:val="00F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34577-9831-4177-9EDB-3E9A292F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1E"/>
    <w:pPr>
      <w:spacing w:after="0" w:line="240" w:lineRule="auto"/>
      <w:ind w:firstLine="0"/>
      <w:jc w:val="left"/>
    </w:pPr>
    <w:rPr>
      <w:rFonts w:eastAsiaTheme="minorEastAsia"/>
      <w:sz w:val="22"/>
      <w:szCs w:val="22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59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3591"/>
    <w:rPr>
      <w:rFonts w:ascii="Segoe UI" w:eastAsiaTheme="minorEastAsia" w:hAnsi="Segoe UI" w:cs="Segoe UI"/>
      <w:sz w:val="18"/>
      <w:szCs w:val="18"/>
      <w:lang w:eastAsia="uk-UA"/>
    </w:rPr>
  </w:style>
  <w:style w:type="table" w:styleId="a5">
    <w:name w:val="Table Grid"/>
    <w:basedOn w:val="a1"/>
    <w:uiPriority w:val="39"/>
    <w:rsid w:val="009D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3021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Мартиненко Володимир Васильович</dc:creator>
  <cp:keywords/>
  <dc:description/>
  <cp:lastModifiedBy>Дроздова Тетяна Іванівна</cp:lastModifiedBy>
  <cp:revision>7</cp:revision>
  <cp:lastPrinted>2019-12-27T13:35:00Z</cp:lastPrinted>
  <dcterms:created xsi:type="dcterms:W3CDTF">2019-12-27T07:52:00Z</dcterms:created>
  <dcterms:modified xsi:type="dcterms:W3CDTF">2019-12-27T13:37:00Z</dcterms:modified>
</cp:coreProperties>
</file>