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4BBC" w:rsidRDefault="008F0BCB">
      <w:pPr>
        <w:spacing w:after="200" w:line="276" w:lineRule="auto"/>
        <w:jc w:val="right"/>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6.6</w:t>
      </w:r>
    </w:p>
    <w:p w14:paraId="00000002" w14:textId="77777777" w:rsidR="00414BBC" w:rsidRDefault="008F0BC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Концепція державної політики</w:t>
      </w:r>
    </w:p>
    <w:p w14:paraId="00000003" w14:textId="77777777" w:rsidR="00414BBC" w:rsidRDefault="008F0BCB">
      <w:pPr>
        <w:pStyle w:val="2"/>
        <w:jc w:val="center"/>
      </w:pPr>
      <w:r>
        <w:rPr>
          <w:rFonts w:ascii="Times New Roman" w:eastAsia="Times New Roman" w:hAnsi="Times New Roman" w:cs="Times New Roman"/>
          <w:sz w:val="24"/>
          <w:szCs w:val="24"/>
        </w:rPr>
        <w:t>по досягненню цілі «Українці та добросовісний бізнес захищені від фінансового шахрайства» Програми діяльності Кабінету Міністрів України</w:t>
      </w:r>
    </w:p>
    <w:p w14:paraId="00000004" w14:textId="77777777" w:rsidR="00414BBC" w:rsidRDefault="00414BBC">
      <w:pPr>
        <w:jc w:val="both"/>
        <w:rPr>
          <w:rFonts w:ascii="Times New Roman" w:eastAsia="Times New Roman" w:hAnsi="Times New Roman" w:cs="Times New Roman"/>
          <w:b/>
          <w:sz w:val="24"/>
          <w:szCs w:val="24"/>
        </w:rPr>
      </w:pPr>
    </w:p>
    <w:p w14:paraId="00000005" w14:textId="77777777" w:rsidR="00414BBC" w:rsidRDefault="008F0BCB">
      <w:pPr>
        <w:numPr>
          <w:ilvl w:val="0"/>
          <w:numId w:val="3"/>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ПОЛІТИКИ</w:t>
      </w:r>
    </w:p>
    <w:p w14:paraId="00000006"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Проблема</w:t>
      </w:r>
    </w:p>
    <w:p w14:paraId="00000007" w14:textId="77777777" w:rsidR="00414BBC" w:rsidRDefault="008F0BCB">
      <w:pPr>
        <w:widowControl w:val="0"/>
        <w:pBdr>
          <w:top w:val="nil"/>
          <w:left w:val="nil"/>
          <w:bottom w:val="nil"/>
          <w:right w:val="nil"/>
          <w:between w:val="nil"/>
        </w:pBdr>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громадян України та суб’єктів господарської діяльності  - сумлінних платників податків критично необхідними є забезпечення державою ефективної протидії фінансовим злочинам та зниження рівня шкоди завданої ними. </w:t>
      </w:r>
    </w:p>
    <w:p w14:paraId="00000008"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Носій проблеми</w:t>
      </w:r>
      <w:r>
        <w:rPr>
          <w:rFonts w:ascii="Times New Roman" w:eastAsia="Times New Roman" w:hAnsi="Times New Roman" w:cs="Times New Roman"/>
          <w:sz w:val="24"/>
          <w:szCs w:val="24"/>
        </w:rPr>
        <w:t xml:space="preserve"> </w:t>
      </w:r>
    </w:p>
    <w:p w14:paraId="00000009" w14:textId="77777777" w:rsidR="00414BBC" w:rsidRDefault="008F0BCB">
      <w:pPr>
        <w:widowControl w:val="0"/>
        <w:pBdr>
          <w:top w:val="nil"/>
          <w:left w:val="nil"/>
          <w:bottom w:val="nil"/>
          <w:right w:val="nil"/>
          <w:between w:val="nil"/>
        </w:pBdr>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Платники податків України: юридичні особи та фізичні особи – платники податків.  </w:t>
      </w:r>
    </w:p>
    <w:p w14:paraId="0000000A"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Масштаб проблеми: </w:t>
      </w:r>
    </w:p>
    <w:p w14:paraId="0000000B" w14:textId="77777777" w:rsidR="00414BBC" w:rsidRDefault="008F0BCB">
      <w:pPr>
        <w:widowControl w:val="0"/>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Загальнонаціональна – питання ефективної протидії фінансовим злочинам та зниження рівня шкоди завданої ними є загальнонаціональним, оскільки забезпечення ефективного функціонування інститутів, які гарантуватимуть верховенство права, додержання прав та інтересів фізичних та юридичних осіб, їх ефективний захист, встановлюються для всіх платників податків на загальнодержавному рівні. </w:t>
      </w:r>
    </w:p>
    <w:p w14:paraId="0000000C" w14:textId="77777777" w:rsidR="00414BBC" w:rsidRDefault="008F0BCB">
      <w:pPr>
        <w:widowControl w:val="0"/>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Платники податків: 1,4 млн. юридичних осіб,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2 594 – великі платники податків; 1,94 млн. – фізичних осіб – підприємців; 44,48 млн. - фізичних осіб. </w:t>
      </w:r>
    </w:p>
    <w:p w14:paraId="0000000D"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Гострота проблеми: </w:t>
      </w:r>
    </w:p>
    <w:p w14:paraId="0000000E" w14:textId="77777777" w:rsidR="00414BBC" w:rsidRDefault="008F0BCB">
      <w:pPr>
        <w:widowControl w:val="0"/>
        <w:pBdr>
          <w:top w:val="nil"/>
          <w:left w:val="nil"/>
          <w:bottom w:val="nil"/>
          <w:right w:val="nil"/>
          <w:between w:val="nil"/>
        </w:pBdr>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Гострота проблеми щодо ефективної протидії фінансовим злочинам та зниження рівня шкоди завданої ними є гострою для всіх категорій платників податків. На даний момент гостро стоїть питання зниження рівня фінансового шахрайства, унеможливлення діяльності конвертаційних центрів та центрів мінімізації, інших інструментів ухилення від сплати податків. Також, необхідними є зміни у сфері фінансового моніторингу з метою забезпечення </w:t>
      </w:r>
      <w:proofErr w:type="spellStart"/>
      <w:r>
        <w:rPr>
          <w:rFonts w:ascii="Times New Roman" w:eastAsia="Times New Roman" w:hAnsi="Times New Roman" w:cs="Times New Roman"/>
          <w:sz w:val="24"/>
          <w:szCs w:val="24"/>
        </w:rPr>
        <w:t>деофшоризації</w:t>
      </w:r>
      <w:proofErr w:type="spellEnd"/>
      <w:r>
        <w:rPr>
          <w:rFonts w:ascii="Times New Roman" w:eastAsia="Times New Roman" w:hAnsi="Times New Roman" w:cs="Times New Roman"/>
          <w:sz w:val="24"/>
          <w:szCs w:val="24"/>
        </w:rPr>
        <w:t xml:space="preserve"> та ризик-орієнтованого підходу до попередження зловживань. Враховуючи триваючу процедуру ліквідації ДФС, недостатньо ефективну роботи органів податкової міліції, нагальною необхідністю є розділення сервісної та правоохоронної функцій податкової служби, ліквідація податкової міліції, оптимізація структури та чисельності органів, які ведуть боротьбу зі злочинами у сфері фінансів, усунення дублювання їх функцій та створення Бюро фінансових розслідувань.</w:t>
      </w:r>
    </w:p>
    <w:p w14:paraId="0000000F"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Динаміка проблеми</w:t>
      </w:r>
      <w:r>
        <w:rPr>
          <w:rFonts w:ascii="Times New Roman" w:eastAsia="Times New Roman" w:hAnsi="Times New Roman" w:cs="Times New Roman"/>
          <w:sz w:val="24"/>
          <w:szCs w:val="24"/>
        </w:rPr>
        <w:t xml:space="preserve"> </w:t>
      </w:r>
    </w:p>
    <w:p w14:paraId="00000010" w14:textId="77777777" w:rsidR="00414BBC" w:rsidRDefault="008F0BCB">
      <w:pPr>
        <w:widowControl w:val="0"/>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Нейтральна – рівень </w:t>
      </w:r>
      <w:proofErr w:type="spellStart"/>
      <w:r>
        <w:rPr>
          <w:rFonts w:ascii="Times New Roman" w:eastAsia="Times New Roman" w:hAnsi="Times New Roman" w:cs="Times New Roman"/>
          <w:sz w:val="24"/>
          <w:szCs w:val="24"/>
        </w:rPr>
        <w:t>тінізації</w:t>
      </w:r>
      <w:proofErr w:type="spellEnd"/>
      <w:r>
        <w:rPr>
          <w:rFonts w:ascii="Times New Roman" w:eastAsia="Times New Roman" w:hAnsi="Times New Roman" w:cs="Times New Roman"/>
          <w:sz w:val="24"/>
          <w:szCs w:val="24"/>
        </w:rPr>
        <w:t xml:space="preserve"> економіки України у 2019 році за різними оцінками складає від 30 до 40 відсотків ВВП. За останні 5 років він дещо зменшився з 40 - 50 відсотків у 2014 році, але залишається загрозливо високим. Відсутність дієвого механізму протидії фінансовим злочинам з одного боку, прояви надмірного тиску на сумлінних платників податків з іншого, дублювання функцій органів, які ведуть боротьбу зі злочинами у сфері фінансів, створюють низку постійно зростаючих корупційних ризиків, що в свою чергу негативно  позначається на захисті українців та добросовісного бізнесу від фінансового шахрайства. </w:t>
      </w:r>
    </w:p>
    <w:p w14:paraId="00000011"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Причини проблеми</w:t>
      </w:r>
    </w:p>
    <w:p w14:paraId="00000012" w14:textId="77777777" w:rsidR="00414BBC" w:rsidRDefault="008F0BCB">
      <w:pPr>
        <w:widowControl w:val="0"/>
        <w:pBdr>
          <w:top w:val="nil"/>
          <w:left w:val="nil"/>
          <w:bottom w:val="nil"/>
          <w:right w:val="nil"/>
          <w:between w:val="nil"/>
        </w:pBdr>
        <w:ind w:left="987" w:firstLine="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Причина 1 – знаходження значної частини бізнесу в тіні; </w:t>
      </w:r>
    </w:p>
    <w:p w14:paraId="00000013" w14:textId="77777777" w:rsidR="00414BBC" w:rsidRDefault="008F0BCB">
      <w:pPr>
        <w:widowControl w:val="0"/>
        <w:pBdr>
          <w:top w:val="nil"/>
          <w:left w:val="nil"/>
          <w:bottom w:val="nil"/>
          <w:right w:val="nil"/>
          <w:between w:val="nil"/>
        </w:pBdr>
        <w:ind w:left="987" w:firstLine="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2 – недостатньо ефективна боротьба держави з податковим шахрайством;</w:t>
      </w:r>
    </w:p>
    <w:p w14:paraId="00000014"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b/>
          <w:sz w:val="24"/>
          <w:szCs w:val="24"/>
        </w:rPr>
        <w:t>Показники ефективності політики</w:t>
      </w:r>
      <w:r>
        <w:rPr>
          <w:rFonts w:ascii="Times New Roman" w:eastAsia="Times New Roman" w:hAnsi="Times New Roman" w:cs="Times New Roman"/>
          <w:sz w:val="24"/>
          <w:szCs w:val="24"/>
        </w:rPr>
        <w:t xml:space="preserve"> </w:t>
      </w:r>
    </w:p>
    <w:p w14:paraId="00000015" w14:textId="77777777" w:rsidR="00414BBC" w:rsidRDefault="008F0BCB">
      <w:pPr>
        <w:widowControl w:val="0"/>
        <w:pBdr>
          <w:top w:val="nil"/>
          <w:left w:val="nil"/>
          <w:bottom w:val="nil"/>
          <w:right w:val="nil"/>
          <w:between w:val="nil"/>
        </w:pBdr>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Зниження рівня шкоди, завданої фінансовими злочинами.</w:t>
      </w:r>
    </w:p>
    <w:p w14:paraId="00000016" w14:textId="77777777" w:rsidR="00414BBC" w:rsidRDefault="008F0BCB">
      <w:pPr>
        <w:widowControl w:val="0"/>
        <w:numPr>
          <w:ilvl w:val="1"/>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чинної державної політики щодо вирішення проблеми \ її причин  </w:t>
      </w:r>
    </w:p>
    <w:p w14:paraId="00000017" w14:textId="77777777" w:rsidR="00414BBC" w:rsidRDefault="008F0BCB">
      <w:pPr>
        <w:widowControl w:val="0"/>
        <w:pBdr>
          <w:top w:val="nil"/>
          <w:left w:val="nil"/>
          <w:bottom w:val="nil"/>
          <w:right w:val="nil"/>
          <w:between w:val="nil"/>
        </w:pBdr>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Розбудова Нової Державної Податкової Служби на концептуально нових принципах взаємодії з платниками податків;</w:t>
      </w:r>
    </w:p>
    <w:p w14:paraId="00000018" w14:textId="77777777" w:rsidR="00414BBC" w:rsidRDefault="008F0BCB">
      <w:pPr>
        <w:widowControl w:val="0"/>
        <w:pBdr>
          <w:top w:val="nil"/>
          <w:left w:val="nil"/>
          <w:bottom w:val="nil"/>
          <w:right w:val="nil"/>
          <w:between w:val="nil"/>
        </w:pBdr>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Продовження здійснення своїх повноважень та виконання функцій підрозділами </w:t>
      </w:r>
      <w:r>
        <w:rPr>
          <w:rFonts w:ascii="Times New Roman" w:eastAsia="Times New Roman" w:hAnsi="Times New Roman" w:cs="Times New Roman"/>
          <w:sz w:val="24"/>
          <w:szCs w:val="24"/>
        </w:rPr>
        <w:lastRenderedPageBreak/>
        <w:t xml:space="preserve">податкової міліції у складі Державної фіскальної служби відповідно до постанови Кабінету міністрів України № 846 від 25 вересня 2019. </w:t>
      </w:r>
    </w:p>
    <w:p w14:paraId="00000019" w14:textId="77777777" w:rsidR="00414BBC" w:rsidRDefault="008F0BCB">
      <w:pPr>
        <w:widowControl w:val="0"/>
        <w:pBdr>
          <w:top w:val="nil"/>
          <w:left w:val="nil"/>
          <w:bottom w:val="nil"/>
          <w:right w:val="nil"/>
          <w:between w:val="nil"/>
        </w:pBdr>
        <w:ind w:left="9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Прийняття законодавства по імплементації плану BEPS, в тому числі угоди MLI та автоматичного обміну інформацією.  </w:t>
      </w:r>
    </w:p>
    <w:p w14:paraId="0000001A" w14:textId="77777777" w:rsidR="00414BBC" w:rsidRDefault="00414BBC">
      <w:pPr>
        <w:jc w:val="both"/>
        <w:rPr>
          <w:rFonts w:ascii="Times New Roman" w:eastAsia="Times New Roman" w:hAnsi="Times New Roman" w:cs="Times New Roman"/>
          <w:b/>
          <w:sz w:val="24"/>
          <w:szCs w:val="24"/>
        </w:rPr>
      </w:pPr>
    </w:p>
    <w:p w14:paraId="0000001B" w14:textId="77777777" w:rsidR="00414BBC" w:rsidRDefault="008F0BCB">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ПРОПОНОВАНИЙ КУРС ПОЛІТИКИ</w:t>
      </w:r>
    </w:p>
    <w:p w14:paraId="0000001C" w14:textId="77777777" w:rsidR="00414BBC" w:rsidRDefault="008F0BCB">
      <w:pPr>
        <w:ind w:left="56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Підціль</w:t>
      </w:r>
      <w:proofErr w:type="spellEnd"/>
      <w:r>
        <w:rPr>
          <w:rFonts w:ascii="Times New Roman" w:eastAsia="Times New Roman" w:hAnsi="Times New Roman" w:cs="Times New Roman"/>
          <w:b/>
          <w:sz w:val="24"/>
          <w:szCs w:val="24"/>
        </w:rPr>
        <w:t xml:space="preserve"> 1 - Максимальне виведення бізнесу з тіні   </w:t>
      </w:r>
    </w:p>
    <w:p w14:paraId="0000001D" w14:textId="77777777" w:rsidR="00414BBC" w:rsidRDefault="008F0BCB">
      <w:pPr>
        <w:widowControl w:val="0"/>
        <w:pBdr>
          <w:top w:val="nil"/>
          <w:left w:val="nil"/>
          <w:bottom w:val="nil"/>
          <w:right w:val="nil"/>
          <w:between w:val="nil"/>
        </w:pBdr>
        <w:ind w:left="98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Показник(-и) результативності: </w:t>
      </w:r>
    </w:p>
    <w:p w14:paraId="0000001E" w14:textId="77777777" w:rsidR="00414BBC" w:rsidRDefault="008F0BCB">
      <w:pPr>
        <w:widowControl w:val="0"/>
        <w:pBdr>
          <w:top w:val="nil"/>
          <w:left w:val="nil"/>
          <w:bottom w:val="nil"/>
          <w:right w:val="nil"/>
          <w:between w:val="nil"/>
        </w:pBdr>
        <w:ind w:left="987"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Розширення бази оподаткування за рахунок детінізації прихованих активів по основним податкам на 25% </w:t>
      </w:r>
    </w:p>
    <w:p w14:paraId="0000001F" w14:textId="77777777" w:rsidR="00414BBC" w:rsidRDefault="008F0BCB">
      <w:pPr>
        <w:widowControl w:val="0"/>
        <w:pBdr>
          <w:top w:val="nil"/>
          <w:left w:val="nil"/>
          <w:bottom w:val="nil"/>
          <w:right w:val="nil"/>
          <w:between w:val="nil"/>
        </w:pBdr>
        <w:ind w:left="98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Завдання до </w:t>
      </w:r>
      <w:proofErr w:type="spellStart"/>
      <w:r>
        <w:rPr>
          <w:rFonts w:ascii="Times New Roman" w:eastAsia="Times New Roman" w:hAnsi="Times New Roman" w:cs="Times New Roman"/>
          <w:sz w:val="24"/>
          <w:szCs w:val="24"/>
        </w:rPr>
        <w:t>підцілі</w:t>
      </w:r>
      <w:proofErr w:type="spellEnd"/>
      <w:r>
        <w:rPr>
          <w:rFonts w:ascii="Times New Roman" w:eastAsia="Times New Roman" w:hAnsi="Times New Roman" w:cs="Times New Roman"/>
          <w:sz w:val="24"/>
          <w:szCs w:val="24"/>
        </w:rPr>
        <w:t xml:space="preserve"> 1: </w:t>
      </w:r>
    </w:p>
    <w:p w14:paraId="00000020"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ризик-орієнтованого підходу з боку податкових органів при роботі з платниками податків </w:t>
      </w:r>
    </w:p>
    <w:p w14:paraId="00000021"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Фіскалізація</w:t>
      </w:r>
      <w:proofErr w:type="spellEnd"/>
      <w:r>
        <w:rPr>
          <w:rFonts w:ascii="Times New Roman" w:eastAsia="Times New Roman" w:hAnsi="Times New Roman" w:cs="Times New Roman"/>
          <w:sz w:val="24"/>
          <w:szCs w:val="24"/>
        </w:rPr>
        <w:t xml:space="preserve"> господарських операцій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шляхом розширення сфери застосування РРО</w:t>
      </w:r>
    </w:p>
    <w:p w14:paraId="00000022"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Імплементація законодавства щодо кеш-беків для покупців за повідомлення контролюючих органів про невидачу фіскального чека продавцем</w:t>
      </w:r>
    </w:p>
    <w:p w14:paraId="00000023"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Запровадження електронної акцизної марки та автоматизованої системи контролю за обігом тютюнових виробів і алкогольних напоїв</w:t>
      </w:r>
    </w:p>
    <w:p w14:paraId="00000024"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компанії одноразового “нульового” декларування активів фізичних осіб з подальшим запровадженням непрямих методів за відповідністю доходів і витрат громадян</w:t>
      </w:r>
    </w:p>
    <w:p w14:paraId="00000025"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Зміна підходів в оподаткуванні предметів розкоші, дотримання принципів соціальної справедливості та загальності оподаткування </w:t>
      </w:r>
    </w:p>
    <w:p w14:paraId="00000026"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 ефективності справляння податку на нерухоме майно, відмінне від земельної ділянки</w:t>
      </w:r>
    </w:p>
    <w:p w14:paraId="00000027" w14:textId="77777777" w:rsidR="00414BBC" w:rsidRDefault="008F0BCB">
      <w:pPr>
        <w:widowControl w:val="0"/>
        <w:numPr>
          <w:ilvl w:val="3"/>
          <w:numId w:val="3"/>
        </w:numPr>
        <w:pBdr>
          <w:top w:val="nil"/>
          <w:left w:val="nil"/>
          <w:bottom w:val="nil"/>
          <w:right w:val="nil"/>
          <w:between w:val="nil"/>
        </w:pBdr>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Розроблення та впровадження стратегії стимулювання добровільного дотримання податкової дисципліни (добровільної сплати податків) з урахуванням специфіки груп та категорій платників податків         </w:t>
      </w:r>
    </w:p>
    <w:p w14:paraId="00000028" w14:textId="77777777" w:rsidR="00414BBC" w:rsidRDefault="008F0BCB">
      <w:pPr>
        <w:widowControl w:val="0"/>
        <w:spacing w:before="120"/>
        <w:ind w:left="566"/>
        <w:jc w:val="both"/>
        <w:rPr>
          <w:rFonts w:ascii="Times New Roman" w:eastAsia="Times New Roman" w:hAnsi="Times New Roman" w:cs="Times New Roman"/>
          <w:b/>
          <w:sz w:val="24"/>
          <w:szCs w:val="24"/>
        </w:rPr>
      </w:pPr>
      <w:bookmarkStart w:id="4" w:name="_3znysh7" w:colFirst="0" w:colLast="0"/>
      <w:bookmarkEnd w:id="4"/>
      <w:r>
        <w:rPr>
          <w:rFonts w:ascii="Times New Roman" w:eastAsia="Times New Roman" w:hAnsi="Times New Roman" w:cs="Times New Roman"/>
          <w:b/>
          <w:sz w:val="24"/>
          <w:szCs w:val="24"/>
        </w:rPr>
        <w:t xml:space="preserve">2.2. </w:t>
      </w:r>
      <w:proofErr w:type="spellStart"/>
      <w:r>
        <w:rPr>
          <w:rFonts w:ascii="Times New Roman" w:eastAsia="Times New Roman" w:hAnsi="Times New Roman" w:cs="Times New Roman"/>
          <w:b/>
          <w:sz w:val="24"/>
          <w:szCs w:val="24"/>
        </w:rPr>
        <w:t>Підціль</w:t>
      </w:r>
      <w:proofErr w:type="spellEnd"/>
      <w:r>
        <w:rPr>
          <w:rFonts w:ascii="Times New Roman" w:eastAsia="Times New Roman" w:hAnsi="Times New Roman" w:cs="Times New Roman"/>
          <w:b/>
          <w:sz w:val="24"/>
          <w:szCs w:val="24"/>
        </w:rPr>
        <w:t xml:space="preserve"> 2 - Ефективна боротьба держави з податковим шахрайством</w:t>
      </w:r>
    </w:p>
    <w:p w14:paraId="00000029" w14:textId="77777777" w:rsidR="00414BBC" w:rsidRDefault="008F0BCB">
      <w:pPr>
        <w:widowControl w:val="0"/>
        <w:pBdr>
          <w:top w:val="nil"/>
          <w:left w:val="nil"/>
          <w:bottom w:val="nil"/>
          <w:right w:val="nil"/>
          <w:between w:val="nil"/>
        </w:pBdr>
        <w:ind w:left="98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Показник(-и) результативності: </w:t>
      </w:r>
    </w:p>
    <w:p w14:paraId="0000002A" w14:textId="77777777" w:rsidR="00414BBC" w:rsidRDefault="008F0BCB">
      <w:pPr>
        <w:widowControl w:val="0"/>
        <w:pBdr>
          <w:top w:val="nil"/>
          <w:left w:val="nil"/>
          <w:bottom w:val="nil"/>
          <w:right w:val="nil"/>
          <w:between w:val="nil"/>
        </w:pBdr>
        <w:ind w:left="987" w:hanging="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Розширення бази оподаткування за рахунок детінізації прихованих активів по основним податкам на 25% </w:t>
      </w:r>
    </w:p>
    <w:p w14:paraId="0000002B" w14:textId="77777777" w:rsidR="00414BBC" w:rsidRDefault="008F0BCB">
      <w:pPr>
        <w:widowControl w:val="0"/>
        <w:pBdr>
          <w:top w:val="nil"/>
          <w:left w:val="nil"/>
          <w:bottom w:val="nil"/>
          <w:right w:val="nil"/>
          <w:between w:val="nil"/>
        </w:pBdr>
        <w:ind w:left="98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Завдання до </w:t>
      </w:r>
      <w:proofErr w:type="spellStart"/>
      <w:r>
        <w:rPr>
          <w:rFonts w:ascii="Times New Roman" w:eastAsia="Times New Roman" w:hAnsi="Times New Roman" w:cs="Times New Roman"/>
          <w:sz w:val="24"/>
          <w:szCs w:val="24"/>
        </w:rPr>
        <w:t>підцілі</w:t>
      </w:r>
      <w:proofErr w:type="spellEnd"/>
      <w:r>
        <w:rPr>
          <w:rFonts w:ascii="Times New Roman" w:eastAsia="Times New Roman" w:hAnsi="Times New Roman" w:cs="Times New Roman"/>
          <w:sz w:val="24"/>
          <w:szCs w:val="24"/>
        </w:rPr>
        <w:t xml:space="preserve"> 2: </w:t>
      </w:r>
    </w:p>
    <w:p w14:paraId="0000002C" w14:textId="77777777" w:rsidR="00414BBC" w:rsidRDefault="008F0BCB">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Збільшення аналітичної складової в роботі ДПС</w:t>
      </w:r>
    </w:p>
    <w:p w14:paraId="0000002D" w14:textId="77777777" w:rsidR="00414BBC" w:rsidRDefault="008F0BCB">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Активна боротьба з конвертаційними центрами та центрами мінімізації  </w:t>
      </w:r>
    </w:p>
    <w:p w14:paraId="0000002E" w14:textId="77777777" w:rsidR="00414BBC" w:rsidRDefault="008F0BC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Посилення протидії відмиванню доходів, одержаних злочинним шляхом</w:t>
      </w:r>
    </w:p>
    <w:p w14:paraId="0000002F" w14:textId="77777777" w:rsidR="00414BBC" w:rsidRDefault="008F0BC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Створення Бюро фінансових розслідувань </w:t>
      </w:r>
    </w:p>
    <w:p w14:paraId="00000030" w14:textId="77777777" w:rsidR="00414BBC" w:rsidRDefault="008F0BC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Ліквідація податкової міліції, усунення дублювання функцій, пов’язаних з боротьбою із злочинами у сфері фінансів, податкової міліції, правоохоронних органів та Бюро фінансових розслідувань</w:t>
      </w:r>
    </w:p>
    <w:p w14:paraId="00000031" w14:textId="77777777" w:rsidR="00414BBC" w:rsidRDefault="008F0BC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Розширення співпраці з європейськими органами протидії фінансово-економічним правопорушенням</w:t>
      </w:r>
    </w:p>
    <w:p w14:paraId="00000032" w14:textId="77777777" w:rsidR="00414BBC" w:rsidRDefault="008F0BCB">
      <w:pPr>
        <w:widowControl w:val="0"/>
        <w:ind w:left="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414BBC" w:rsidRDefault="00414BBC">
      <w:pPr>
        <w:ind w:firstLine="567"/>
        <w:jc w:val="both"/>
        <w:rPr>
          <w:rFonts w:ascii="Times New Roman" w:eastAsia="Times New Roman" w:hAnsi="Times New Roman" w:cs="Times New Roman"/>
          <w:b/>
          <w:sz w:val="24"/>
          <w:szCs w:val="24"/>
        </w:rPr>
      </w:pPr>
    </w:p>
    <w:p w14:paraId="00000034" w14:textId="77777777" w:rsidR="00414BBC" w:rsidRDefault="00414BBC">
      <w:pPr>
        <w:ind w:firstLine="567"/>
        <w:jc w:val="both"/>
        <w:rPr>
          <w:rFonts w:ascii="Times New Roman" w:eastAsia="Times New Roman" w:hAnsi="Times New Roman" w:cs="Times New Roman"/>
          <w:i/>
          <w:sz w:val="24"/>
          <w:szCs w:val="24"/>
        </w:rPr>
      </w:pPr>
    </w:p>
    <w:sectPr w:rsidR="00414BBC">
      <w:headerReference w:type="default" r:id="rId7"/>
      <w:headerReference w:type="first" r:id="rId8"/>
      <w:pgSz w:w="11906" w:h="16838"/>
      <w:pgMar w:top="567" w:right="849" w:bottom="993" w:left="992"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B86B" w14:textId="77777777" w:rsidR="00E97A70" w:rsidRDefault="00E97A70">
      <w:r>
        <w:separator/>
      </w:r>
    </w:p>
  </w:endnote>
  <w:endnote w:type="continuationSeparator" w:id="0">
    <w:p w14:paraId="3310EF2A" w14:textId="77777777" w:rsidR="00E97A70" w:rsidRDefault="00E9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9505" w14:textId="77777777" w:rsidR="00E97A70" w:rsidRDefault="00E97A70">
      <w:r>
        <w:separator/>
      </w:r>
    </w:p>
  </w:footnote>
  <w:footnote w:type="continuationSeparator" w:id="0">
    <w:p w14:paraId="7457CAF0" w14:textId="77777777" w:rsidR="00E97A70" w:rsidRDefault="00E9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414BBC" w:rsidRDefault="00414BBC">
    <w:pPr>
      <w:spacing w:before="708"/>
      <w:rPr>
        <w:sz w:val="22"/>
        <w:szCs w:val="22"/>
      </w:rPr>
    </w:pPr>
  </w:p>
  <w:p w14:paraId="00000037" w14:textId="77777777" w:rsidR="00414BBC" w:rsidRDefault="008F0BCB">
    <w:pPr>
      <w:rPr>
        <w:sz w:val="22"/>
        <w:szCs w:val="22"/>
      </w:rPr>
    </w:pP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414BBC" w:rsidRDefault="008F0BCB">
    <w:pPr>
      <w:spacing w:before="708"/>
      <w:jc w:val="center"/>
      <w:rPr>
        <w:sz w:val="22"/>
        <w:szCs w:val="22"/>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Проект </w:t>
    </w:r>
    <w:r>
      <w:rPr>
        <w:rFonts w:ascii="Times New Roman" w:eastAsia="Times New Roman" w:hAnsi="Times New Roman" w:cs="Times New Roman"/>
        <w:i/>
        <w:sz w:val="24"/>
        <w:szCs w:val="24"/>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61D6E"/>
    <w:multiLevelType w:val="multilevel"/>
    <w:tmpl w:val="840C6122"/>
    <w:lvl w:ilvl="0">
      <w:start w:val="1"/>
      <w:numFmt w:val="decimal"/>
      <w:lvlText w:val="%1."/>
      <w:lvlJc w:val="left"/>
      <w:pPr>
        <w:ind w:left="420" w:hanging="420"/>
      </w:pPr>
    </w:lvl>
    <w:lvl w:ilvl="1">
      <w:start w:val="1"/>
      <w:numFmt w:val="decimal"/>
      <w:lvlText w:val="%1.%2."/>
      <w:lvlJc w:val="left"/>
      <w:pPr>
        <w:ind w:left="987" w:hanging="42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6BDC28E5"/>
    <w:multiLevelType w:val="multilevel"/>
    <w:tmpl w:val="1F847B0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FCD55B2"/>
    <w:multiLevelType w:val="multilevel"/>
    <w:tmpl w:val="84D209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eastAsia="Times New Roman" w:hAnsi="Times New Roman" w:cs="Times New Roman"/>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C"/>
    <w:rsid w:val="000209C2"/>
    <w:rsid w:val="001B57DB"/>
    <w:rsid w:val="00407A00"/>
    <w:rsid w:val="00414BBC"/>
    <w:rsid w:val="008F0BCB"/>
    <w:rsid w:val="00C071EA"/>
    <w:rsid w:val="00E97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DAC1A-6C88-46C9-A9E0-982102C1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ітки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8F0BCB"/>
    <w:rPr>
      <w:rFonts w:ascii="Segoe UI" w:hAnsi="Segoe UI" w:cs="Segoe UI"/>
      <w:sz w:val="18"/>
      <w:szCs w:val="18"/>
    </w:rPr>
  </w:style>
  <w:style w:type="character" w:customStyle="1" w:styleId="a9">
    <w:name w:val="Текст у виносці Знак"/>
    <w:basedOn w:val="a0"/>
    <w:link w:val="a8"/>
    <w:uiPriority w:val="99"/>
    <w:semiHidden/>
    <w:rsid w:val="008F0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3426</Words>
  <Characters>1954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Ходаковський Павло Вікторович</dc:creator>
  <cp:lastModifiedBy>Булавка Ольга Миколаївна</cp:lastModifiedBy>
  <cp:revision>2</cp:revision>
  <dcterms:created xsi:type="dcterms:W3CDTF">2020-01-20T16:25:00Z</dcterms:created>
  <dcterms:modified xsi:type="dcterms:W3CDTF">2020-01-20T16:25:00Z</dcterms:modified>
</cp:coreProperties>
</file>