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9" w:rsidRDefault="00DF1929" w:rsidP="00DF1929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F1929" w:rsidRDefault="00DF1929" w:rsidP="00DF1929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 Міністерства фінансів України</w:t>
      </w:r>
    </w:p>
    <w:p w:rsidR="00DF1929" w:rsidRDefault="00DF1929" w:rsidP="00DF1929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липня 2024 року № 3</w:t>
      </w:r>
      <w:r>
        <w:rPr>
          <w:rFonts w:ascii="Times New Roman" w:hAnsi="Times New Roman"/>
          <w:sz w:val="28"/>
          <w:szCs w:val="28"/>
          <w:lang w:val="uk-UA"/>
        </w:rPr>
        <w:t>38</w:t>
      </w:r>
    </w:p>
    <w:p w:rsidR="00DF1929" w:rsidRPr="00DF1929" w:rsidRDefault="00DF1929" w:rsidP="00DF1929">
      <w:pPr>
        <w:spacing w:after="0" w:line="240" w:lineRule="auto"/>
        <w:ind w:left="4962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Зареєстровано в Міністерстві юстиції України 2</w:t>
      </w:r>
      <w:r>
        <w:rPr>
          <w:rFonts w:ascii="Times New Roman" w:hAnsi="Times New Roman"/>
          <w:i/>
          <w:sz w:val="24"/>
          <w:szCs w:val="24"/>
          <w:lang w:val="uk-UA"/>
        </w:rPr>
        <w:t>4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липня 2024 року за № </w:t>
      </w:r>
      <w:r w:rsidRPr="00DF1929">
        <w:rPr>
          <w:rFonts w:ascii="Times New Roman" w:hAnsi="Times New Roman"/>
          <w:i/>
          <w:sz w:val="24"/>
          <w:szCs w:val="24"/>
          <w:lang w:val="uk-UA"/>
        </w:rPr>
        <w:t>1115/42460</w:t>
      </w:r>
    </w:p>
    <w:p w:rsidR="00B50047" w:rsidRPr="00DB575F" w:rsidRDefault="00B50047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047" w:rsidRPr="00DB575F" w:rsidRDefault="00B86853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DB575F">
        <w:rPr>
          <w:b/>
          <w:bCs/>
          <w:sz w:val="28"/>
          <w:szCs w:val="28"/>
          <w:shd w:val="clear" w:color="auto" w:fill="FFFFFF"/>
          <w:lang w:val="uk-UA"/>
        </w:rPr>
        <w:t>Зміни</w:t>
      </w:r>
      <w:bookmarkStart w:id="0" w:name="_GoBack"/>
      <w:bookmarkEnd w:id="0"/>
    </w:p>
    <w:p w:rsidR="00B50047" w:rsidRPr="00DB575F" w:rsidRDefault="00F339F5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DB575F">
        <w:rPr>
          <w:b/>
          <w:bCs/>
          <w:sz w:val="28"/>
          <w:szCs w:val="28"/>
          <w:shd w:val="clear" w:color="auto" w:fill="FFFFFF"/>
          <w:lang w:val="uk-UA"/>
        </w:rPr>
        <w:t xml:space="preserve">до Національного положення (стандарту) бухгалтерського обліку </w:t>
      </w:r>
      <w:r w:rsidRPr="00DB575F">
        <w:rPr>
          <w:b/>
          <w:bCs/>
          <w:sz w:val="28"/>
          <w:szCs w:val="28"/>
          <w:shd w:val="clear" w:color="auto" w:fill="FFFFFF"/>
          <w:lang w:val="uk-UA"/>
        </w:rPr>
        <w:br/>
        <w:t>в державному секторі 12</w:t>
      </w:r>
      <w:r w:rsidR="00295863" w:rsidRPr="00DB575F">
        <w:rPr>
          <w:b/>
          <w:bCs/>
          <w:sz w:val="28"/>
          <w:szCs w:val="28"/>
          <w:shd w:val="clear" w:color="auto" w:fill="FFFFFF"/>
          <w:lang w:val="uk-UA"/>
        </w:rPr>
        <w:t>2</w:t>
      </w:r>
      <w:r w:rsidRPr="00DB575F">
        <w:rPr>
          <w:b/>
          <w:bCs/>
          <w:sz w:val="28"/>
          <w:szCs w:val="28"/>
          <w:shd w:val="clear" w:color="auto" w:fill="FFFFFF"/>
          <w:lang w:val="uk-UA"/>
        </w:rPr>
        <w:t xml:space="preserve"> «</w:t>
      </w:r>
      <w:r w:rsidR="00295863" w:rsidRPr="00DB575F">
        <w:rPr>
          <w:b/>
          <w:bCs/>
          <w:sz w:val="28"/>
          <w:szCs w:val="28"/>
          <w:shd w:val="clear" w:color="auto" w:fill="FFFFFF"/>
          <w:lang w:val="uk-UA"/>
        </w:rPr>
        <w:t>Нематеріальні активи</w:t>
      </w:r>
      <w:r w:rsidRPr="00DB575F">
        <w:rPr>
          <w:b/>
          <w:bCs/>
          <w:sz w:val="28"/>
          <w:szCs w:val="28"/>
          <w:shd w:val="clear" w:color="auto" w:fill="FFFFFF"/>
          <w:lang w:val="uk-UA"/>
        </w:rPr>
        <w:t>»</w:t>
      </w:r>
      <w:r w:rsidR="00B86853" w:rsidRPr="00DB575F">
        <w:rPr>
          <w:b/>
          <w:bCs/>
          <w:sz w:val="28"/>
          <w:szCs w:val="28"/>
          <w:shd w:val="clear" w:color="auto" w:fill="FFFFFF"/>
          <w:lang w:val="uk-UA"/>
        </w:rPr>
        <w:t xml:space="preserve">, затвердженого наказом Міністерства фінансів України від 12 жовтня 2010 року № 1202, зареєстрованого в Міністерстві юстиції України 01 листопада 2010 року </w:t>
      </w:r>
      <w:r w:rsidR="00B86853" w:rsidRPr="00DB575F">
        <w:rPr>
          <w:b/>
          <w:bCs/>
          <w:sz w:val="28"/>
          <w:szCs w:val="28"/>
          <w:shd w:val="clear" w:color="auto" w:fill="FFFFFF"/>
          <w:lang w:val="uk-UA"/>
        </w:rPr>
        <w:br/>
        <w:t>за № 1018/18313</w:t>
      </w:r>
    </w:p>
    <w:p w:rsidR="00B50047" w:rsidRPr="00DB575F" w:rsidRDefault="00B5004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680"/>
        <w:jc w:val="both"/>
        <w:rPr>
          <w:sz w:val="28"/>
          <w:szCs w:val="28"/>
          <w:lang w:val="uk-UA"/>
        </w:rPr>
      </w:pPr>
    </w:p>
    <w:p w:rsidR="00820787" w:rsidRPr="00DB575F" w:rsidRDefault="00820787" w:rsidP="00820787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1" w:name="n21"/>
      <w:bookmarkEnd w:id="1"/>
      <w:r w:rsidRPr="00DB575F">
        <w:rPr>
          <w:spacing w:val="-4"/>
          <w:sz w:val="28"/>
          <w:szCs w:val="28"/>
          <w:lang w:val="uk-UA"/>
        </w:rPr>
        <w:t xml:space="preserve">У </w:t>
      </w:r>
      <w:hyperlink r:id="rId7" w:anchor="n47" w:tgtFrame="_blank">
        <w:r w:rsidRPr="00DB575F">
          <w:rPr>
            <w:rStyle w:val="af"/>
            <w:color w:val="auto"/>
            <w:sz w:val="28"/>
            <w:szCs w:val="28"/>
            <w:u w:val="none"/>
            <w:lang w:val="uk-UA"/>
          </w:rPr>
          <w:t>розділі І</w:t>
        </w:r>
      </w:hyperlink>
      <w:r w:rsidRPr="00DB575F">
        <w:rPr>
          <w:sz w:val="28"/>
          <w:szCs w:val="28"/>
          <w:lang w:val="uk-UA"/>
        </w:rPr>
        <w:t>:</w:t>
      </w:r>
    </w:p>
    <w:p w:rsidR="00820787" w:rsidRPr="00DB575F" w:rsidRDefault="00820787" w:rsidP="0082078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pacing w:val="-4"/>
          <w:sz w:val="28"/>
          <w:szCs w:val="28"/>
          <w:lang w:val="uk-UA"/>
        </w:rPr>
      </w:pPr>
    </w:p>
    <w:p w:rsidR="00B50047" w:rsidRPr="00DB575F" w:rsidRDefault="00820787" w:rsidP="00B12472">
      <w:pPr>
        <w:pStyle w:val="rvps2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>у п</w:t>
      </w:r>
      <w:r w:rsidR="00295863" w:rsidRPr="00DB575F">
        <w:rPr>
          <w:spacing w:val="-4"/>
          <w:sz w:val="28"/>
          <w:szCs w:val="28"/>
          <w:lang w:val="uk-UA"/>
        </w:rPr>
        <w:t>ункт</w:t>
      </w:r>
      <w:r w:rsidRPr="00DB575F">
        <w:rPr>
          <w:spacing w:val="-4"/>
          <w:sz w:val="28"/>
          <w:szCs w:val="28"/>
          <w:lang w:val="uk-UA"/>
        </w:rPr>
        <w:t>і</w:t>
      </w:r>
      <w:r w:rsidR="00295863" w:rsidRPr="00DB575F">
        <w:rPr>
          <w:spacing w:val="-4"/>
          <w:sz w:val="28"/>
          <w:szCs w:val="28"/>
          <w:lang w:val="uk-UA"/>
        </w:rPr>
        <w:t xml:space="preserve"> 3 після слів </w:t>
      </w:r>
      <w:r w:rsidRPr="00DB575F">
        <w:rPr>
          <w:spacing w:val="-4"/>
          <w:sz w:val="28"/>
          <w:szCs w:val="28"/>
          <w:lang w:val="uk-UA"/>
        </w:rPr>
        <w:t>«на гудвіл»</w:t>
      </w:r>
      <w:r w:rsidR="00F339F5" w:rsidRPr="00DB575F">
        <w:rPr>
          <w:spacing w:val="-4"/>
          <w:sz w:val="28"/>
          <w:szCs w:val="28"/>
          <w:lang w:val="uk-UA"/>
        </w:rPr>
        <w:t xml:space="preserve"> </w:t>
      </w:r>
      <w:r w:rsidRPr="00DB575F">
        <w:rPr>
          <w:spacing w:val="-4"/>
          <w:sz w:val="28"/>
          <w:szCs w:val="28"/>
          <w:lang w:val="uk-UA"/>
        </w:rPr>
        <w:t>доповни</w:t>
      </w:r>
      <w:r w:rsidR="009B3A2C" w:rsidRPr="00DB575F">
        <w:rPr>
          <w:spacing w:val="-4"/>
          <w:sz w:val="28"/>
          <w:szCs w:val="28"/>
          <w:lang w:val="uk-UA"/>
        </w:rPr>
        <w:t>ти словами «</w:t>
      </w:r>
      <w:r w:rsidR="00A35141" w:rsidRPr="00DB575F">
        <w:rPr>
          <w:spacing w:val="-4"/>
          <w:sz w:val="28"/>
          <w:szCs w:val="28"/>
          <w:lang w:val="uk-UA"/>
        </w:rPr>
        <w:t xml:space="preserve">, </w:t>
      </w:r>
      <w:r w:rsidR="00A41901" w:rsidRPr="00DB575F">
        <w:rPr>
          <w:spacing w:val="-4"/>
          <w:sz w:val="28"/>
          <w:szCs w:val="28"/>
          <w:lang w:val="uk-UA"/>
        </w:rPr>
        <w:t>повноваження і права, надані згідно із законодавством</w:t>
      </w:r>
      <w:r w:rsidR="00A35141" w:rsidRPr="00DB575F">
        <w:rPr>
          <w:spacing w:val="-4"/>
          <w:sz w:val="28"/>
          <w:szCs w:val="28"/>
          <w:lang w:val="uk-UA"/>
        </w:rPr>
        <w:t>,</w:t>
      </w:r>
      <w:r w:rsidRPr="00DB575F">
        <w:rPr>
          <w:spacing w:val="-4"/>
          <w:sz w:val="28"/>
          <w:szCs w:val="28"/>
          <w:lang w:val="uk-UA"/>
        </w:rPr>
        <w:t>»;</w:t>
      </w:r>
    </w:p>
    <w:p w:rsidR="00820787" w:rsidRPr="00DB575F" w:rsidRDefault="00820787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927" w:firstLine="567"/>
        <w:jc w:val="both"/>
        <w:rPr>
          <w:spacing w:val="-4"/>
          <w:sz w:val="28"/>
          <w:szCs w:val="28"/>
          <w:lang w:val="uk-UA"/>
        </w:rPr>
      </w:pPr>
    </w:p>
    <w:p w:rsidR="00820787" w:rsidRPr="00DB575F" w:rsidRDefault="00B86853" w:rsidP="00AC501D">
      <w:pPr>
        <w:pStyle w:val="rvps2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 xml:space="preserve">доповнити </w:t>
      </w:r>
      <w:r w:rsidR="00820787" w:rsidRPr="00DB575F">
        <w:rPr>
          <w:spacing w:val="-4"/>
          <w:sz w:val="28"/>
          <w:szCs w:val="28"/>
          <w:lang w:val="uk-UA"/>
        </w:rPr>
        <w:t xml:space="preserve">пункт 4 </w:t>
      </w:r>
      <w:r w:rsidR="009B3A2C" w:rsidRPr="00DB575F">
        <w:rPr>
          <w:spacing w:val="-4"/>
          <w:sz w:val="28"/>
          <w:szCs w:val="28"/>
          <w:lang w:val="uk-UA"/>
        </w:rPr>
        <w:t xml:space="preserve">після абзацу першого </w:t>
      </w:r>
      <w:r w:rsidR="00820787" w:rsidRPr="00DB575F">
        <w:rPr>
          <w:spacing w:val="-4"/>
          <w:sz w:val="28"/>
          <w:szCs w:val="28"/>
          <w:lang w:val="uk-UA"/>
        </w:rPr>
        <w:t>абзацом другим такого змісту:</w:t>
      </w:r>
    </w:p>
    <w:p w:rsidR="00820787" w:rsidRPr="00DB575F" w:rsidRDefault="00820787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>«амортизація – систематичний розподіл вартості нематеріального активу, що амортизується, протягом строку його корисного використання</w:t>
      </w:r>
      <w:r w:rsidR="00CA187D" w:rsidRPr="00DB575F">
        <w:rPr>
          <w:spacing w:val="-4"/>
          <w:sz w:val="28"/>
          <w:szCs w:val="28"/>
          <w:lang w:val="uk-UA"/>
        </w:rPr>
        <w:t>;</w:t>
      </w:r>
      <w:r w:rsidRPr="00DB575F">
        <w:rPr>
          <w:spacing w:val="-4"/>
          <w:sz w:val="28"/>
          <w:szCs w:val="28"/>
          <w:lang w:val="uk-UA"/>
        </w:rPr>
        <w:t>».</w:t>
      </w:r>
    </w:p>
    <w:p w:rsidR="00CA187D" w:rsidRPr="00DB575F" w:rsidRDefault="00CA187D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>У зв</w:t>
      </w:r>
      <w:r w:rsidR="00DA47AA" w:rsidRPr="00DB575F">
        <w:rPr>
          <w:spacing w:val="-4"/>
          <w:sz w:val="28"/>
          <w:szCs w:val="28"/>
          <w:lang w:val="uk-UA"/>
        </w:rPr>
        <w:t>’</w:t>
      </w:r>
      <w:r w:rsidR="00B12472" w:rsidRPr="00DB575F">
        <w:rPr>
          <w:spacing w:val="-4"/>
          <w:sz w:val="28"/>
          <w:szCs w:val="28"/>
          <w:lang w:val="uk-UA"/>
        </w:rPr>
        <w:t>язку з цим абзаци другий –</w:t>
      </w:r>
      <w:r w:rsidRPr="00DB575F">
        <w:rPr>
          <w:spacing w:val="-4"/>
          <w:sz w:val="28"/>
          <w:szCs w:val="28"/>
          <w:lang w:val="uk-UA"/>
        </w:rPr>
        <w:t xml:space="preserve"> восьмий </w:t>
      </w:r>
      <w:r w:rsidR="0024293B" w:rsidRPr="00DB575F">
        <w:rPr>
          <w:spacing w:val="-4"/>
          <w:sz w:val="28"/>
          <w:szCs w:val="28"/>
          <w:lang w:val="uk-UA"/>
        </w:rPr>
        <w:t>в</w:t>
      </w:r>
      <w:r w:rsidRPr="00DB575F">
        <w:rPr>
          <w:spacing w:val="-4"/>
          <w:sz w:val="28"/>
          <w:szCs w:val="28"/>
          <w:lang w:val="uk-UA"/>
        </w:rPr>
        <w:t>важати абзацами третім</w:t>
      </w:r>
      <w:r w:rsidR="00B12472" w:rsidRPr="00DB575F">
        <w:rPr>
          <w:spacing w:val="-4"/>
          <w:sz w:val="28"/>
          <w:szCs w:val="28"/>
          <w:lang w:val="uk-UA"/>
        </w:rPr>
        <w:t xml:space="preserve"> –</w:t>
      </w:r>
      <w:r w:rsidRPr="00DB575F">
        <w:rPr>
          <w:spacing w:val="-4"/>
          <w:sz w:val="28"/>
          <w:szCs w:val="28"/>
          <w:lang w:val="uk-UA"/>
        </w:rPr>
        <w:t xml:space="preserve"> дев</w:t>
      </w:r>
      <w:r w:rsidR="00DA47AA" w:rsidRPr="00DB575F">
        <w:rPr>
          <w:spacing w:val="-4"/>
          <w:sz w:val="28"/>
          <w:szCs w:val="28"/>
          <w:lang w:val="uk-UA"/>
        </w:rPr>
        <w:t>’</w:t>
      </w:r>
      <w:r w:rsidRPr="00DB575F">
        <w:rPr>
          <w:spacing w:val="-4"/>
          <w:sz w:val="28"/>
          <w:szCs w:val="28"/>
          <w:lang w:val="uk-UA"/>
        </w:rPr>
        <w:t>ятим відповідно.</w:t>
      </w:r>
    </w:p>
    <w:p w:rsidR="009B3A2C" w:rsidRPr="00DB575F" w:rsidRDefault="009B3A2C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50047" w:rsidRPr="00DB575F" w:rsidRDefault="00F339F5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2" w:name="n22"/>
      <w:bookmarkStart w:id="3" w:name="n31"/>
      <w:bookmarkEnd w:id="2"/>
      <w:bookmarkEnd w:id="3"/>
      <w:r w:rsidRPr="00DB575F">
        <w:rPr>
          <w:sz w:val="28"/>
          <w:szCs w:val="28"/>
          <w:lang w:val="uk-UA"/>
        </w:rPr>
        <w:t xml:space="preserve">У </w:t>
      </w:r>
      <w:hyperlink r:id="rId8" w:anchor="n47" w:tgtFrame="_blank">
        <w:r w:rsidRPr="00DB575F">
          <w:rPr>
            <w:rStyle w:val="af"/>
            <w:color w:val="auto"/>
            <w:sz w:val="28"/>
            <w:szCs w:val="28"/>
            <w:u w:val="none"/>
            <w:lang w:val="uk-UA"/>
          </w:rPr>
          <w:t>розділі ІІ</w:t>
        </w:r>
      </w:hyperlink>
      <w:r w:rsidRPr="00DB575F">
        <w:rPr>
          <w:sz w:val="28"/>
          <w:szCs w:val="28"/>
          <w:lang w:val="uk-UA"/>
        </w:rPr>
        <w:t>:</w:t>
      </w:r>
    </w:p>
    <w:p w:rsidR="00B50047" w:rsidRPr="00DB575F" w:rsidRDefault="00B50047" w:rsidP="00DD470E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A616FA" w:rsidRPr="00DB575F" w:rsidRDefault="002579D5" w:rsidP="002579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bookmarkStart w:id="4" w:name="n32"/>
      <w:bookmarkEnd w:id="4"/>
      <w:r w:rsidRPr="00DB57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16FA" w:rsidRPr="00DB575F">
        <w:rPr>
          <w:rFonts w:ascii="Times New Roman" w:hAnsi="Times New Roman"/>
          <w:sz w:val="28"/>
          <w:szCs w:val="28"/>
          <w:lang w:eastAsia="uk-UA"/>
        </w:rPr>
        <w:t xml:space="preserve">пункт 1 викласти в </w:t>
      </w:r>
      <w:r w:rsidR="00B86853" w:rsidRPr="00DB575F">
        <w:rPr>
          <w:rFonts w:ascii="Times New Roman" w:hAnsi="Times New Roman"/>
          <w:sz w:val="28"/>
          <w:szCs w:val="28"/>
          <w:lang w:eastAsia="uk-UA"/>
        </w:rPr>
        <w:t xml:space="preserve">такій </w:t>
      </w:r>
      <w:r w:rsidR="00A616FA" w:rsidRPr="00DB575F">
        <w:rPr>
          <w:rFonts w:ascii="Times New Roman" w:hAnsi="Times New Roman"/>
          <w:sz w:val="28"/>
          <w:szCs w:val="28"/>
          <w:lang w:eastAsia="uk-UA"/>
        </w:rPr>
        <w:t>редакції:</w:t>
      </w:r>
    </w:p>
    <w:p w:rsidR="002579D5" w:rsidRPr="00DB575F" w:rsidRDefault="002579D5" w:rsidP="00A616F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DB575F">
        <w:rPr>
          <w:rFonts w:ascii="Times New Roman" w:hAnsi="Times New Roman"/>
          <w:sz w:val="28"/>
          <w:szCs w:val="28"/>
          <w:lang w:val="ru-RU" w:eastAsia="uk-UA"/>
        </w:rPr>
        <w:t>«</w:t>
      </w:r>
      <w:r w:rsidR="00A616FA" w:rsidRPr="00DB575F">
        <w:rPr>
          <w:rFonts w:ascii="Times New Roman" w:hAnsi="Times New Roman"/>
          <w:sz w:val="28"/>
          <w:szCs w:val="28"/>
          <w:lang w:val="ru-RU" w:eastAsia="uk-UA"/>
        </w:rPr>
        <w:t xml:space="preserve">1. </w:t>
      </w:r>
      <w:r w:rsidRPr="00DB575F">
        <w:rPr>
          <w:rFonts w:ascii="Times New Roman" w:hAnsi="Times New Roman"/>
          <w:sz w:val="28"/>
          <w:szCs w:val="28"/>
          <w:lang w:val="ro-RO" w:eastAsia="uk-UA"/>
        </w:rPr>
        <w:t>Нематеріальний актив визнається активом, якщо</w:t>
      </w:r>
      <w:r w:rsidRPr="00DB575F">
        <w:rPr>
          <w:rFonts w:ascii="Times New Roman" w:hAnsi="Times New Roman"/>
          <w:sz w:val="28"/>
          <w:szCs w:val="28"/>
          <w:lang w:val="ru-RU" w:eastAsia="uk-UA"/>
        </w:rPr>
        <w:t>:</w:t>
      </w:r>
    </w:p>
    <w:p w:rsidR="002579D5" w:rsidRPr="00DB575F" w:rsidRDefault="002579D5" w:rsidP="002579D5">
      <w:pPr>
        <w:spacing w:after="0" w:line="240" w:lineRule="auto"/>
        <w:ind w:left="32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75F">
        <w:rPr>
          <w:rFonts w:ascii="Times New Roman" w:hAnsi="Times New Roman"/>
          <w:sz w:val="28"/>
          <w:szCs w:val="28"/>
          <w:lang w:val="uk-UA" w:eastAsia="uk-UA"/>
        </w:rPr>
        <w:t>його можна ідентифікувати (може бути виділений чи відокремлений від інших активів); або</w:t>
      </w:r>
    </w:p>
    <w:p w:rsidR="002579D5" w:rsidRPr="00DB575F" w:rsidRDefault="002579D5" w:rsidP="002579D5">
      <w:pPr>
        <w:spacing w:after="0" w:line="240" w:lineRule="auto"/>
        <w:ind w:left="32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75F">
        <w:rPr>
          <w:rFonts w:ascii="Times New Roman" w:hAnsi="Times New Roman"/>
          <w:sz w:val="28"/>
          <w:szCs w:val="28"/>
          <w:lang w:val="uk-UA" w:eastAsia="uk-UA"/>
        </w:rPr>
        <w:t>виникає внаслідок угод, які мають обов</w:t>
      </w:r>
      <w:r w:rsidR="00DA47AA" w:rsidRPr="00DB575F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DB575F">
        <w:rPr>
          <w:rFonts w:ascii="Times New Roman" w:hAnsi="Times New Roman"/>
          <w:sz w:val="28"/>
          <w:szCs w:val="28"/>
          <w:lang w:val="uk-UA" w:eastAsia="uk-UA"/>
        </w:rPr>
        <w:t>язкову силу незалежно від того, чи можуть вони бути передані або відокремлені від суб</w:t>
      </w:r>
      <w:r w:rsidR="00DA47AA" w:rsidRPr="00DB575F">
        <w:rPr>
          <w:rFonts w:ascii="Times New Roman" w:hAnsi="Times New Roman"/>
          <w:sz w:val="28"/>
          <w:szCs w:val="28"/>
          <w:lang w:val="uk-UA" w:eastAsia="uk-UA"/>
        </w:rPr>
        <w:t>’</w:t>
      </w:r>
      <w:r w:rsidR="00B12472" w:rsidRPr="00DB575F">
        <w:rPr>
          <w:rFonts w:ascii="Times New Roman" w:hAnsi="Times New Roman"/>
          <w:sz w:val="28"/>
          <w:szCs w:val="28"/>
          <w:lang w:val="uk-UA" w:eastAsia="uk-UA"/>
        </w:rPr>
        <w:t>єкта державного сектору</w:t>
      </w:r>
      <w:r w:rsidRPr="00DB575F">
        <w:rPr>
          <w:rFonts w:ascii="Times New Roman" w:hAnsi="Times New Roman"/>
          <w:sz w:val="28"/>
          <w:szCs w:val="28"/>
          <w:lang w:val="uk-UA" w:eastAsia="uk-UA"/>
        </w:rPr>
        <w:t xml:space="preserve"> чи від інших прав та зобов</w:t>
      </w:r>
      <w:r w:rsidR="00DA47AA" w:rsidRPr="00DB575F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DB575F">
        <w:rPr>
          <w:rFonts w:ascii="Times New Roman" w:hAnsi="Times New Roman"/>
          <w:sz w:val="28"/>
          <w:szCs w:val="28"/>
          <w:lang w:val="uk-UA" w:eastAsia="uk-UA"/>
        </w:rPr>
        <w:t>язань; та</w:t>
      </w:r>
    </w:p>
    <w:p w:rsidR="002579D5" w:rsidRPr="00DB575F" w:rsidRDefault="002579D5" w:rsidP="002579D5">
      <w:pPr>
        <w:spacing w:after="0" w:line="240" w:lineRule="auto"/>
        <w:ind w:left="32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75F">
        <w:rPr>
          <w:rFonts w:ascii="Times New Roman" w:hAnsi="Times New Roman"/>
          <w:sz w:val="28"/>
          <w:szCs w:val="28"/>
          <w:lang w:val="uk-UA" w:eastAsia="uk-UA"/>
        </w:rPr>
        <w:t>існує ймовірність отримання суб</w:t>
      </w:r>
      <w:r w:rsidR="00DA47AA" w:rsidRPr="00DB575F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DB575F">
        <w:rPr>
          <w:rFonts w:ascii="Times New Roman" w:hAnsi="Times New Roman"/>
          <w:sz w:val="28"/>
          <w:szCs w:val="28"/>
          <w:lang w:val="uk-UA" w:eastAsia="uk-UA"/>
        </w:rPr>
        <w:t>єктом державного сектору майбутніх економічних вигід, пов</w:t>
      </w:r>
      <w:r w:rsidR="00DA47AA" w:rsidRPr="00DB575F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DB575F">
        <w:rPr>
          <w:rFonts w:ascii="Times New Roman" w:hAnsi="Times New Roman"/>
          <w:sz w:val="28"/>
          <w:szCs w:val="28"/>
          <w:lang w:val="uk-UA" w:eastAsia="uk-UA"/>
        </w:rPr>
        <w:t xml:space="preserve">язаних з його використанням; та/або </w:t>
      </w:r>
    </w:p>
    <w:p w:rsidR="00B50047" w:rsidRPr="00DB575F" w:rsidRDefault="002579D5" w:rsidP="002579D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z w:val="28"/>
          <w:szCs w:val="28"/>
          <w:lang w:val="uk-UA" w:eastAsia="uk-UA"/>
        </w:rPr>
        <w:t>якщо він має потенціал корисності і його вартість може бути достовірно визначена</w:t>
      </w:r>
      <w:r w:rsidR="00A616FA" w:rsidRPr="00DB575F">
        <w:rPr>
          <w:sz w:val="28"/>
          <w:szCs w:val="28"/>
          <w:lang w:val="uk-UA" w:eastAsia="uk-UA"/>
        </w:rPr>
        <w:t>.»</w:t>
      </w:r>
      <w:r w:rsidR="00B77DA0" w:rsidRPr="00DB575F">
        <w:rPr>
          <w:sz w:val="28"/>
          <w:szCs w:val="28"/>
          <w:lang w:val="uk-UA" w:eastAsia="uk-UA"/>
        </w:rPr>
        <w:t>;</w:t>
      </w:r>
    </w:p>
    <w:p w:rsidR="00B77DA0" w:rsidRPr="00DB575F" w:rsidRDefault="00B77DA0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B77DA0" w:rsidRPr="00DB575F" w:rsidRDefault="00B331D6" w:rsidP="002579D5">
      <w:pPr>
        <w:pStyle w:val="rvps2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bookmarkStart w:id="5" w:name="n35"/>
      <w:bookmarkStart w:id="6" w:name="n43"/>
      <w:bookmarkEnd w:id="5"/>
      <w:bookmarkEnd w:id="6"/>
      <w:r w:rsidRPr="00DB575F">
        <w:rPr>
          <w:spacing w:val="-4"/>
          <w:sz w:val="28"/>
          <w:szCs w:val="28"/>
          <w:lang w:val="uk-UA"/>
        </w:rPr>
        <w:t>у</w:t>
      </w:r>
      <w:r w:rsidR="00B77DA0" w:rsidRPr="00DB575F">
        <w:rPr>
          <w:spacing w:val="-4"/>
          <w:sz w:val="28"/>
          <w:szCs w:val="28"/>
          <w:lang w:val="uk-UA"/>
        </w:rPr>
        <w:t xml:space="preserve"> пункті 2:</w:t>
      </w:r>
    </w:p>
    <w:p w:rsidR="00B50047" w:rsidRPr="00DB575F" w:rsidRDefault="00B86853" w:rsidP="00A616F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lastRenderedPageBreak/>
        <w:t xml:space="preserve">в </w:t>
      </w:r>
      <w:hyperlink r:id="rId9" w:anchor="n86" w:tgtFrame="_blank">
        <w:r w:rsidR="00F339F5" w:rsidRPr="00DB575F">
          <w:rPr>
            <w:spacing w:val="-4"/>
            <w:sz w:val="28"/>
            <w:szCs w:val="28"/>
            <w:lang w:val="uk-UA"/>
          </w:rPr>
          <w:t>абзац</w:t>
        </w:r>
        <w:r w:rsidR="00B331D6" w:rsidRPr="00DB575F">
          <w:rPr>
            <w:spacing w:val="-4"/>
            <w:sz w:val="28"/>
            <w:szCs w:val="28"/>
            <w:lang w:val="uk-UA"/>
          </w:rPr>
          <w:t>і</w:t>
        </w:r>
        <w:r w:rsidR="00F339F5" w:rsidRPr="00DB575F">
          <w:rPr>
            <w:spacing w:val="-4"/>
            <w:sz w:val="28"/>
            <w:szCs w:val="28"/>
            <w:lang w:val="uk-UA"/>
          </w:rPr>
          <w:t xml:space="preserve"> </w:t>
        </w:r>
        <w:r w:rsidR="00B331D6" w:rsidRPr="00DB575F">
          <w:rPr>
            <w:spacing w:val="-4"/>
            <w:sz w:val="28"/>
            <w:szCs w:val="28"/>
            <w:lang w:val="uk-UA"/>
          </w:rPr>
          <w:t>другому</w:t>
        </w:r>
      </w:hyperlink>
      <w:r w:rsidR="00F339F5" w:rsidRPr="00DB575F">
        <w:rPr>
          <w:spacing w:val="-4"/>
          <w:sz w:val="28"/>
          <w:szCs w:val="28"/>
          <w:lang w:val="uk-UA"/>
        </w:rPr>
        <w:t xml:space="preserve"> </w:t>
      </w:r>
      <w:r w:rsidR="00B331D6" w:rsidRPr="00DB575F">
        <w:rPr>
          <w:spacing w:val="-4"/>
          <w:sz w:val="28"/>
          <w:szCs w:val="28"/>
          <w:lang w:val="uk-UA"/>
        </w:rPr>
        <w:t>слова «</w:t>
      </w:r>
      <w:r w:rsidR="00A616FA" w:rsidRPr="00DB575F">
        <w:rPr>
          <w:spacing w:val="-4"/>
          <w:sz w:val="28"/>
          <w:szCs w:val="28"/>
          <w:lang w:val="uk-UA"/>
        </w:rPr>
        <w:t xml:space="preserve">авторське </w:t>
      </w:r>
      <w:r w:rsidR="003B1C33" w:rsidRPr="00DB575F">
        <w:rPr>
          <w:spacing w:val="-4"/>
          <w:sz w:val="28"/>
          <w:szCs w:val="28"/>
          <w:lang w:val="uk-UA"/>
        </w:rPr>
        <w:t>та суміжні з ним» замінити словами «</w:t>
      </w:r>
      <w:r w:rsidR="00A616FA" w:rsidRPr="00DB575F">
        <w:rPr>
          <w:spacing w:val="-4"/>
          <w:sz w:val="28"/>
          <w:szCs w:val="28"/>
          <w:lang w:val="uk-UA"/>
        </w:rPr>
        <w:t xml:space="preserve">авторське </w:t>
      </w:r>
      <w:r w:rsidR="003B1C33" w:rsidRPr="00DB575F">
        <w:rPr>
          <w:spacing w:val="-4"/>
          <w:sz w:val="28"/>
          <w:szCs w:val="28"/>
          <w:lang w:val="uk-UA"/>
        </w:rPr>
        <w:t xml:space="preserve">право </w:t>
      </w:r>
      <w:r w:rsidRPr="00DB575F">
        <w:rPr>
          <w:spacing w:val="-4"/>
          <w:sz w:val="28"/>
          <w:szCs w:val="28"/>
          <w:lang w:val="uk-UA"/>
        </w:rPr>
        <w:t>та/</w:t>
      </w:r>
      <w:r w:rsidR="003B1C33" w:rsidRPr="00DB575F">
        <w:rPr>
          <w:spacing w:val="-4"/>
          <w:sz w:val="28"/>
          <w:szCs w:val="28"/>
          <w:lang w:val="uk-UA"/>
        </w:rPr>
        <w:t>або суміжні»;</w:t>
      </w:r>
    </w:p>
    <w:p w:rsidR="00B50047" w:rsidRPr="00DB575F" w:rsidRDefault="00B8685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z w:val="28"/>
          <w:szCs w:val="28"/>
          <w:lang w:val="uk-UA"/>
        </w:rPr>
        <w:t>в</w:t>
      </w:r>
      <w:r w:rsidR="0094387D" w:rsidRPr="00DB575F">
        <w:rPr>
          <w:sz w:val="28"/>
          <w:szCs w:val="28"/>
          <w:lang w:val="uk-UA"/>
        </w:rPr>
        <w:t xml:space="preserve"> абзаці четвертому </w:t>
      </w:r>
      <w:r w:rsidR="0094387D" w:rsidRPr="00DB575F">
        <w:rPr>
          <w:spacing w:val="-4"/>
          <w:sz w:val="28"/>
          <w:szCs w:val="28"/>
          <w:lang w:val="uk-UA"/>
        </w:rPr>
        <w:t>слова «знаки для товарів і послуг (товарні знаки, торгові марки,</w:t>
      </w:r>
      <w:r w:rsidR="00830371" w:rsidRPr="00DB575F">
        <w:rPr>
          <w:lang w:val="ru-RU"/>
        </w:rPr>
        <w:t xml:space="preserve"> </w:t>
      </w:r>
      <w:r w:rsidR="00830371" w:rsidRPr="00DB575F">
        <w:rPr>
          <w:spacing w:val="-4"/>
          <w:sz w:val="28"/>
          <w:szCs w:val="28"/>
          <w:lang w:val="uk-UA"/>
        </w:rPr>
        <w:t>фірмові найменування тощо)</w:t>
      </w:r>
      <w:r w:rsidR="0094387D" w:rsidRPr="00DB575F">
        <w:rPr>
          <w:spacing w:val="-4"/>
          <w:sz w:val="28"/>
          <w:szCs w:val="28"/>
          <w:lang w:val="uk-UA"/>
        </w:rPr>
        <w:t>» замінити словами «торговельні марки (</w:t>
      </w:r>
      <w:r w:rsidR="00830371" w:rsidRPr="00DB575F">
        <w:rPr>
          <w:spacing w:val="-4"/>
          <w:sz w:val="28"/>
          <w:szCs w:val="28"/>
          <w:lang w:val="uk-UA"/>
        </w:rPr>
        <w:t>фірмові найменування тощо)</w:t>
      </w:r>
      <w:r w:rsidR="0094387D" w:rsidRPr="00DB575F">
        <w:rPr>
          <w:spacing w:val="-4"/>
          <w:sz w:val="28"/>
          <w:szCs w:val="28"/>
          <w:lang w:val="uk-UA"/>
        </w:rPr>
        <w:t>»;</w:t>
      </w:r>
    </w:p>
    <w:p w:rsidR="007C6ABD" w:rsidRPr="00DB575F" w:rsidRDefault="007C6AB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</w:p>
    <w:p w:rsidR="00B50047" w:rsidRPr="00DB575F" w:rsidRDefault="00F339F5" w:rsidP="009B3A2C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bookmarkStart w:id="7" w:name="n45"/>
      <w:bookmarkStart w:id="8" w:name="n50"/>
      <w:bookmarkEnd w:id="7"/>
      <w:bookmarkEnd w:id="8"/>
      <w:r w:rsidRPr="00DB575F">
        <w:rPr>
          <w:sz w:val="28"/>
          <w:szCs w:val="28"/>
          <w:lang w:val="uk-UA"/>
        </w:rPr>
        <w:t xml:space="preserve">3) </w:t>
      </w:r>
      <w:r w:rsidR="00830371" w:rsidRPr="00DB575F">
        <w:rPr>
          <w:spacing w:val="-4"/>
          <w:sz w:val="28"/>
          <w:szCs w:val="28"/>
          <w:lang w:val="uk-UA"/>
        </w:rPr>
        <w:t xml:space="preserve">абзац шостий </w:t>
      </w:r>
      <w:hyperlink r:id="rId10" w:anchor="n102" w:tgtFrame="_blank">
        <w:r w:rsidRPr="00DB575F">
          <w:rPr>
            <w:spacing w:val="-4"/>
            <w:sz w:val="28"/>
            <w:szCs w:val="28"/>
            <w:lang w:val="uk-UA"/>
          </w:rPr>
          <w:t>пункт</w:t>
        </w:r>
        <w:r w:rsidR="00830371" w:rsidRPr="00DB575F">
          <w:rPr>
            <w:spacing w:val="-4"/>
            <w:sz w:val="28"/>
            <w:szCs w:val="28"/>
            <w:lang w:val="uk-UA"/>
          </w:rPr>
          <w:t>у</w:t>
        </w:r>
        <w:r w:rsidRPr="00DB575F">
          <w:rPr>
            <w:spacing w:val="-4"/>
            <w:sz w:val="28"/>
            <w:szCs w:val="28"/>
            <w:lang w:val="uk-UA"/>
          </w:rPr>
          <w:t xml:space="preserve"> </w:t>
        </w:r>
        <w:r w:rsidR="001F123F" w:rsidRPr="00DB575F">
          <w:rPr>
            <w:spacing w:val="-4"/>
            <w:sz w:val="28"/>
            <w:szCs w:val="28"/>
            <w:lang w:val="uk-UA"/>
          </w:rPr>
          <w:t>4</w:t>
        </w:r>
      </w:hyperlink>
      <w:r w:rsidRPr="00DB575F">
        <w:rPr>
          <w:spacing w:val="-4"/>
          <w:sz w:val="28"/>
          <w:szCs w:val="28"/>
          <w:lang w:val="uk-UA"/>
        </w:rPr>
        <w:t xml:space="preserve"> викласти в </w:t>
      </w:r>
      <w:r w:rsidR="00830371" w:rsidRPr="00DB575F">
        <w:rPr>
          <w:spacing w:val="-4"/>
          <w:sz w:val="28"/>
          <w:szCs w:val="28"/>
          <w:lang w:val="uk-UA"/>
        </w:rPr>
        <w:t xml:space="preserve">такій </w:t>
      </w:r>
      <w:r w:rsidRPr="00DB575F">
        <w:rPr>
          <w:spacing w:val="-4"/>
          <w:sz w:val="28"/>
          <w:szCs w:val="28"/>
          <w:lang w:val="uk-UA"/>
        </w:rPr>
        <w:t>редакції:</w:t>
      </w:r>
    </w:p>
    <w:p w:rsidR="001F123F" w:rsidRPr="00DB575F" w:rsidRDefault="00F339F5" w:rsidP="00C86483">
      <w:pPr>
        <w:tabs>
          <w:tab w:val="left" w:pos="560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bookmarkStart w:id="9" w:name="n51"/>
      <w:bookmarkEnd w:id="9"/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1F123F" w:rsidRPr="00DB575F">
        <w:rPr>
          <w:rFonts w:ascii="Times New Roman" w:hAnsi="Times New Roman"/>
          <w:spacing w:val="-4"/>
          <w:sz w:val="28"/>
          <w:szCs w:val="28"/>
          <w:lang w:val="uk-UA"/>
        </w:rPr>
        <w:t>справедлива вартість у разі отримання нематеріального активу в результаті обміну на інший актив згідно із законодавством.»</w:t>
      </w:r>
      <w:r w:rsidR="007E6F22" w:rsidRPr="00DB575F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B3A2C" w:rsidRPr="00DB575F" w:rsidRDefault="009B3A2C" w:rsidP="009B3A2C">
      <w:pPr>
        <w:spacing w:after="0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61AB8" w:rsidRPr="00DB575F" w:rsidRDefault="00261AB8" w:rsidP="009B3A2C">
      <w:pPr>
        <w:spacing w:after="0"/>
        <w:ind w:left="567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4) пункт 6 викласти </w:t>
      </w:r>
      <w:r w:rsidR="00363EBB"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в </w:t>
      </w:r>
      <w:r w:rsidR="00830371"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такій 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редакції: </w:t>
      </w:r>
    </w:p>
    <w:p w:rsidR="00261AB8" w:rsidRPr="00DB575F" w:rsidRDefault="00261AB8" w:rsidP="00363EBB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«6. Первісною вартістю об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єкта нема</w:t>
      </w:r>
      <w:r w:rsidR="00B12472" w:rsidRPr="00DB575F">
        <w:rPr>
          <w:rFonts w:ascii="Times New Roman" w:hAnsi="Times New Roman"/>
          <w:spacing w:val="-4"/>
          <w:sz w:val="28"/>
          <w:szCs w:val="28"/>
          <w:lang w:val="uk-UA"/>
        </w:rPr>
        <w:t>теріальних активів, отриманого в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 результаті обміну на інший актив згідно </w:t>
      </w:r>
      <w:r w:rsidR="00B12472" w:rsidRPr="00DB575F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з законодавством, є його справедлива вартість на дату оприбуткування. Якщо справедливу вартіс</w:t>
      </w:r>
      <w:r w:rsidR="00363EBB" w:rsidRPr="00DB575F">
        <w:rPr>
          <w:rFonts w:ascii="Times New Roman" w:hAnsi="Times New Roman"/>
          <w:spacing w:val="-4"/>
          <w:sz w:val="28"/>
          <w:szCs w:val="28"/>
          <w:lang w:val="uk-UA"/>
        </w:rPr>
        <w:t>ть отриманого або переданого об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єкта нематеріальних активів визначити неможливо, п</w:t>
      </w:r>
      <w:r w:rsidR="00363EBB" w:rsidRPr="00DB575F">
        <w:rPr>
          <w:rFonts w:ascii="Times New Roman" w:hAnsi="Times New Roman"/>
          <w:spacing w:val="-4"/>
          <w:sz w:val="28"/>
          <w:szCs w:val="28"/>
          <w:lang w:val="uk-UA"/>
        </w:rPr>
        <w:t>ервісною вартістю отриманого об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єкта нематеріальних активів є первісна (переоцінена) вартість переданого активу з урахуванням суми накопиченої амортизації.»</w:t>
      </w:r>
      <w:r w:rsidR="007E6F22" w:rsidRPr="00DB575F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B3A2C" w:rsidRPr="00DB575F" w:rsidRDefault="009B3A2C" w:rsidP="009B3A2C">
      <w:pPr>
        <w:spacing w:after="0"/>
        <w:ind w:firstLine="567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50047" w:rsidRPr="00DB575F" w:rsidRDefault="007E6F22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  <w:lang w:val="uk-UA"/>
        </w:rPr>
      </w:pPr>
      <w:r w:rsidRPr="00DB575F">
        <w:rPr>
          <w:sz w:val="28"/>
          <w:szCs w:val="28"/>
          <w:lang w:val="uk-UA"/>
        </w:rPr>
        <w:t xml:space="preserve">5) </w:t>
      </w:r>
      <w:r w:rsidR="00830371" w:rsidRPr="00DB575F">
        <w:rPr>
          <w:sz w:val="28"/>
          <w:szCs w:val="28"/>
          <w:lang w:val="uk-UA"/>
        </w:rPr>
        <w:t xml:space="preserve">доповнити </w:t>
      </w:r>
      <w:r w:rsidRPr="00DB575F">
        <w:rPr>
          <w:sz w:val="28"/>
          <w:szCs w:val="28"/>
          <w:lang w:val="uk-UA"/>
        </w:rPr>
        <w:t xml:space="preserve">пункт 12 </w:t>
      </w:r>
      <w:r w:rsidR="00862516" w:rsidRPr="00DB575F">
        <w:rPr>
          <w:sz w:val="28"/>
          <w:szCs w:val="28"/>
          <w:lang w:val="uk-UA"/>
        </w:rPr>
        <w:t xml:space="preserve">новим </w:t>
      </w:r>
      <w:r w:rsidRPr="00DB575F">
        <w:rPr>
          <w:sz w:val="28"/>
          <w:szCs w:val="28"/>
          <w:lang w:val="uk-UA"/>
        </w:rPr>
        <w:t>абзацом такого змісту:</w:t>
      </w:r>
    </w:p>
    <w:p w:rsidR="007E6F22" w:rsidRPr="00DB575F" w:rsidRDefault="007E6F22" w:rsidP="00363EB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>«внутрішньо генеровані бренди, заголовки, назви видань, переліки користувачів послуг та інші подібні за своєю сутністю об</w:t>
      </w:r>
      <w:r w:rsidR="00DA47AA" w:rsidRPr="00DB575F">
        <w:rPr>
          <w:spacing w:val="-4"/>
          <w:sz w:val="28"/>
          <w:szCs w:val="28"/>
          <w:lang w:val="uk-UA"/>
        </w:rPr>
        <w:t>’</w:t>
      </w:r>
      <w:r w:rsidRPr="00DB575F">
        <w:rPr>
          <w:spacing w:val="-4"/>
          <w:sz w:val="28"/>
          <w:szCs w:val="28"/>
          <w:lang w:val="uk-UA"/>
        </w:rPr>
        <w:t>єкти.».</w:t>
      </w:r>
    </w:p>
    <w:p w:rsidR="007E6F22" w:rsidRPr="00DB575F" w:rsidRDefault="007E6F22" w:rsidP="00261AB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  <w:lang w:val="uk-UA"/>
        </w:rPr>
      </w:pPr>
    </w:p>
    <w:p w:rsidR="00B50047" w:rsidRPr="00DB575F" w:rsidRDefault="00D75372" w:rsidP="00AC501D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bookmarkStart w:id="10" w:name="n52"/>
      <w:bookmarkStart w:id="11" w:name="n55"/>
      <w:bookmarkEnd w:id="10"/>
      <w:bookmarkEnd w:id="11"/>
      <w:r w:rsidRPr="00DB575F">
        <w:rPr>
          <w:sz w:val="28"/>
          <w:szCs w:val="28"/>
          <w:lang w:val="uk-UA"/>
        </w:rPr>
        <w:t>У розділі ІІІ:</w:t>
      </w:r>
    </w:p>
    <w:p w:rsidR="00D75372" w:rsidRPr="00DB575F" w:rsidRDefault="00830371" w:rsidP="0047056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pacing w:val="-4"/>
          <w:sz w:val="28"/>
          <w:szCs w:val="28"/>
        </w:rPr>
      </w:pPr>
      <w:r w:rsidRPr="00DB575F">
        <w:rPr>
          <w:rFonts w:ascii="Times New Roman" w:hAnsi="Times New Roman"/>
          <w:spacing w:val="-4"/>
          <w:sz w:val="28"/>
          <w:szCs w:val="28"/>
        </w:rPr>
        <w:t xml:space="preserve">доповнити </w:t>
      </w:r>
      <w:r w:rsidR="00D75372" w:rsidRPr="00DB575F">
        <w:rPr>
          <w:rFonts w:ascii="Times New Roman" w:hAnsi="Times New Roman"/>
          <w:spacing w:val="-4"/>
          <w:sz w:val="28"/>
          <w:szCs w:val="28"/>
        </w:rPr>
        <w:t xml:space="preserve">пункт 6 </w:t>
      </w:r>
      <w:r w:rsidR="00072EED" w:rsidRPr="00DB575F">
        <w:rPr>
          <w:rFonts w:ascii="Times New Roman" w:hAnsi="Times New Roman"/>
          <w:spacing w:val="-4"/>
          <w:sz w:val="28"/>
          <w:szCs w:val="28"/>
        </w:rPr>
        <w:t xml:space="preserve">новим </w:t>
      </w:r>
      <w:r w:rsidR="00D75372" w:rsidRPr="00DB575F">
        <w:rPr>
          <w:rFonts w:ascii="Times New Roman" w:hAnsi="Times New Roman"/>
          <w:spacing w:val="-4"/>
          <w:sz w:val="28"/>
          <w:szCs w:val="28"/>
        </w:rPr>
        <w:t>абзацом</w:t>
      </w:r>
      <w:r w:rsidR="009B3A2C" w:rsidRPr="00DB575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5372" w:rsidRPr="00DB575F">
        <w:rPr>
          <w:rFonts w:ascii="Times New Roman" w:hAnsi="Times New Roman"/>
          <w:spacing w:val="-4"/>
          <w:sz w:val="28"/>
          <w:szCs w:val="28"/>
        </w:rPr>
        <w:t>такого змісту:</w:t>
      </w:r>
    </w:p>
    <w:p w:rsidR="00D75372" w:rsidRPr="00DB575F" w:rsidRDefault="00D75372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«Якщо більше неможливо визначити справедливу вартість переоціненого нематеріального активу (оскільки для нього не існує активного ринку), цей актив відображається за переоціненою первісною вартістю на дату останньої переоцінки з використанням даних</w:t>
      </w:r>
      <w:r w:rsidRPr="00DB575F">
        <w:rPr>
          <w:rFonts w:ascii="Times New Roman" w:hAnsi="Times New Roman"/>
          <w:sz w:val="28"/>
          <w:szCs w:val="28"/>
          <w:lang w:val="uk-UA"/>
        </w:rPr>
        <w:t xml:space="preserve"> активного ринку за вирахуванням суми будь-якої накопиченої амортизації та будь-яких накопичених втрат від зменшення 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корисності.»</w:t>
      </w:r>
      <w:r w:rsidR="00FE30E9" w:rsidRPr="00DB575F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AC501D" w:rsidRPr="00DB575F" w:rsidRDefault="00AC501D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50047" w:rsidRPr="00DB575F" w:rsidRDefault="00FE30E9" w:rsidP="00470566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B575F">
        <w:rPr>
          <w:sz w:val="28"/>
          <w:szCs w:val="28"/>
          <w:lang w:val="uk-UA"/>
        </w:rPr>
        <w:t>абзац другий пункту 7 виключити.</w:t>
      </w:r>
    </w:p>
    <w:p w:rsidR="00033A10" w:rsidRPr="00DB575F" w:rsidRDefault="00033A10" w:rsidP="00730BAB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>У зв</w:t>
      </w:r>
      <w:r w:rsidR="00DA47AA" w:rsidRPr="00DB575F">
        <w:rPr>
          <w:spacing w:val="-4"/>
          <w:sz w:val="28"/>
          <w:szCs w:val="28"/>
          <w:lang w:val="uk-UA"/>
        </w:rPr>
        <w:t>’</w:t>
      </w:r>
      <w:r w:rsidRPr="00DB575F">
        <w:rPr>
          <w:spacing w:val="-4"/>
          <w:sz w:val="28"/>
          <w:szCs w:val="28"/>
          <w:lang w:val="uk-UA"/>
        </w:rPr>
        <w:t>язку з цим абзац третій вважати абзацом другим.</w:t>
      </w:r>
    </w:p>
    <w:p w:rsidR="00FE30E9" w:rsidRPr="00DB575F" w:rsidRDefault="00FE30E9" w:rsidP="00470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50047" w:rsidRPr="00DB575F" w:rsidRDefault="00F339F5" w:rsidP="00470566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12" w:name="n56"/>
      <w:bookmarkStart w:id="13" w:name="n64"/>
      <w:bookmarkStart w:id="14" w:name="n66"/>
      <w:bookmarkEnd w:id="12"/>
      <w:bookmarkEnd w:id="13"/>
      <w:bookmarkEnd w:id="14"/>
      <w:r w:rsidRPr="00DB575F">
        <w:rPr>
          <w:sz w:val="28"/>
          <w:szCs w:val="28"/>
          <w:lang w:val="uk-UA"/>
        </w:rPr>
        <w:t xml:space="preserve">У </w:t>
      </w:r>
      <w:hyperlink r:id="rId11" w:anchor="n120" w:tgtFrame="_blank">
        <w:r w:rsidRPr="00DB575F">
          <w:rPr>
            <w:rStyle w:val="af"/>
            <w:color w:val="auto"/>
            <w:sz w:val="28"/>
            <w:szCs w:val="28"/>
            <w:u w:val="none"/>
            <w:lang w:val="uk-UA"/>
          </w:rPr>
          <w:t>розділі ІV</w:t>
        </w:r>
      </w:hyperlink>
      <w:r w:rsidRPr="00DB575F">
        <w:rPr>
          <w:sz w:val="28"/>
          <w:szCs w:val="28"/>
          <w:lang w:val="uk-UA"/>
        </w:rPr>
        <w:t>:</w:t>
      </w:r>
    </w:p>
    <w:p w:rsidR="00B50047" w:rsidRPr="00DB575F" w:rsidRDefault="00B50047" w:rsidP="00470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50047" w:rsidRPr="00DB575F" w:rsidRDefault="007746F6" w:rsidP="00470566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pacing w:val="-4"/>
          <w:sz w:val="28"/>
          <w:szCs w:val="28"/>
        </w:rPr>
      </w:pPr>
      <w:bookmarkStart w:id="15" w:name="n67"/>
      <w:bookmarkEnd w:id="15"/>
      <w:r w:rsidRPr="00DB575F">
        <w:rPr>
          <w:rFonts w:ascii="Times New Roman" w:hAnsi="Times New Roman"/>
          <w:sz w:val="28"/>
          <w:szCs w:val="28"/>
        </w:rPr>
        <w:t>пункт</w:t>
      </w:r>
      <w:r w:rsidR="00F339F5" w:rsidRPr="00DB575F">
        <w:rPr>
          <w:rFonts w:ascii="Times New Roman" w:hAnsi="Times New Roman"/>
          <w:sz w:val="28"/>
          <w:szCs w:val="28"/>
        </w:rPr>
        <w:t xml:space="preserve"> </w:t>
      </w:r>
      <w:r w:rsidRPr="00DB575F">
        <w:rPr>
          <w:rFonts w:ascii="Times New Roman" w:hAnsi="Times New Roman"/>
          <w:sz w:val="28"/>
          <w:szCs w:val="28"/>
        </w:rPr>
        <w:t xml:space="preserve">5 </w:t>
      </w:r>
      <w:r w:rsidRPr="00DB575F">
        <w:rPr>
          <w:rFonts w:ascii="Times New Roman" w:hAnsi="Times New Roman"/>
          <w:spacing w:val="-4"/>
          <w:sz w:val="28"/>
          <w:szCs w:val="28"/>
        </w:rPr>
        <w:t xml:space="preserve">викласти </w:t>
      </w:r>
      <w:r w:rsidR="00363EBB" w:rsidRPr="00DB575F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830371" w:rsidRPr="00DB575F">
        <w:rPr>
          <w:rFonts w:ascii="Times New Roman" w:hAnsi="Times New Roman"/>
          <w:spacing w:val="-4"/>
          <w:sz w:val="28"/>
          <w:szCs w:val="28"/>
        </w:rPr>
        <w:t xml:space="preserve">такій </w:t>
      </w:r>
      <w:r w:rsidRPr="00DB575F">
        <w:rPr>
          <w:rFonts w:ascii="Times New Roman" w:hAnsi="Times New Roman"/>
          <w:spacing w:val="-4"/>
          <w:sz w:val="28"/>
          <w:szCs w:val="28"/>
        </w:rPr>
        <w:t>редакції</w:t>
      </w:r>
      <w:r w:rsidR="00F339F5" w:rsidRPr="00DB575F">
        <w:rPr>
          <w:rFonts w:ascii="Times New Roman" w:hAnsi="Times New Roman"/>
          <w:spacing w:val="-4"/>
          <w:sz w:val="28"/>
          <w:szCs w:val="28"/>
        </w:rPr>
        <w:t>:</w:t>
      </w:r>
    </w:p>
    <w:p w:rsidR="007746F6" w:rsidRPr="00DB575F" w:rsidRDefault="007746F6" w:rsidP="004705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«5. Строк корисного використання, ліквідаційна вартість та метод амортизації нематеріального активу переглядається</w:t>
      </w:r>
      <w:r w:rsidRPr="00DB575F">
        <w:rPr>
          <w:rFonts w:ascii="Times New Roman" w:hAnsi="Times New Roman"/>
          <w:sz w:val="28"/>
          <w:szCs w:val="28"/>
          <w:lang w:val="uk-UA"/>
        </w:rPr>
        <w:t xml:space="preserve"> на кінець звітного року, якщо в наступному </w:t>
      </w:r>
      <w:r w:rsidRPr="00DB575F">
        <w:rPr>
          <w:rFonts w:ascii="Times New Roman" w:hAnsi="Times New Roman"/>
          <w:sz w:val="28"/>
          <w:szCs w:val="28"/>
          <w:lang w:val="uk-UA"/>
        </w:rPr>
        <w:lastRenderedPageBreak/>
        <w:t>періоді очікуються зміни строку корисного використання активу або зміни умов отримання майбутніх економічних вигід. Нематеріальні активи з невизначеним строком корисного використання також на кінець кожного звітного року оцінюються на наявність ознак невизначеності строку їх корисного використання та за відсутності таких ознак суб</w:t>
      </w:r>
      <w:r w:rsidR="00DA47AA" w:rsidRPr="00DB575F">
        <w:rPr>
          <w:rFonts w:ascii="Times New Roman" w:hAnsi="Times New Roman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z w:val="28"/>
          <w:szCs w:val="28"/>
          <w:lang w:val="uk-UA"/>
        </w:rPr>
        <w:t>єктом державного сектору установлюється строк корисного використання таких нематеріальних активів. Якщо суб</w:t>
      </w:r>
      <w:r w:rsidR="00DA47AA" w:rsidRPr="00DB575F">
        <w:rPr>
          <w:rFonts w:ascii="Times New Roman" w:hAnsi="Times New Roman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z w:val="28"/>
          <w:szCs w:val="28"/>
          <w:lang w:val="uk-UA"/>
        </w:rPr>
        <w:t xml:space="preserve">єкт державного сектору описує чинник (чинники), які суттєво впливають на наявність ознак невизначеності строку корисної експлуатації нематеріального активу, він враховує перелік чинників, визначених у пункті 4 </w:t>
      </w:r>
      <w:r w:rsidR="00A47CE5" w:rsidRPr="00DB575F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DB575F">
        <w:rPr>
          <w:rFonts w:ascii="Times New Roman" w:hAnsi="Times New Roman"/>
          <w:sz w:val="28"/>
          <w:szCs w:val="28"/>
          <w:lang w:val="uk-UA"/>
        </w:rPr>
        <w:t>розділу, та наводить інформацію про причини, які підтверджують оцінку строку корисної експлуатації нематеріального активу як невизначеного у примітках до фінансових звітів.</w:t>
      </w:r>
    </w:p>
    <w:p w:rsidR="007746F6" w:rsidRPr="00DB575F" w:rsidRDefault="007746F6" w:rsidP="00470566">
      <w:pPr>
        <w:widowControl w:val="0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Строк корисної експлуатації нематеріального активу за угодою, яка має обов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язкову силу (включаючи права за контрактами чи інші юридичні права), не повинен перевищувати строк дії угоди, що має обов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язкову силу (включаючи права за контрактами чи інші юридичні права), але може бути коротшим від періоду, протягом якого суб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єкт державного сектору очікує використовувати актив. Якщо строк угоди, що мають обов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язкову силу (включаючи права за контрактами чи інші юридичні права), може бути подовжений, строк корисної експлуатації нематеріального активу повинен включати подовжений період (періоди), тільки якщо є свідчення, які підтверджують можливість такого подовження суб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єктом державного сектору без суттєвих витрат.</w:t>
      </w:r>
    </w:p>
    <w:p w:rsidR="007746F6" w:rsidRPr="00DB575F" w:rsidRDefault="007746F6" w:rsidP="00470566">
      <w:pPr>
        <w:widowControl w:val="0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Амортизація нематеріального активу нараховується </w:t>
      </w:r>
      <w:r w:rsidR="00B12472" w:rsidRPr="00DB575F">
        <w:rPr>
          <w:rFonts w:ascii="Times New Roman" w:hAnsi="Times New Roman"/>
          <w:spacing w:val="-4"/>
          <w:sz w:val="28"/>
          <w:szCs w:val="28"/>
          <w:lang w:val="uk-UA"/>
        </w:rPr>
        <w:t>з урахуванням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 нового строку корисного використання, методу нарахування амортизації та ліквідаційної вартості, починаючи з місяця, наступного за місяцем змін.</w:t>
      </w:r>
    </w:p>
    <w:p w:rsidR="00B50047" w:rsidRPr="00DB575F" w:rsidRDefault="00B12472" w:rsidP="004705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>Зміни</w:t>
      </w:r>
      <w:r w:rsidR="007746F6" w:rsidRPr="00DB575F">
        <w:rPr>
          <w:spacing w:val="-4"/>
          <w:sz w:val="28"/>
          <w:szCs w:val="28"/>
          <w:lang w:val="uk-UA"/>
        </w:rPr>
        <w:t xml:space="preserve"> строку корисного використання, ліквідаційної вартості та методу амортизації нематеріального активу відображаються як зміни облікових оцінок відповідно до </w:t>
      </w:r>
      <w:hyperlink r:id="rId12" w:tgtFrame="_blank" w:history="1">
        <w:r w:rsidR="007746F6" w:rsidRPr="00DB575F">
          <w:rPr>
            <w:spacing w:val="-4"/>
            <w:sz w:val="28"/>
            <w:szCs w:val="28"/>
            <w:lang w:val="uk-UA"/>
          </w:rPr>
          <w:t>Національного положення (стандарту) бухгалтерського обліку в державному секторі 125 «Зміни облікових оцінок та виправлення помилок</w:t>
        </w:r>
      </w:hyperlink>
      <w:r w:rsidR="007746F6" w:rsidRPr="00DB575F">
        <w:rPr>
          <w:spacing w:val="-4"/>
          <w:sz w:val="28"/>
          <w:szCs w:val="28"/>
          <w:lang w:val="uk-UA"/>
        </w:rPr>
        <w:t>», затвердженого наказом Міністерства фінансів України від 24 грудня 2010 року</w:t>
      </w:r>
      <w:r w:rsidR="00C86483" w:rsidRPr="00DB575F">
        <w:rPr>
          <w:spacing w:val="-4"/>
          <w:sz w:val="28"/>
          <w:szCs w:val="28"/>
          <w:lang w:val="uk-UA"/>
        </w:rPr>
        <w:br/>
      </w:r>
      <w:r w:rsidR="007746F6" w:rsidRPr="00DB575F">
        <w:rPr>
          <w:spacing w:val="-4"/>
          <w:sz w:val="28"/>
          <w:szCs w:val="28"/>
          <w:lang w:val="uk-UA"/>
        </w:rPr>
        <w:t>№ 1629, зареєстрованого в Міністерстві юст</w:t>
      </w:r>
      <w:r w:rsidR="005B12E3" w:rsidRPr="00DB575F">
        <w:rPr>
          <w:spacing w:val="-4"/>
          <w:sz w:val="28"/>
          <w:szCs w:val="28"/>
          <w:lang w:val="uk-UA"/>
        </w:rPr>
        <w:t>иції України 20 січня 2011 року</w:t>
      </w:r>
      <w:r w:rsidR="007746F6" w:rsidRPr="00DB575F">
        <w:rPr>
          <w:spacing w:val="-4"/>
          <w:sz w:val="28"/>
          <w:szCs w:val="28"/>
          <w:lang w:val="uk-UA"/>
        </w:rPr>
        <w:t xml:space="preserve"> </w:t>
      </w:r>
      <w:r w:rsidR="00C86483" w:rsidRPr="00DB575F">
        <w:rPr>
          <w:spacing w:val="-4"/>
          <w:sz w:val="28"/>
          <w:szCs w:val="28"/>
          <w:lang w:val="uk-UA"/>
        </w:rPr>
        <w:br/>
      </w:r>
      <w:r w:rsidR="007746F6" w:rsidRPr="00DB575F">
        <w:rPr>
          <w:spacing w:val="-4"/>
          <w:sz w:val="28"/>
          <w:szCs w:val="28"/>
          <w:lang w:val="uk-UA"/>
        </w:rPr>
        <w:t>за</w:t>
      </w:r>
      <w:r w:rsidR="00830371" w:rsidRPr="00DB575F">
        <w:rPr>
          <w:spacing w:val="-4"/>
          <w:sz w:val="28"/>
          <w:szCs w:val="28"/>
          <w:lang w:val="uk-UA"/>
        </w:rPr>
        <w:t xml:space="preserve"> </w:t>
      </w:r>
      <w:r w:rsidR="007746F6" w:rsidRPr="00DB575F">
        <w:rPr>
          <w:spacing w:val="-4"/>
          <w:sz w:val="28"/>
          <w:szCs w:val="28"/>
          <w:lang w:val="uk-UA"/>
        </w:rPr>
        <w:t>№ 90/18828.»</w:t>
      </w:r>
      <w:r w:rsidR="008B316B" w:rsidRPr="00DB575F">
        <w:rPr>
          <w:spacing w:val="-4"/>
          <w:sz w:val="28"/>
          <w:szCs w:val="28"/>
          <w:lang w:val="uk-UA"/>
        </w:rPr>
        <w:t>;</w:t>
      </w:r>
    </w:p>
    <w:p w:rsidR="007746F6" w:rsidRPr="00DB575F" w:rsidRDefault="007746F6" w:rsidP="004705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</w:p>
    <w:p w:rsidR="004D4864" w:rsidRPr="00DB575F" w:rsidRDefault="00F339F5" w:rsidP="00470566">
      <w:pPr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bookmarkStart w:id="16" w:name="n69"/>
      <w:bookmarkStart w:id="17" w:name="n74"/>
      <w:bookmarkStart w:id="18" w:name="n75"/>
      <w:bookmarkEnd w:id="16"/>
      <w:bookmarkEnd w:id="17"/>
      <w:bookmarkEnd w:id="18"/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2) </w:t>
      </w:r>
      <w:r w:rsidR="004D4864" w:rsidRPr="00DB575F">
        <w:rPr>
          <w:rFonts w:ascii="Times New Roman" w:hAnsi="Times New Roman"/>
          <w:spacing w:val="-4"/>
          <w:sz w:val="28"/>
          <w:szCs w:val="28"/>
          <w:lang w:val="uk-UA"/>
        </w:rPr>
        <w:t>абзац другий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 пункт</w:t>
      </w:r>
      <w:r w:rsidR="004D4864" w:rsidRPr="00DB575F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D4864"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8 </w:t>
      </w:r>
      <w:r w:rsidR="00E45627"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доповнити </w:t>
      </w:r>
      <w:r w:rsidR="004D4864" w:rsidRPr="00DB575F">
        <w:rPr>
          <w:rFonts w:ascii="Times New Roman" w:hAnsi="Times New Roman"/>
          <w:spacing w:val="-4"/>
          <w:sz w:val="28"/>
          <w:szCs w:val="28"/>
          <w:lang w:val="uk-UA"/>
        </w:rPr>
        <w:t>після слів «та витрат» словами «</w:t>
      </w:r>
      <w:r w:rsidR="00AC501D"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="004D4864"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крім випадків, коли сума цих витрат включається до собівартості іншого активу і балансової вартості такого активу». </w:t>
      </w:r>
    </w:p>
    <w:p w:rsidR="00481F10" w:rsidRPr="00DB575F" w:rsidRDefault="00481F10" w:rsidP="00470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B575F">
        <w:rPr>
          <w:spacing w:val="-4"/>
          <w:sz w:val="28"/>
          <w:szCs w:val="28"/>
          <w:lang w:val="uk-UA"/>
        </w:rPr>
        <w:t xml:space="preserve">5. </w:t>
      </w:r>
      <w:r w:rsidR="00C86483" w:rsidRPr="00DB575F">
        <w:rPr>
          <w:spacing w:val="-4"/>
          <w:sz w:val="28"/>
          <w:szCs w:val="28"/>
          <w:lang w:val="uk-UA"/>
        </w:rPr>
        <w:t>П</w:t>
      </w:r>
      <w:r w:rsidR="00830371" w:rsidRPr="00DB575F">
        <w:rPr>
          <w:spacing w:val="-4"/>
          <w:sz w:val="28"/>
          <w:szCs w:val="28"/>
          <w:lang w:val="uk-UA"/>
        </w:rPr>
        <w:t>ункт 2</w:t>
      </w:r>
      <w:r w:rsidR="00AC501D" w:rsidRPr="00DB575F">
        <w:rPr>
          <w:spacing w:val="-4"/>
          <w:sz w:val="28"/>
          <w:szCs w:val="28"/>
          <w:lang w:val="uk-UA"/>
        </w:rPr>
        <w:t xml:space="preserve"> </w:t>
      </w:r>
      <w:hyperlink r:id="rId13" w:anchor="n120" w:tgtFrame="_blank">
        <w:r w:rsidRPr="00DB575F">
          <w:rPr>
            <w:rStyle w:val="af"/>
            <w:color w:val="auto"/>
            <w:sz w:val="28"/>
            <w:szCs w:val="28"/>
            <w:u w:val="none"/>
            <w:lang w:val="uk-UA"/>
          </w:rPr>
          <w:t>розділ</w:t>
        </w:r>
        <w:r w:rsidR="00830371" w:rsidRPr="00DB575F">
          <w:rPr>
            <w:rStyle w:val="af"/>
            <w:color w:val="auto"/>
            <w:sz w:val="28"/>
            <w:szCs w:val="28"/>
            <w:u w:val="none"/>
            <w:lang w:val="uk-UA"/>
          </w:rPr>
          <w:t>у</w:t>
        </w:r>
        <w:r w:rsidRPr="00DB575F">
          <w:rPr>
            <w:rStyle w:val="af"/>
            <w:color w:val="auto"/>
            <w:sz w:val="28"/>
            <w:szCs w:val="28"/>
            <w:u w:val="none"/>
            <w:lang w:val="uk-UA"/>
          </w:rPr>
          <w:t xml:space="preserve"> V</w:t>
        </w:r>
      </w:hyperlink>
      <w:r w:rsidRPr="00DB575F">
        <w:rPr>
          <w:rStyle w:val="af"/>
          <w:color w:val="auto"/>
          <w:sz w:val="28"/>
          <w:szCs w:val="28"/>
          <w:u w:val="none"/>
          <w:lang w:val="uk-UA"/>
        </w:rPr>
        <w:t>ІІ</w:t>
      </w:r>
      <w:r w:rsidR="00650964" w:rsidRPr="00DB575F">
        <w:rPr>
          <w:sz w:val="28"/>
          <w:szCs w:val="28"/>
          <w:lang w:val="uk-UA"/>
        </w:rPr>
        <w:t xml:space="preserve"> </w:t>
      </w:r>
      <w:r w:rsidR="00C86483" w:rsidRPr="00DB575F">
        <w:rPr>
          <w:sz w:val="28"/>
          <w:szCs w:val="28"/>
          <w:lang w:val="uk-UA"/>
        </w:rPr>
        <w:t xml:space="preserve">доповнити </w:t>
      </w:r>
      <w:r w:rsidR="00830371" w:rsidRPr="00DB575F">
        <w:rPr>
          <w:spacing w:val="-4"/>
          <w:sz w:val="28"/>
          <w:szCs w:val="28"/>
          <w:lang w:val="uk-UA"/>
        </w:rPr>
        <w:t>після підпункту 2.1</w:t>
      </w:r>
      <w:r w:rsidRPr="00DB575F">
        <w:rPr>
          <w:spacing w:val="-4"/>
          <w:sz w:val="28"/>
          <w:szCs w:val="28"/>
          <w:lang w:val="uk-UA"/>
        </w:rPr>
        <w:t xml:space="preserve"> підпунктом 2.2 такого змісту:</w:t>
      </w:r>
    </w:p>
    <w:p w:rsidR="00650964" w:rsidRPr="00DB575F" w:rsidRDefault="00481F10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«2.2</w:t>
      </w:r>
      <w:r w:rsidR="00AC501D" w:rsidRPr="00DB575F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 xml:space="preserve"> Причини, які підтверджують оцінку строку корисної експлуатації нематеріального активу як невизначеного</w:t>
      </w:r>
      <w:r w:rsidR="006D0B67" w:rsidRPr="00DB575F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650964" w:rsidRPr="00DB575F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81F10" w:rsidRPr="00DB575F" w:rsidRDefault="00AC501D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B575F">
        <w:rPr>
          <w:rFonts w:ascii="Times New Roman" w:hAnsi="Times New Roman"/>
          <w:spacing w:val="-4"/>
          <w:sz w:val="28"/>
          <w:szCs w:val="28"/>
          <w:lang w:val="uk-UA"/>
        </w:rPr>
        <w:t>У зв</w:t>
      </w:r>
      <w:r w:rsidR="00DA47AA" w:rsidRPr="00DB575F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="00B12472" w:rsidRPr="00DB575F">
        <w:rPr>
          <w:rFonts w:ascii="Times New Roman" w:hAnsi="Times New Roman"/>
          <w:spacing w:val="-4"/>
          <w:sz w:val="28"/>
          <w:szCs w:val="28"/>
          <w:lang w:val="uk-UA"/>
        </w:rPr>
        <w:t>язку з цим підпункти 2.2–</w:t>
      </w:r>
      <w:r w:rsidR="00650964" w:rsidRPr="00DB575F">
        <w:rPr>
          <w:rFonts w:ascii="Times New Roman" w:hAnsi="Times New Roman"/>
          <w:spacing w:val="-4"/>
          <w:sz w:val="28"/>
          <w:szCs w:val="28"/>
          <w:lang w:val="uk-UA"/>
        </w:rPr>
        <w:t>2.7 вважати підпунктами 2.3</w:t>
      </w:r>
      <w:r w:rsidR="00B12472" w:rsidRPr="00DB575F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650964" w:rsidRPr="00DB575F">
        <w:rPr>
          <w:rFonts w:ascii="Times New Roman" w:hAnsi="Times New Roman"/>
          <w:spacing w:val="-4"/>
          <w:sz w:val="28"/>
          <w:szCs w:val="28"/>
          <w:lang w:val="uk-UA"/>
        </w:rPr>
        <w:t>2.8 відповідно.</w:t>
      </w:r>
    </w:p>
    <w:p w:rsidR="00B50047" w:rsidRPr="00DB575F" w:rsidRDefault="00B5004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0B67" w:rsidRPr="00DB575F" w:rsidRDefault="006D0B6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047" w:rsidRPr="00DB575F" w:rsidRDefault="00F339F5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75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методології </w:t>
      </w:r>
    </w:p>
    <w:p w:rsidR="00B50047" w:rsidRPr="00DB575F" w:rsidRDefault="00F339F5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75F">
        <w:rPr>
          <w:rFonts w:ascii="Times New Roman" w:hAnsi="Times New Roman"/>
          <w:b/>
          <w:sz w:val="28"/>
          <w:szCs w:val="28"/>
          <w:lang w:val="uk-UA"/>
        </w:rPr>
        <w:t xml:space="preserve">бухгалтерського обліку та нормативного </w:t>
      </w:r>
    </w:p>
    <w:p w:rsidR="00B50047" w:rsidRPr="00DB575F" w:rsidRDefault="00F339F5">
      <w:pPr>
        <w:rPr>
          <w:rFonts w:ascii="Times New Roman" w:hAnsi="Times New Roman"/>
          <w:sz w:val="28"/>
          <w:szCs w:val="28"/>
          <w:lang w:val="uk-UA"/>
        </w:rPr>
      </w:pPr>
      <w:r w:rsidRPr="00DB575F">
        <w:rPr>
          <w:rFonts w:ascii="Times New Roman" w:hAnsi="Times New Roman"/>
          <w:b/>
          <w:sz w:val="28"/>
          <w:szCs w:val="28"/>
          <w:lang w:val="uk-UA"/>
        </w:rPr>
        <w:t>забезпечення аудиторської діяльності                            Людмила ГАПОНЕНКО</w:t>
      </w:r>
    </w:p>
    <w:sectPr w:rsidR="00B50047" w:rsidRPr="00DB575F">
      <w:headerReference w:type="default" r:id="rId14"/>
      <w:pgSz w:w="12240" w:h="15840"/>
      <w:pgMar w:top="1134" w:right="567" w:bottom="1560" w:left="1701" w:header="56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E2" w:rsidRDefault="00290CE2">
      <w:pPr>
        <w:spacing w:after="0" w:line="240" w:lineRule="auto"/>
      </w:pPr>
    </w:p>
  </w:endnote>
  <w:endnote w:type="continuationSeparator" w:id="0">
    <w:p w:rsidR="00290CE2" w:rsidRDefault="00290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E2" w:rsidRDefault="00290CE2">
      <w:pPr>
        <w:spacing w:after="0" w:line="240" w:lineRule="auto"/>
      </w:pPr>
    </w:p>
  </w:footnote>
  <w:footnote w:type="continuationSeparator" w:id="0">
    <w:p w:rsidR="00290CE2" w:rsidRDefault="00290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47" w:rsidRPr="00DB575F" w:rsidRDefault="00F339F5">
    <w:pPr>
      <w:pStyle w:val="a3"/>
      <w:jc w:val="center"/>
      <w:rPr>
        <w:sz w:val="24"/>
        <w:szCs w:val="24"/>
      </w:rPr>
    </w:pPr>
    <w:r w:rsidRPr="00DB575F">
      <w:rPr>
        <w:rFonts w:ascii="Times New Roman" w:hAnsi="Times New Roman"/>
        <w:sz w:val="24"/>
        <w:szCs w:val="24"/>
      </w:rPr>
      <w:fldChar w:fldCharType="begin"/>
    </w:r>
    <w:r w:rsidRPr="00DB575F">
      <w:rPr>
        <w:rFonts w:ascii="Times New Roman" w:hAnsi="Times New Roman"/>
        <w:sz w:val="24"/>
        <w:szCs w:val="24"/>
      </w:rPr>
      <w:instrText>PAGE   \* MERGEFORMAT</w:instrText>
    </w:r>
    <w:r w:rsidRPr="00DB575F">
      <w:rPr>
        <w:rFonts w:ascii="Times New Roman" w:hAnsi="Times New Roman"/>
        <w:sz w:val="24"/>
        <w:szCs w:val="24"/>
      </w:rPr>
      <w:fldChar w:fldCharType="separate"/>
    </w:r>
    <w:r w:rsidR="00DF1929" w:rsidRPr="00DF1929">
      <w:rPr>
        <w:rFonts w:ascii="Times New Roman" w:hAnsi="Times New Roman"/>
        <w:noProof/>
        <w:sz w:val="24"/>
        <w:szCs w:val="24"/>
        <w:lang w:val="ru-RU"/>
      </w:rPr>
      <w:t>4</w:t>
    </w:r>
    <w:r w:rsidRPr="00DB575F">
      <w:rPr>
        <w:rFonts w:ascii="Times New Roman" w:hAnsi="Times New Roman"/>
        <w:sz w:val="24"/>
        <w:szCs w:val="24"/>
      </w:rPr>
      <w:fldChar w:fldCharType="end"/>
    </w:r>
  </w:p>
  <w:p w:rsidR="00B50047" w:rsidRDefault="00B50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36C"/>
    <w:multiLevelType w:val="hybridMultilevel"/>
    <w:tmpl w:val="2064FDFA"/>
    <w:lvl w:ilvl="0" w:tplc="8F263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97F58"/>
    <w:multiLevelType w:val="hybridMultilevel"/>
    <w:tmpl w:val="BFBACE2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387B3F"/>
    <w:multiLevelType w:val="hybridMultilevel"/>
    <w:tmpl w:val="19E84D56"/>
    <w:lvl w:ilvl="0" w:tplc="81C03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DE2B42"/>
    <w:multiLevelType w:val="hybridMultilevel"/>
    <w:tmpl w:val="38545660"/>
    <w:lvl w:ilvl="0" w:tplc="65E22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03DA7"/>
    <w:multiLevelType w:val="hybridMultilevel"/>
    <w:tmpl w:val="FACE4B7C"/>
    <w:lvl w:ilvl="0" w:tplc="B26EB592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37B689D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50E337F"/>
    <w:multiLevelType w:val="hybridMultilevel"/>
    <w:tmpl w:val="9CF4A4C8"/>
    <w:lvl w:ilvl="0" w:tplc="A9221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C40F04"/>
    <w:multiLevelType w:val="multilevel"/>
    <w:tmpl w:val="777AE508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"/>
      <w:lvlJc w:val="left"/>
      <w:pPr>
        <w:ind w:left="1100" w:hanging="42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8" w15:restartNumberingAfterBreak="0">
    <w:nsid w:val="2BF33345"/>
    <w:multiLevelType w:val="hybridMultilevel"/>
    <w:tmpl w:val="A1FA7A3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8E36A6D"/>
    <w:multiLevelType w:val="hybridMultilevel"/>
    <w:tmpl w:val="EF7ABAB8"/>
    <w:lvl w:ilvl="0" w:tplc="B88C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71869"/>
    <w:multiLevelType w:val="hybridMultilevel"/>
    <w:tmpl w:val="1B6A1D70"/>
    <w:lvl w:ilvl="0" w:tplc="C6449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B51090"/>
    <w:multiLevelType w:val="hybridMultilevel"/>
    <w:tmpl w:val="6DE2FAF4"/>
    <w:lvl w:ilvl="0" w:tplc="E2AC5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4E4376"/>
    <w:multiLevelType w:val="hybridMultilevel"/>
    <w:tmpl w:val="731EDD4A"/>
    <w:lvl w:ilvl="0" w:tplc="C22220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0E01B2"/>
    <w:multiLevelType w:val="hybridMultilevel"/>
    <w:tmpl w:val="E424CA6A"/>
    <w:lvl w:ilvl="0" w:tplc="DEE8F558">
      <w:start w:val="1"/>
      <w:numFmt w:val="decimal"/>
      <w:lvlText w:val="%1)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5934EB3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6850B5A"/>
    <w:multiLevelType w:val="hybridMultilevel"/>
    <w:tmpl w:val="F8BAA57E"/>
    <w:lvl w:ilvl="0" w:tplc="379A6270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7B4262F6"/>
    <w:multiLevelType w:val="hybridMultilevel"/>
    <w:tmpl w:val="185284C8"/>
    <w:lvl w:ilvl="0" w:tplc="CBB6A26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47"/>
    <w:rsid w:val="00021842"/>
    <w:rsid w:val="00033A10"/>
    <w:rsid w:val="00051201"/>
    <w:rsid w:val="00072EED"/>
    <w:rsid w:val="001D3EB1"/>
    <w:rsid w:val="001D458B"/>
    <w:rsid w:val="001F123F"/>
    <w:rsid w:val="0024293B"/>
    <w:rsid w:val="0024302A"/>
    <w:rsid w:val="002579D5"/>
    <w:rsid w:val="00261AB8"/>
    <w:rsid w:val="00272C7C"/>
    <w:rsid w:val="00290CE2"/>
    <w:rsid w:val="00295863"/>
    <w:rsid w:val="00305DA1"/>
    <w:rsid w:val="0032612F"/>
    <w:rsid w:val="00341492"/>
    <w:rsid w:val="00363EBB"/>
    <w:rsid w:val="00367864"/>
    <w:rsid w:val="0037752E"/>
    <w:rsid w:val="00381BA8"/>
    <w:rsid w:val="003B1C33"/>
    <w:rsid w:val="003C5F23"/>
    <w:rsid w:val="003E2050"/>
    <w:rsid w:val="00466CDC"/>
    <w:rsid w:val="00470566"/>
    <w:rsid w:val="00481F10"/>
    <w:rsid w:val="004D4864"/>
    <w:rsid w:val="004F4B51"/>
    <w:rsid w:val="0053135F"/>
    <w:rsid w:val="00541BD3"/>
    <w:rsid w:val="00556B41"/>
    <w:rsid w:val="0058021B"/>
    <w:rsid w:val="005A01AC"/>
    <w:rsid w:val="005B12E3"/>
    <w:rsid w:val="00641DC7"/>
    <w:rsid w:val="006472E3"/>
    <w:rsid w:val="00650964"/>
    <w:rsid w:val="00660759"/>
    <w:rsid w:val="006A5FD6"/>
    <w:rsid w:val="006C0382"/>
    <w:rsid w:val="006D0B67"/>
    <w:rsid w:val="00730BAB"/>
    <w:rsid w:val="00734A89"/>
    <w:rsid w:val="007746F6"/>
    <w:rsid w:val="00790982"/>
    <w:rsid w:val="007C4CA7"/>
    <w:rsid w:val="007C6ABD"/>
    <w:rsid w:val="007E6F22"/>
    <w:rsid w:val="00820787"/>
    <w:rsid w:val="00830371"/>
    <w:rsid w:val="00862516"/>
    <w:rsid w:val="008A30F4"/>
    <w:rsid w:val="008B316B"/>
    <w:rsid w:val="0094387D"/>
    <w:rsid w:val="009B3A2C"/>
    <w:rsid w:val="00A1429C"/>
    <w:rsid w:val="00A35141"/>
    <w:rsid w:val="00A41901"/>
    <w:rsid w:val="00A445A5"/>
    <w:rsid w:val="00A47CE5"/>
    <w:rsid w:val="00A616FA"/>
    <w:rsid w:val="00A84520"/>
    <w:rsid w:val="00AC501D"/>
    <w:rsid w:val="00AD464B"/>
    <w:rsid w:val="00B12472"/>
    <w:rsid w:val="00B331D6"/>
    <w:rsid w:val="00B50047"/>
    <w:rsid w:val="00B77DA0"/>
    <w:rsid w:val="00B86853"/>
    <w:rsid w:val="00BA049A"/>
    <w:rsid w:val="00C86483"/>
    <w:rsid w:val="00CA187D"/>
    <w:rsid w:val="00CC1EF5"/>
    <w:rsid w:val="00D75372"/>
    <w:rsid w:val="00DA47AA"/>
    <w:rsid w:val="00DB575F"/>
    <w:rsid w:val="00DD470E"/>
    <w:rsid w:val="00DF1929"/>
    <w:rsid w:val="00E45627"/>
    <w:rsid w:val="00E63CD6"/>
    <w:rsid w:val="00F339F5"/>
    <w:rsid w:val="00F96C2B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370"/>
  <w15:docId w15:val="{25171353-6686-4B45-A501-34E3E0A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pPr>
      <w:widowControl w:val="0"/>
      <w:spacing w:before="120" w:after="0" w:line="240" w:lineRule="auto"/>
      <w:ind w:left="528" w:hanging="414"/>
      <w:outlineLvl w:val="3"/>
    </w:pPr>
    <w:rPr>
      <w:rFonts w:ascii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semiHidden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i/>
      <w:sz w:val="23"/>
      <w:szCs w:val="23"/>
    </w:rPr>
  </w:style>
  <w:style w:type="character" w:customStyle="1" w:styleId="rvts15">
    <w:name w:val="rvts15"/>
    <w:basedOn w:val="a0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746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746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7746F6"/>
    <w:rPr>
      <w:rFonts w:asciiTheme="minorHAnsi" w:eastAsiaTheme="minorHAnsi" w:hAnsiTheme="minorHAnsi" w:cstheme="minorBid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17-10" TargetMode="External"/><Relationship Id="rId13" Type="http://schemas.openxmlformats.org/officeDocument/2006/relationships/hyperlink" Target="https://zakon.rada.gov.ua/laws/show/z1017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17-10" TargetMode="External"/><Relationship Id="rId12" Type="http://schemas.openxmlformats.org/officeDocument/2006/relationships/hyperlink" Target="https://zakon.rada.gov.ua/laws/show/z0090-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017-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1017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017-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4293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Путра Зоряна Михайлівна</cp:lastModifiedBy>
  <cp:revision>3</cp:revision>
  <dcterms:created xsi:type="dcterms:W3CDTF">2024-07-26T06:29:00Z</dcterms:created>
  <dcterms:modified xsi:type="dcterms:W3CDTF">2024-07-26T06:33:00Z</dcterms:modified>
</cp:coreProperties>
</file>