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hanging="9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Додаток №1</w:t>
      </w:r>
    </w:p>
    <w:p w:rsidR="00000000" w:rsidDel="00000000" w:rsidP="00000000" w:rsidRDefault="00000000" w:rsidRPr="00000000" w14:paraId="00000002">
      <w:pPr>
        <w:spacing w:after="0" w:line="240" w:lineRule="auto"/>
        <w:ind w:hanging="9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до протоколу № 10 ГР при МФУ</w:t>
      </w:r>
    </w:p>
    <w:p w:rsidR="00000000" w:rsidDel="00000000" w:rsidP="00000000" w:rsidRDefault="00000000" w:rsidRPr="00000000" w14:paraId="00000003">
      <w:pPr>
        <w:spacing w:after="0" w:line="240" w:lineRule="auto"/>
        <w:ind w:hanging="90"/>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від 30 червня 2025 року</w:t>
      </w:r>
    </w:p>
    <w:p w:rsidR="00000000" w:rsidDel="00000000" w:rsidP="00000000" w:rsidRDefault="00000000" w:rsidRPr="00000000" w14:paraId="00000004">
      <w:pPr>
        <w:spacing w:after="0" w:line="240" w:lineRule="auto"/>
        <w:ind w:hanging="90"/>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5">
      <w:pPr>
        <w:spacing w:after="0" w:line="240" w:lineRule="auto"/>
        <w:ind w:hanging="9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Інформаційна довідка</w:t>
      </w:r>
    </w:p>
    <w:p w:rsidR="00000000" w:rsidDel="00000000" w:rsidP="00000000" w:rsidRDefault="00000000" w:rsidRPr="00000000" w14:paraId="00000006">
      <w:pPr>
        <w:spacing w:after="0" w:line="240" w:lineRule="auto"/>
        <w:ind w:hanging="9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 засідання ГР при МФУ</w:t>
      </w:r>
    </w:p>
    <w:p w:rsidR="00000000" w:rsidDel="00000000" w:rsidP="00000000" w:rsidRDefault="00000000" w:rsidRPr="00000000" w14:paraId="00000007">
      <w:pPr>
        <w:spacing w:after="0" w:before="120" w:line="240" w:lineRule="auto"/>
        <w:ind w:left="4820"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8">
      <w:pPr>
        <w:spacing w:after="0" w:line="240" w:lineRule="auto"/>
        <w:ind w:left="4824" w:firstLine="0"/>
        <w:jc w:val="right"/>
        <w:rPr>
          <w:rFonts w:ascii="Times New Roman" w:cs="Times New Roman" w:eastAsia="Times New Roman" w:hAnsi="Times New Roman"/>
          <w:i w:val="1"/>
          <w:sz w:val="28"/>
          <w:szCs w:val="28"/>
        </w:rPr>
      </w:pPr>
      <w:r w:rsidDel="00000000" w:rsidR="00000000" w:rsidRPr="00000000">
        <w:rPr>
          <w:rFonts w:ascii="Times New Roman" w:cs="Times New Roman" w:eastAsia="Times New Roman" w:hAnsi="Times New Roman"/>
          <w:i w:val="1"/>
          <w:sz w:val="28"/>
          <w:szCs w:val="28"/>
          <w:rtl w:val="0"/>
        </w:rPr>
        <w:t xml:space="preserve">підготовлена експертом </w:t>
        <w:br w:type="textWrapping"/>
        <w:t xml:space="preserve">Асоціації «УКРЗОВНІШТРАНС»</w:t>
      </w:r>
    </w:p>
    <w:p w:rsidR="00000000" w:rsidDel="00000000" w:rsidP="00000000" w:rsidRDefault="00000000" w:rsidRPr="00000000" w14:paraId="00000009">
      <w:pPr>
        <w:spacing w:after="0" w:line="240" w:lineRule="auto"/>
        <w:ind w:left="4824" w:firstLine="0"/>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Л. Баязітовим</w:t>
      </w:r>
      <w:r w:rsidDel="00000000" w:rsidR="00000000" w:rsidRPr="00000000">
        <w:rPr>
          <w:rtl w:val="0"/>
        </w:rPr>
      </w:r>
    </w:p>
    <w:p w:rsidR="00000000" w:rsidDel="00000000" w:rsidP="00000000" w:rsidRDefault="00000000" w:rsidRPr="00000000" w14:paraId="0000000A">
      <w:pPr>
        <w:spacing w:after="0" w:before="120" w:line="240" w:lineRule="auto"/>
        <w:ind w:left="4820" w:firstLine="0"/>
        <w:jc w:val="both"/>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B">
      <w:pPr>
        <w:spacing w:after="0" w:before="120" w:line="240" w:lineRule="auto"/>
        <w:ind w:left="4820" w:firstLine="0"/>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Щодо питання закріплення на законодавчому рівні правового статусу Громадської ради при Держмитслужбі</w:t>
      </w:r>
    </w:p>
    <w:p w:rsidR="00000000" w:rsidDel="00000000" w:rsidP="00000000" w:rsidRDefault="00000000" w:rsidRPr="00000000" w14:paraId="0000000C">
      <w:pPr>
        <w:spacing w:after="0" w:before="120" w:line="240" w:lineRule="auto"/>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D">
      <w:pPr>
        <w:spacing w:after="0" w:before="24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1. Загальні відомості</w:t>
      </w:r>
    </w:p>
    <w:p w:rsidR="00000000" w:rsidDel="00000000" w:rsidP="00000000" w:rsidRDefault="00000000" w:rsidRPr="00000000" w14:paraId="0000000E">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1.1. У лютому цього року Національне агентство з питань запобігання корупції (НАЗК) оприлюднило, для проведення публічного обговорення, розроблений проект Закону України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 28 лютого таке обговорення було проведено. За результатами обговорення було опубліковано звіт, в якому наведено результати опрацювання зауважень та пропозицій, які надійшли до НАЗК, та констатовано намір продовжити подальшу підготовку та супроводження законопроекту згідно зі встановленими процедурами.</w:t>
      </w:r>
    </w:p>
    <w:p w:rsidR="00000000" w:rsidDel="00000000" w:rsidP="00000000" w:rsidRDefault="00000000" w:rsidRPr="00000000" w14:paraId="0000000F">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Матеріали обговорення – за посиланням </w:t>
      </w:r>
      <w:hyperlink r:id="rId7">
        <w:r w:rsidDel="00000000" w:rsidR="00000000" w:rsidRPr="00000000">
          <w:rPr>
            <w:rFonts w:ascii="Times New Roman" w:cs="Times New Roman" w:eastAsia="Times New Roman" w:hAnsi="Times New Roman"/>
            <w:color w:val="0000ff"/>
            <w:sz w:val="28"/>
            <w:szCs w:val="28"/>
            <w:u w:val="single"/>
            <w:rtl w:val="0"/>
          </w:rPr>
          <w:t xml:space="preserve">https://nazk.gov.ua/uk/proekt-zakonu-ukrainy-pro-vnesennya-zmin-do-mytnogo-kodeksu-ukrainy-schodo-vyznachennya-pravovogo-statusu-gromadskoi-rady-pry-tsentralnomu-organi-vykonavchoi-vlady-scho-realizue-derzhavnu-mytnu-polityku/</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10">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1.2. Підставою для розроблення законопроекту є захід 2.3.1.3.1 «Заходів з виконання Державної антикорупційної програми на 2023-2025 роки» (ПКМУ від 04.03.2023 № 220). Цей захід, своєю чергою, виходить з приписів затвердженої законом Антикорупційної стратегії на 2021-2025 роки (ланцюг та взаємозв’язки доручень – у додатку 1).</w:t>
      </w:r>
    </w:p>
    <w:p w:rsidR="00000000" w:rsidDel="00000000" w:rsidP="00000000" w:rsidRDefault="00000000" w:rsidRPr="00000000" w14:paraId="00000011">
      <w:pPr>
        <w:spacing w:after="0" w:before="24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2. Про модель громадської ради, закладену розробником у законопроекті</w:t>
      </w:r>
    </w:p>
    <w:p w:rsidR="00000000" w:rsidDel="00000000" w:rsidP="00000000" w:rsidRDefault="00000000" w:rsidRPr="00000000" w14:paraId="00000012">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2.1. Модель Громадської ради при Держмитслужбі, закладену у законопроекті, практично скопійовано з моделі, унормованої Законом України "Про запобігання корупції". Але, порівняння відповідних норм виявляє, що норми щодо ГР при ДМСУ просто вирвано із загального контексту ст. 14 "Контроль за діяльністю Національного агентства" ЗУ "Про запобігання корупції" (порівняльна таблиця - в додатку 2).</w:t>
      </w:r>
    </w:p>
    <w:p w:rsidR="00000000" w:rsidDel="00000000" w:rsidP="00000000" w:rsidRDefault="00000000" w:rsidRPr="00000000" w14:paraId="00000013">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 більш ранніх матеріалах обговорення проекту Державної антикорупційної програми на 2023–2025 роки (</w:t>
      </w:r>
      <w:hyperlink r:id="rId8">
        <w:r w:rsidDel="00000000" w:rsidR="00000000" w:rsidRPr="00000000">
          <w:rPr>
            <w:rFonts w:ascii="Times New Roman" w:cs="Times New Roman" w:eastAsia="Times New Roman" w:hAnsi="Times New Roman"/>
            <w:color w:val="0000ff"/>
            <w:sz w:val="28"/>
            <w:szCs w:val="28"/>
            <w:u w:val="single"/>
            <w:rtl w:val="0"/>
          </w:rPr>
          <w:t xml:space="preserve">https://nazk.gov.ua/uk/derzhavna-antykoruptsijna-programa/</w:t>
        </w:r>
      </w:hyperlink>
      <w:r w:rsidDel="00000000" w:rsidR="00000000" w:rsidRPr="00000000">
        <w:rPr>
          <w:rFonts w:ascii="Times New Roman" w:cs="Times New Roman" w:eastAsia="Times New Roman" w:hAnsi="Times New Roman"/>
          <w:sz w:val="28"/>
          <w:szCs w:val="28"/>
          <w:rtl w:val="0"/>
        </w:rPr>
        <w:t xml:space="preserve">), зокрема у підрозділі 2.3. «Митна справа та оподаткування» розробники надали наступне обґрунтування щодо прийняття такої моделі:</w:t>
      </w:r>
    </w:p>
    <w:p w:rsidR="00000000" w:rsidDel="00000000" w:rsidP="00000000" w:rsidRDefault="00000000" w:rsidRPr="00000000" w14:paraId="00000014">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r w:rsidDel="00000000" w:rsidR="00000000" w:rsidRPr="00000000">
        <w:rPr>
          <w:rFonts w:ascii="Times New Roman" w:cs="Times New Roman" w:eastAsia="Times New Roman" w:hAnsi="Times New Roman"/>
          <w:b w:val="1"/>
          <w:sz w:val="24"/>
          <w:szCs w:val="24"/>
          <w:rtl w:val="0"/>
        </w:rPr>
        <w:t xml:space="preserve">4. Необхідність вдосконалення діяльності органу громадського контролю при митниці.</w:t>
      </w:r>
      <w:r w:rsidDel="00000000" w:rsidR="00000000" w:rsidRPr="00000000">
        <w:rPr>
          <w:rtl w:val="0"/>
        </w:rPr>
      </w:r>
    </w:p>
    <w:p w:rsidR="00000000" w:rsidDel="00000000" w:rsidP="00000000" w:rsidRDefault="00000000" w:rsidRPr="00000000" w14:paraId="00000015">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Одним із вагомих напрямів для мінімізації корупційних ризиків та забезпечення прозорої діяльності будь-якого органу державної влади є широке залучення громадськості, зокрема, шляхом формування дієвої, проактивної та незалежної громадської ради, яка здійснює реальний вплив на функціонування інституції, при якій створюється.</w:t>
      </w:r>
    </w:p>
    <w:p w:rsidR="00000000" w:rsidDel="00000000" w:rsidP="00000000" w:rsidRDefault="00000000" w:rsidRPr="00000000" w14:paraId="00000016">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Наразі при Державній митній службі України діє Громадська рада  відповідно до Положення про Громадську раду при Державній митній службі України, затвердженого наказом Державної митної служби України від 18.02.2021 № 110. Викликом, який підлягає вирішенню, є приведення її фактичної діяльності до найкращих стандартів у сфері функціонування громадських рад.</w:t>
      </w:r>
    </w:p>
    <w:p w:rsidR="00000000" w:rsidDel="00000000" w:rsidP="00000000" w:rsidRDefault="00000000" w:rsidRPr="00000000" w14:paraId="00000017">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При цьому моделлю, яка може бути взята за взірець, є модель функціонування громадських рад при НАЗК та НАБУ.</w:t>
      </w:r>
    </w:p>
    <w:p w:rsidR="00000000" w:rsidDel="00000000" w:rsidP="00000000" w:rsidRDefault="00000000" w:rsidRPr="00000000" w14:paraId="00000018">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Тому у проекті Державної антикорупційної програми на 2023 – 2025 роки передбачено заходи з максимально можливого наближення стандартів функціонування Громадської ради при Державній митній службі до положень ч. ч. 2, 3, 5 ст. 14 Закону України «Про запобігання корупції»».</w:t>
      </w:r>
    </w:p>
    <w:p w:rsidR="00000000" w:rsidDel="00000000" w:rsidP="00000000" w:rsidRDefault="00000000" w:rsidRPr="00000000" w14:paraId="00000019">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Таке обґрунтування, яке базується на дискусійних твердженнях на зразок «широке залучення громадськості мінімізує корупційні ризики», «чинна модель функціонування чинної Громадської ради при ДМСУ – не найкращий стандарт», «моделі функціонування громадських рад при НАЗК, НАБУ - взірцеві», виглядає поверхневим та непереконливим. </w:t>
      </w:r>
    </w:p>
    <w:p w:rsidR="00000000" w:rsidDel="00000000" w:rsidP="00000000" w:rsidRDefault="00000000" w:rsidRPr="00000000" w14:paraId="0000001A">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Виходячи з порівняння певних аспектів рад (додатки 3, 4), можна побачити, що, </w:t>
      </w:r>
    </w:p>
    <w:p w:rsidR="00000000" w:rsidDel="00000000" w:rsidP="00000000" w:rsidRDefault="00000000" w:rsidRPr="00000000" w14:paraId="0000001B">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по-перше, існує формальна різниця в назвах (у нашому випадку це має значення), </w:t>
      </w:r>
    </w:p>
    <w:p w:rsidR="00000000" w:rsidDel="00000000" w:rsidP="00000000" w:rsidRDefault="00000000" w:rsidRPr="00000000" w14:paraId="0000001C">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по-друге, в усіх (крім Громадської ради при ДМСУ) радах 3-6 осіб (з 9-15-ти членів рад) мають бути зайнятими в інших створюваних органах – в дисциплінарних та конкурсних комісіях,</w:t>
      </w:r>
    </w:p>
    <w:p w:rsidR="00000000" w:rsidDel="00000000" w:rsidP="00000000" w:rsidRDefault="00000000" w:rsidRPr="00000000" w14:paraId="0000001D">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 по-третє, завдання щодо запобігання корупції в органі, при якому функціонує рада, передбачається покласти лише на Громадську раду при ДМСУ.</w:t>
      </w:r>
    </w:p>
    <w:p w:rsidR="00000000" w:rsidDel="00000000" w:rsidP="00000000" w:rsidRDefault="00000000" w:rsidRPr="00000000" w14:paraId="0000001E">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2.2. Звертає на себе увагу спосіб реалізації заходу – не через створення абсолютно нового органу (наприклад, Ради громадського контролю, як випливає із законодавчих приписів Антикорупційної стратегії), а через заміну нормативної основи для функціонування вже давно діючого органу – з наказу Держмитслужби (НАЗК чомусь не визнає ПКМУ 996 в якості основи для існування громадських рад) на Митний кодекс України.</w:t>
      </w:r>
    </w:p>
    <w:p w:rsidR="00000000" w:rsidDel="00000000" w:rsidP="00000000" w:rsidRDefault="00000000" w:rsidRPr="00000000" w14:paraId="0000001F">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Обґрунтування такого способу реалізації базується, як випливає з коментарів НАЗК (див. стор. 5 Звіту </w:t>
      </w:r>
      <w:hyperlink r:id="rId9">
        <w:r w:rsidDel="00000000" w:rsidR="00000000" w:rsidRPr="00000000">
          <w:rPr>
            <w:rFonts w:ascii="Times New Roman" w:cs="Times New Roman" w:eastAsia="Times New Roman" w:hAnsi="Times New Roman"/>
            <w:color w:val="0000ff"/>
            <w:sz w:val="28"/>
            <w:szCs w:val="28"/>
            <w:u w:val="single"/>
            <w:rtl w:val="0"/>
          </w:rPr>
          <w:t xml:space="preserve">https://nazk.gov.ua/pdfjs/?file=/wp-content/uploads/Pages/c7/d9/c7d966b5881db9b9e805516489c27c1c0a4fe9187ed1a935fe073a9c43207f78252739.pdf</w:t>
        </w:r>
      </w:hyperlink>
      <w:r w:rsidDel="00000000" w:rsidR="00000000" w:rsidRPr="00000000">
        <w:rPr>
          <w:rFonts w:ascii="Times New Roman" w:cs="Times New Roman" w:eastAsia="Times New Roman" w:hAnsi="Times New Roman"/>
          <w:sz w:val="28"/>
          <w:szCs w:val="28"/>
          <w:rtl w:val="0"/>
        </w:rPr>
        <w:t xml:space="preserve">), на спірних твердженнях про, по-перше, ідентичність понять «громадська рада» та «рада громадського контролю» і, по-друге, однаковість виконуваних цими органами функцій.</w:t>
      </w:r>
    </w:p>
    <w:p w:rsidR="00000000" w:rsidDel="00000000" w:rsidP="00000000" w:rsidRDefault="00000000" w:rsidRPr="00000000" w14:paraId="00000020">
      <w:pPr>
        <w:spacing w:after="0" w:before="24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 Про недоліки моделі громадської ради, закладеної розробником у законопроекті</w:t>
      </w:r>
    </w:p>
    <w:p w:rsidR="00000000" w:rsidDel="00000000" w:rsidP="00000000" w:rsidRDefault="00000000" w:rsidRPr="00000000" w14:paraId="00000021">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ілюстрації таких недоліків варто звернутися до структур систем, для яких призначена ця модель та її прототипи (наприклад ГР при НАЗК). </w:t>
      </w:r>
    </w:p>
    <w:p w:rsidR="00000000" w:rsidDel="00000000" w:rsidP="00000000" w:rsidRDefault="00000000" w:rsidRPr="00000000" w14:paraId="00000022">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3.1. Модель, закладена у законопроекті, є елементом системи заходів, впроваджених законодавцем (в Антикорупційній стратегії на 2021-2025 роки) для </w:t>
      </w:r>
      <w:r w:rsidDel="00000000" w:rsidR="00000000" w:rsidRPr="00000000">
        <w:rPr>
          <w:rFonts w:ascii="Times New Roman" w:cs="Times New Roman" w:eastAsia="Times New Roman" w:hAnsi="Times New Roman"/>
          <w:sz w:val="28"/>
          <w:szCs w:val="28"/>
          <w:u w:val="single"/>
          <w:rtl w:val="0"/>
        </w:rPr>
        <w:t xml:space="preserve">запобігання корупції</w:t>
      </w:r>
      <w:r w:rsidDel="00000000" w:rsidR="00000000" w:rsidRPr="00000000">
        <w:rPr>
          <w:rFonts w:ascii="Times New Roman" w:cs="Times New Roman" w:eastAsia="Times New Roman" w:hAnsi="Times New Roman"/>
          <w:sz w:val="28"/>
          <w:szCs w:val="28"/>
          <w:rtl w:val="0"/>
        </w:rPr>
        <w:t xml:space="preserve"> в операційній діяльності митних органів:</w:t>
      </w:r>
    </w:p>
    <w:p w:rsidR="00000000" w:rsidDel="00000000" w:rsidP="00000000" w:rsidRDefault="00000000" w:rsidRPr="00000000" w14:paraId="00000023">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tbl>
      <w:tblPr>
        <w:tblStyle w:val="Table1"/>
        <w:tblW w:w="8925.0" w:type="dxa"/>
        <w:jc w:val="left"/>
        <w:tblInd w:w="70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25"/>
        <w:tblGridChange w:id="0">
          <w:tblGrid>
            <w:gridCol w:w="8925"/>
          </w:tblGrid>
        </w:tblGridChange>
      </w:tblGrid>
      <w:tr>
        <w:trPr>
          <w:cantSplit w:val="0"/>
          <w:tblHeader w:val="0"/>
        </w:trPr>
        <w:tc>
          <w:tcPr>
            <w:shd w:fill="f2f2f2" w:val="clear"/>
          </w:tcPr>
          <w:p w:rsidR="00000000" w:rsidDel="00000000" w:rsidP="00000000" w:rsidRDefault="00000000" w:rsidRPr="00000000" w14:paraId="00000024">
            <w:pPr>
              <w:spacing w:after="0" w:before="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3. ЗАПОБІГАННЯ КОРУПЦІЇ У ПРІОРИТЕТНИХ СФЕРАХ</w:t>
            </w:r>
          </w:p>
          <w:p w:rsidR="00000000" w:rsidDel="00000000" w:rsidP="00000000" w:rsidRDefault="00000000" w:rsidRPr="00000000" w14:paraId="00000025">
            <w:pPr>
              <w:spacing w:after="0" w:before="120" w:line="240" w:lineRule="auto"/>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 Митна справа та оподаткування</w:t>
            </w:r>
          </w:p>
          <w:p w:rsidR="00000000" w:rsidDel="00000000" w:rsidP="00000000" w:rsidRDefault="00000000" w:rsidRPr="00000000" w14:paraId="00000026">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3.3.1. Проблема. Недостатня прозорість та ефективність роботи митних органів, надмірний обсяг дискреційних повноважень у працівників митниці.</w:t>
            </w:r>
          </w:p>
          <w:p w:rsidR="00000000" w:rsidDel="00000000" w:rsidP="00000000" w:rsidRDefault="00000000" w:rsidRPr="00000000" w14:paraId="00000027">
            <w:pPr>
              <w:spacing w:after="0" w:before="120" w:line="240" w:lineRule="auto"/>
              <w:ind w:left="14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Очікувані стратегічні результати:</w:t>
            </w:r>
          </w:p>
          <w:p w:rsidR="00000000" w:rsidDel="00000000" w:rsidP="00000000" w:rsidRDefault="00000000" w:rsidRPr="00000000" w14:paraId="00000028">
            <w:pPr>
              <w:spacing w:after="0" w:before="120" w:line="240" w:lineRule="auto"/>
              <w:ind w:left="14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9">
            <w:pPr>
              <w:spacing w:after="0" w:before="120" w:line="240" w:lineRule="auto"/>
              <w:ind w:left="1440"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3) мінімізовано корупційні ризики внаслідок створення органу громадського контролю за поточною діяльністю митних органів, який матиме повноваження, визначені законом;</w:t>
            </w:r>
            <w:r w:rsidDel="00000000" w:rsidR="00000000" w:rsidRPr="00000000">
              <w:rPr>
                <w:rtl w:val="0"/>
              </w:rPr>
            </w:r>
          </w:p>
          <w:p w:rsidR="00000000" w:rsidDel="00000000" w:rsidP="00000000" w:rsidRDefault="00000000" w:rsidRPr="00000000" w14:paraId="0000002A">
            <w:pPr>
              <w:spacing w:after="0" w:before="120" w:line="240" w:lineRule="auto"/>
              <w:ind w:left="1440" w:firstLine="0"/>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B">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3.3.2. Проблема. Непрозорість підходів у класифікації товарів, визначенні їх митної вартості та призначенні перевірок.</w:t>
            </w:r>
          </w:p>
          <w:p w:rsidR="00000000" w:rsidDel="00000000" w:rsidP="00000000" w:rsidRDefault="00000000" w:rsidRPr="00000000" w14:paraId="0000002C">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3.3.3. Проблема. Недосконала процедура адміністративного оскарження дій посадових осіб митних органів.</w:t>
            </w:r>
          </w:p>
          <w:p w:rsidR="00000000" w:rsidDel="00000000" w:rsidP="00000000" w:rsidRDefault="00000000" w:rsidRPr="00000000" w14:paraId="0000002D">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3.3.4. Проблема. Втручання правоохоронних органів у роботу митних органів та зловживання під час передачі орієнтувань про здійснення переогляду товарів.</w:t>
            </w:r>
          </w:p>
          <w:p w:rsidR="00000000" w:rsidDel="00000000" w:rsidP="00000000" w:rsidRDefault="00000000" w:rsidRPr="00000000" w14:paraId="0000002E">
            <w:pPr>
              <w:spacing w:after="0" w:before="120" w:line="240" w:lineRule="auto"/>
              <w:ind w:left="731"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2F">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0">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3.2. Модель, яка функціонує в НАЗК, є елементом системи </w:t>
      </w:r>
      <w:r w:rsidDel="00000000" w:rsidR="00000000" w:rsidRPr="00000000">
        <w:rPr>
          <w:rFonts w:ascii="Times New Roman" w:cs="Times New Roman" w:eastAsia="Times New Roman" w:hAnsi="Times New Roman"/>
          <w:sz w:val="28"/>
          <w:szCs w:val="28"/>
          <w:u w:val="single"/>
          <w:rtl w:val="0"/>
        </w:rPr>
        <w:t xml:space="preserve">контролю за діяльністю</w:t>
      </w:r>
      <w:r w:rsidDel="00000000" w:rsidR="00000000" w:rsidRPr="00000000">
        <w:rPr>
          <w:rFonts w:ascii="Times New Roman" w:cs="Times New Roman" w:eastAsia="Times New Roman" w:hAnsi="Times New Roman"/>
          <w:sz w:val="28"/>
          <w:szCs w:val="28"/>
          <w:rtl w:val="0"/>
        </w:rPr>
        <w:t xml:space="preserve"> НАЗК, впровадженої законодавцем у ЗУ «Про запобігання корупції»:</w:t>
      </w:r>
    </w:p>
    <w:p w:rsidR="00000000" w:rsidDel="00000000" w:rsidP="00000000" w:rsidRDefault="00000000" w:rsidRPr="00000000" w14:paraId="00000031">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tbl>
      <w:tblPr>
        <w:tblStyle w:val="Table2"/>
        <w:tblW w:w="8925.0" w:type="dxa"/>
        <w:jc w:val="left"/>
        <w:tblInd w:w="709.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8925"/>
        <w:tblGridChange w:id="0">
          <w:tblGrid>
            <w:gridCol w:w="8925"/>
          </w:tblGrid>
        </w:tblGridChange>
      </w:tblGrid>
      <w:tr>
        <w:trPr>
          <w:cantSplit w:val="0"/>
          <w:tblHeader w:val="0"/>
        </w:trPr>
        <w:tc>
          <w:tcPr>
            <w:shd w:fill="f2f2f2" w:val="clear"/>
          </w:tcPr>
          <w:p w:rsidR="00000000" w:rsidDel="00000000" w:rsidP="00000000" w:rsidRDefault="00000000" w:rsidRPr="00000000" w14:paraId="00000032">
            <w:pPr>
              <w:spacing w:after="0" w:before="120" w:line="240" w:lineRule="auto"/>
              <w:jc w:val="both"/>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Стаття 14. Контроль за діяльністю Національного агентства</w:t>
            </w:r>
          </w:p>
          <w:p w:rsidR="00000000" w:rsidDel="00000000" w:rsidP="00000000" w:rsidRDefault="00000000" w:rsidRPr="00000000" w14:paraId="00000033">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Контроль за витрачанням Національним агентством коштів здійснюється Рахунковою палатою…</w:t>
            </w:r>
          </w:p>
          <w:p w:rsidR="00000000" w:rsidDel="00000000" w:rsidP="00000000" w:rsidRDefault="00000000" w:rsidRPr="00000000" w14:paraId="00000034">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highlight w:val="yellow"/>
                <w:rtl w:val="0"/>
              </w:rPr>
              <w:t xml:space="preserve">2. Громадський контроль за діяльністю Національного агентства забезпечується через Громадську раду при Національному агентстві…</w:t>
            </w:r>
            <w:r w:rsidDel="00000000" w:rsidR="00000000" w:rsidRPr="00000000">
              <w:rPr>
                <w:rtl w:val="0"/>
              </w:rPr>
            </w:r>
          </w:p>
          <w:p w:rsidR="00000000" w:rsidDel="00000000" w:rsidP="00000000" w:rsidRDefault="00000000" w:rsidRPr="00000000" w14:paraId="00000035">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 Кожні два роки проводиться зовнішня незалежна оцінка ефективності діяльності Національного агентства.</w:t>
            </w:r>
          </w:p>
          <w:p w:rsidR="00000000" w:rsidDel="00000000" w:rsidP="00000000" w:rsidRDefault="00000000" w:rsidRPr="00000000" w14:paraId="00000036">
            <w:pPr>
              <w:spacing w:after="0" w:before="120" w:line="240" w:lineRule="auto"/>
              <w:ind w:left="731" w:firstLine="0"/>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 Національне агентство готує щорічні звіти про свою діяльність. </w:t>
            </w:r>
            <w:r w:rsidDel="00000000" w:rsidR="00000000" w:rsidRPr="00000000">
              <w:rPr>
                <w:rFonts w:ascii="Times New Roman" w:cs="Times New Roman" w:eastAsia="Times New Roman" w:hAnsi="Times New Roman"/>
                <w:sz w:val="24"/>
                <w:szCs w:val="24"/>
                <w:highlight w:val="yellow"/>
                <w:rtl w:val="0"/>
              </w:rPr>
              <w:t xml:space="preserve">Звіт Національного агентства надається для висновку Громадській раді при Національному агентстві…</w:t>
            </w:r>
            <w:r w:rsidDel="00000000" w:rsidR="00000000" w:rsidRPr="00000000">
              <w:rPr>
                <w:rtl w:val="0"/>
              </w:rPr>
            </w:r>
          </w:p>
          <w:p w:rsidR="00000000" w:rsidDel="00000000" w:rsidP="00000000" w:rsidRDefault="00000000" w:rsidRPr="00000000" w14:paraId="00000037">
            <w:pPr>
              <w:spacing w:after="0" w:before="120" w:line="240" w:lineRule="auto"/>
              <w:ind w:left="731" w:firstLine="709"/>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t>
            </w:r>
          </w:p>
        </w:tc>
      </w:tr>
    </w:tbl>
    <w:p w:rsidR="00000000" w:rsidDel="00000000" w:rsidP="00000000" w:rsidRDefault="00000000" w:rsidRPr="00000000" w14:paraId="00000038">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3.3. Тобто, за припущенням розробників, та модель Громадської ради, яка здійснює свою частку рутинного контролю у загальній системі контролю за діяльністю НАЗК, є цілком придатною для виконання функцій з мінімізації корупційних ризиків в діяльності митних органів, та ще й у заздалегідь визначені строки? А 15-ти членів Громадської ради цілком достатньо для досягнення запланованого результату в масштабі усіх митних органів (як йдеться в Антикорупційній стратегії), а не тільки в Держмитслужбі (як одному з митних органів)? </w:t>
      </w:r>
    </w:p>
    <w:p w:rsidR="00000000" w:rsidDel="00000000" w:rsidP="00000000" w:rsidRDefault="00000000" w:rsidRPr="00000000" w14:paraId="00000039">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Реалістичність таких припущень викликає великі сумніви. За наочний приклад потенційно недієвого органу, який можна буде переглянути та проаналізувати в процесі зародження та розвитку, можна прийняти приклад Дисциплінарного комітету (до речі – унікальне утворення в системі органів виконавчої влади), запровадженого нещодавніми змінами в МКУ. Будучи органом колегіальним, він має дублювати певні функції, які однозначно покладено на окремий структурний підрозділ Держмитслужби, але в умовах, коли «дзеркального» поділу функціями підзаконним актом КМУ не передбачено. </w:t>
      </w:r>
    </w:p>
    <w:p w:rsidR="00000000" w:rsidDel="00000000" w:rsidP="00000000" w:rsidRDefault="00000000" w:rsidRPr="00000000" w14:paraId="0000003A">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Дисциплінарний комітет утворюється з метою </w:t>
      </w:r>
      <w:r w:rsidDel="00000000" w:rsidR="00000000" w:rsidRPr="00000000">
        <w:rPr>
          <w:rFonts w:ascii="Times New Roman" w:cs="Times New Roman" w:eastAsia="Times New Roman" w:hAnsi="Times New Roman"/>
          <w:sz w:val="24"/>
          <w:szCs w:val="24"/>
          <w:u w:val="single"/>
          <w:rtl w:val="0"/>
        </w:rPr>
        <w:t xml:space="preserve">сприяння</w:t>
      </w:r>
      <w:r w:rsidDel="00000000" w:rsidR="00000000" w:rsidRPr="00000000">
        <w:rPr>
          <w:rFonts w:ascii="Times New Roman" w:cs="Times New Roman" w:eastAsia="Times New Roman" w:hAnsi="Times New Roman"/>
          <w:sz w:val="24"/>
          <w:szCs w:val="24"/>
          <w:rtl w:val="0"/>
        </w:rPr>
        <w:t xml:space="preserve"> митним органам в організації проведення </w:t>
      </w:r>
      <w:r w:rsidDel="00000000" w:rsidR="00000000" w:rsidRPr="00000000">
        <w:rPr>
          <w:rFonts w:ascii="Times New Roman" w:cs="Times New Roman" w:eastAsia="Times New Roman" w:hAnsi="Times New Roman"/>
          <w:sz w:val="24"/>
          <w:szCs w:val="24"/>
          <w:u w:val="single"/>
          <w:rtl w:val="0"/>
        </w:rPr>
        <w:t xml:space="preserve">перевірки</w:t>
      </w:r>
      <w:r w:rsidDel="00000000" w:rsidR="00000000" w:rsidRPr="00000000">
        <w:rPr>
          <w:rFonts w:ascii="Times New Roman" w:cs="Times New Roman" w:eastAsia="Times New Roman" w:hAnsi="Times New Roman"/>
          <w:sz w:val="24"/>
          <w:szCs w:val="24"/>
          <w:rtl w:val="0"/>
        </w:rPr>
        <w:t xml:space="preserve"> посадових осіб митних органів </w:t>
      </w:r>
      <w:r w:rsidDel="00000000" w:rsidR="00000000" w:rsidRPr="00000000">
        <w:rPr>
          <w:rFonts w:ascii="Times New Roman" w:cs="Times New Roman" w:eastAsia="Times New Roman" w:hAnsi="Times New Roman"/>
          <w:sz w:val="24"/>
          <w:szCs w:val="24"/>
          <w:u w:val="single"/>
          <w:rtl w:val="0"/>
        </w:rPr>
        <w:t xml:space="preserve">на доброчесність та моніторингу способу життя.</w:t>
      </w:r>
      <w:r w:rsidDel="00000000" w:rsidR="00000000" w:rsidRPr="00000000">
        <w:rPr>
          <w:rtl w:val="0"/>
        </w:rPr>
      </w:r>
    </w:p>
    <w:p w:rsidR="00000000" w:rsidDel="00000000" w:rsidP="00000000" w:rsidRDefault="00000000" w:rsidRPr="00000000" w14:paraId="0000003B">
      <w:pPr>
        <w:shd w:fill="f2f2f2" w:val="clear"/>
        <w:spacing w:after="0" w:before="120" w:line="240" w:lineRule="auto"/>
        <w:ind w:left="709" w:right="567" w:firstLine="567"/>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[ст. 572</w:t>
      </w:r>
      <w:r w:rsidDel="00000000" w:rsidR="00000000" w:rsidRPr="00000000">
        <w:rPr>
          <w:rFonts w:ascii="Times New Roman" w:cs="Times New Roman" w:eastAsia="Times New Roman" w:hAnsi="Times New Roman"/>
          <w:sz w:val="24"/>
          <w:szCs w:val="24"/>
          <w:vertAlign w:val="superscript"/>
          <w:rtl w:val="0"/>
        </w:rPr>
        <w:t xml:space="preserve">3</w:t>
      </w:r>
      <w:r w:rsidDel="00000000" w:rsidR="00000000" w:rsidRPr="00000000">
        <w:rPr>
          <w:rFonts w:ascii="Times New Roman" w:cs="Times New Roman" w:eastAsia="Times New Roman" w:hAnsi="Times New Roman"/>
          <w:sz w:val="24"/>
          <w:szCs w:val="24"/>
          <w:rtl w:val="0"/>
        </w:rPr>
        <w:t xml:space="preserve"> Митного кодексу України]</w:t>
      </w:r>
    </w:p>
    <w:p w:rsidR="00000000" w:rsidDel="00000000" w:rsidP="00000000" w:rsidRDefault="00000000" w:rsidRPr="00000000" w14:paraId="0000003C">
      <w:pPr>
        <w:shd w:fill="f2f2f2" w:val="clear"/>
        <w:spacing w:after="0" w:before="120" w:line="240" w:lineRule="auto"/>
        <w:ind w:left="709" w:right="567" w:firstLine="567"/>
        <w:jc w:val="both"/>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 Цим Порядком визначаються процедура та періодичність проведення уповноваженими підрозділами (уповноваженими особами) з питань запобігання та виявлення корупції митних органів (далі - уповноважений підрозділ) </w:t>
      </w:r>
      <w:r w:rsidDel="00000000" w:rsidR="00000000" w:rsidRPr="00000000">
        <w:rPr>
          <w:rFonts w:ascii="Times New Roman" w:cs="Times New Roman" w:eastAsia="Times New Roman" w:hAnsi="Times New Roman"/>
          <w:sz w:val="24"/>
          <w:szCs w:val="24"/>
          <w:u w:val="single"/>
          <w:rtl w:val="0"/>
        </w:rPr>
        <w:t xml:space="preserve">перевірки</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Times New Roman" w:cs="Times New Roman" w:eastAsia="Times New Roman" w:hAnsi="Times New Roman"/>
          <w:sz w:val="24"/>
          <w:szCs w:val="24"/>
          <w:u w:val="single"/>
          <w:rtl w:val="0"/>
        </w:rPr>
        <w:t xml:space="preserve">на доброчесність та моніторингу способу життя</w:t>
      </w:r>
      <w:r w:rsidDel="00000000" w:rsidR="00000000" w:rsidRPr="00000000">
        <w:rPr>
          <w:rFonts w:ascii="Times New Roman" w:cs="Times New Roman" w:eastAsia="Times New Roman" w:hAnsi="Times New Roman"/>
          <w:sz w:val="24"/>
          <w:szCs w:val="24"/>
          <w:rtl w:val="0"/>
        </w:rPr>
        <w:t xml:space="preserve"> посадових осіб митних органів.</w:t>
      </w:r>
    </w:p>
    <w:p w:rsidR="00000000" w:rsidDel="00000000" w:rsidP="00000000" w:rsidRDefault="00000000" w:rsidRPr="00000000" w14:paraId="0000003D">
      <w:pPr>
        <w:shd w:fill="f2f2f2" w:val="clear"/>
        <w:spacing w:after="0" w:before="120" w:line="240" w:lineRule="auto"/>
        <w:ind w:left="709" w:right="567" w:firstLine="567"/>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[Порядок проведення перевірки на доброчесність та моніторингу </w:t>
      </w:r>
    </w:p>
    <w:p w:rsidR="00000000" w:rsidDel="00000000" w:rsidP="00000000" w:rsidRDefault="00000000" w:rsidRPr="00000000" w14:paraId="0000003E">
      <w:pPr>
        <w:shd w:fill="f2f2f2" w:val="clear"/>
        <w:spacing w:after="0" w:line="240" w:lineRule="auto"/>
        <w:ind w:left="709" w:right="567" w:firstLine="567"/>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способу життя посадових осіб митних органів </w:t>
      </w:r>
    </w:p>
    <w:p w:rsidR="00000000" w:rsidDel="00000000" w:rsidP="00000000" w:rsidRDefault="00000000" w:rsidRPr="00000000" w14:paraId="0000003F">
      <w:pPr>
        <w:shd w:fill="f2f2f2" w:val="clear"/>
        <w:spacing w:after="0" w:line="240" w:lineRule="auto"/>
        <w:ind w:left="709" w:right="567" w:firstLine="567"/>
        <w:jc w:val="right"/>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і періодичність їх проведення, ПКМУ від 29.04.2025 № 487]</w:t>
      </w:r>
    </w:p>
    <w:p w:rsidR="00000000" w:rsidDel="00000000" w:rsidP="00000000" w:rsidRDefault="00000000" w:rsidRPr="00000000" w14:paraId="00000040">
      <w:pPr>
        <w:spacing w:after="0" w:before="24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 Про ймовірні наслідки прийняття розробленого законопроекту</w:t>
      </w:r>
    </w:p>
    <w:p w:rsidR="00000000" w:rsidDel="00000000" w:rsidP="00000000" w:rsidRDefault="00000000" w:rsidRPr="00000000" w14:paraId="00000041">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суспільства найбільш очевидним наслідком прийняття законопроекту буде ліквідація в Держмитслужбі інституту громадської ради, яка функціонує в межах права громадян, передбаченого ст.38 Конституції України, - права на участь в управлінні державними справами.</w:t>
      </w:r>
    </w:p>
    <w:p w:rsidR="00000000" w:rsidDel="00000000" w:rsidP="00000000" w:rsidRDefault="00000000" w:rsidRPr="00000000" w14:paraId="00000042">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Для системи органів виконавчої влади наслідки такого прийняття досить переконливо описані Мінфіном у висновку від 09.05.2025 № 34050-07-5/13462. </w:t>
      </w:r>
    </w:p>
    <w:p w:rsidR="00000000" w:rsidDel="00000000" w:rsidP="00000000" w:rsidRDefault="00000000" w:rsidRPr="00000000" w14:paraId="00000043">
      <w:pPr>
        <w:spacing w:after="0" w:before="24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5. Про можливі подальші дії</w:t>
      </w:r>
    </w:p>
    <w:p w:rsidR="00000000" w:rsidDel="00000000" w:rsidP="00000000" w:rsidRDefault="00000000" w:rsidRPr="00000000" w14:paraId="00000044">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5.1. Переконати НАЗК відмовитися від подальшого просування цього законопроекту, до етапу подання на розгляд КМУ, виглядає проблематично. Причина - доручення на розробку саме норм законодавчого рівня походить з рівня Закону (яким затверджено Антикорупційну стратегію на 2021-2025 роки). На це НАЗК посилається і у пояснювальній записці, і у відповідній аргументації у Звіті про консультації. Їм, як відповідальному виконавцю, найважливіше дотримуватися виконавської дисципліни.</w:t>
      </w:r>
    </w:p>
    <w:p w:rsidR="00000000" w:rsidDel="00000000" w:rsidP="00000000" w:rsidRDefault="00000000" w:rsidRPr="00000000" w14:paraId="00000045">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Моніторинг поки що констатує вчасність виконання заходу 2.3.1.3.1. </w:t>
      </w:r>
      <w:hyperlink r:id="rId10">
        <w:r w:rsidDel="00000000" w:rsidR="00000000" w:rsidRPr="00000000">
          <w:rPr>
            <w:rFonts w:ascii="Times New Roman" w:cs="Times New Roman" w:eastAsia="Times New Roman" w:hAnsi="Times New Roman"/>
            <w:color w:val="0000ff"/>
            <w:sz w:val="28"/>
            <w:szCs w:val="28"/>
            <w:u w:val="single"/>
            <w:rtl w:val="0"/>
          </w:rPr>
          <w:t xml:space="preserve">https://dap.nazk.gov.ua/zahid/614/</w:t>
        </w:r>
      </w:hyperlink>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46">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5.2. Разом з тим, існує можливість уникнути ймовірного "поглинання" (за рахунок ідентичності назв) чинної Громадської ради при ДМСУ новостворюваною. Достатньо вказати (послідовно, починаючи від розробника) на розбіжності в назві та сфері охоплення - між тими, які доручено законом, і які фактично реалізовано в розробленому законопроекті (схема послідовності доручень - в додатку 1). Має стати очевидним, що законодавець мав на увазі саме "орган громадського контролю" (а не громадську раду), і сфера впливу мала розповсюджуватися на усі митні органи (а не на Держмитслужбу як один з митних органів).</w:t>
      </w:r>
    </w:p>
    <w:p w:rsidR="00000000" w:rsidDel="00000000" w:rsidP="00000000" w:rsidRDefault="00000000" w:rsidRPr="00000000" w14:paraId="00000047">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5.3. Врахування вищезазначених моментів розробником (або наступними, більш високими інстанціями) дасть можливість, як мінімум, не знищувати існуючу Громадську раду при ДМСУ, допустивши паралельне функціонування двох громадських інститутів з різними завданнями, або, як максимум, відмовитися (але це - тільки шляхом внесення змін ВРУ до Антикорупційної стратегії) від ідеї щодо створення такого інституту як такої, що, за очевидних затрат часу й ресурсів, не викликає впевнених очікувань щодо результативності. Варто переконатися у збереженні (або констатувати втрату) попередньо визначеної ролі цього заходу у загальній системі заходів, передбачених Державною антикорупційною програмою (відповідна схема – в додатку 5).</w:t>
      </w:r>
    </w:p>
    <w:p w:rsidR="00000000" w:rsidDel="00000000" w:rsidP="00000000" w:rsidRDefault="00000000" w:rsidRPr="00000000" w14:paraId="00000048">
      <w:pPr>
        <w:spacing w:after="0" w:before="120" w:line="240" w:lineRule="auto"/>
        <w:ind w:firstLine="709"/>
        <w:jc w:val="both"/>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6. Про проект рішення</w:t>
      </w:r>
    </w:p>
    <w:p w:rsidR="00000000" w:rsidDel="00000000" w:rsidP="00000000" w:rsidRDefault="00000000" w:rsidRPr="00000000" w14:paraId="00000049">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1. Погодитися з висновком, що прийняття розробленого НАЗК проекту Закону України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 не призведе до позитивного ефекту, на який розраховував законодавець, приймаючи Антикорупційну стратегію на 2021-2025 роки. Натомість, це призведе до очевидного негативного ефекту – обмеження конституційного права громадян на участь в управлінні державними справами.</w:t>
      </w:r>
    </w:p>
    <w:p w:rsidR="00000000" w:rsidDel="00000000" w:rsidP="00000000" w:rsidRDefault="00000000" w:rsidRPr="00000000" w14:paraId="0000004A">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2. Направити звернення до НАЗК, Кабінету Міністрів України з пропозицією переглянути ступінь дієвості заходу у загальній системі заходів, передбачених підрозділом 2.3 Державної антикорупційної програми, та:</w:t>
      </w:r>
    </w:p>
    <w:p w:rsidR="00000000" w:rsidDel="00000000" w:rsidP="00000000" w:rsidRDefault="00000000" w:rsidRPr="00000000" w14:paraId="0000004B">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або відкликати розроблений законопроект як такий, що не вирішує попередньо констатованих проблем;</w:t>
      </w:r>
    </w:p>
    <w:p w:rsidR="00000000" w:rsidDel="00000000" w:rsidP="00000000" w:rsidRDefault="00000000" w:rsidRPr="00000000" w14:paraId="0000004C">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 або замінити в законопроекті назву створюваного органу з «Громадська рада при центральному органі виконавчої влади, що реалізує державну митну політику» на «Рада громадського контролю за діяльністю митних органів».</w:t>
      </w:r>
    </w:p>
    <w:p w:rsidR="00000000" w:rsidDel="00000000" w:rsidP="00000000" w:rsidRDefault="00000000" w:rsidRPr="00000000" w14:paraId="0000004D">
      <w:pPr>
        <w:spacing w:after="0" w:before="120" w:line="240" w:lineRule="auto"/>
        <w:ind w:firstLine="709"/>
        <w:jc w:val="both"/>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4E">
      <w:pPr>
        <w:spacing w:after="0" w:before="120" w:line="240" w:lineRule="auto"/>
        <w:ind w:firstLine="709"/>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експерт Асоціації «УКРЗОВНІШТРАНС»</w:t>
        <w:br w:type="textWrapping"/>
        <w:t xml:space="preserve">Л. Баязітов</w:t>
      </w:r>
    </w:p>
    <w:p w:rsidR="00000000" w:rsidDel="00000000" w:rsidP="00000000" w:rsidRDefault="00000000" w:rsidRPr="00000000" w14:paraId="0000004F">
      <w:pPr>
        <w:spacing w:after="0" w:line="240" w:lineRule="auto"/>
        <w:rPr>
          <w:rFonts w:ascii="Times New Roman" w:cs="Times New Roman" w:eastAsia="Times New Roman" w:hAnsi="Times New Roman"/>
          <w:b w:val="1"/>
          <w:sz w:val="28"/>
          <w:szCs w:val="28"/>
        </w:rPr>
        <w:sectPr>
          <w:footerReference r:id="rId11" w:type="default"/>
          <w:pgSz w:h="15840" w:w="12240" w:orient="portrait"/>
          <w:pgMar w:bottom="1134" w:top="993" w:left="1560" w:right="900" w:header="708" w:footer="708"/>
          <w:pgNumType w:start="1"/>
        </w:sectPr>
      </w:pPr>
      <w:bookmarkStart w:colFirst="0" w:colLast="0" w:name="_heading=h.96zc2z8op6" w:id="0"/>
      <w:bookmarkEnd w:id="0"/>
      <w:r w:rsidDel="00000000" w:rsidR="00000000" w:rsidRPr="00000000">
        <w:br w:type="page"/>
      </w:r>
      <w:r w:rsidDel="00000000" w:rsidR="00000000" w:rsidRPr="00000000">
        <w:rPr>
          <w:rtl w:val="0"/>
        </w:rPr>
      </w:r>
    </w:p>
    <w:p w:rsidR="00000000" w:rsidDel="00000000" w:rsidP="00000000" w:rsidRDefault="00000000" w:rsidRPr="00000000" w14:paraId="00000050">
      <w:pPr>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Додаток 1</w:t>
      </w:r>
    </w:p>
    <w:p w:rsidR="00000000" w:rsidDel="00000000" w:rsidP="00000000" w:rsidRDefault="00000000" w:rsidRPr="00000000" w14:paraId="00000051">
      <w:pPr>
        <w:spacing w:after="0" w:before="120" w:line="240" w:lineRule="auto"/>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9248140" cy="5046980"/>
            <wp:effectExtent b="0" l="0" r="0" t="0"/>
            <wp:docPr id="8" name="image1.jpg"/>
            <a:graphic>
              <a:graphicData uri="http://schemas.openxmlformats.org/drawingml/2006/picture">
                <pic:pic>
                  <pic:nvPicPr>
                    <pic:cNvPr id="0" name="image1.jpg"/>
                    <pic:cNvPicPr preferRelativeResize="0"/>
                  </pic:nvPicPr>
                  <pic:blipFill>
                    <a:blip r:embed="rId12"/>
                    <a:srcRect b="0" l="0" r="0" t="0"/>
                    <a:stretch>
                      <a:fillRect/>
                    </a:stretch>
                  </pic:blipFill>
                  <pic:spPr>
                    <a:xfrm>
                      <a:off x="0" y="0"/>
                      <a:ext cx="9248140" cy="5046980"/>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spacing w:after="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53">
      <w:pPr>
        <w:spacing w:after="0" w:line="240" w:lineRule="auto"/>
        <w:rPr>
          <w:rFonts w:ascii="Times New Roman" w:cs="Times New Roman" w:eastAsia="Times New Roman" w:hAnsi="Times New Roman"/>
          <w:b w:val="1"/>
          <w:sz w:val="28"/>
          <w:szCs w:val="28"/>
        </w:rPr>
        <w:sectPr>
          <w:type w:val="nextPage"/>
          <w:pgSz w:h="12240" w:w="15840" w:orient="landscape"/>
          <w:pgMar w:bottom="1276" w:top="760" w:left="709" w:right="567" w:header="708" w:footer="708"/>
        </w:sectPr>
      </w:pPr>
      <w:r w:rsidDel="00000000" w:rsidR="00000000" w:rsidRPr="00000000">
        <w:br w:type="page"/>
      </w:r>
      <w:r w:rsidDel="00000000" w:rsidR="00000000" w:rsidRPr="00000000">
        <w:rPr>
          <w:rtl w:val="0"/>
        </w:rPr>
      </w:r>
    </w:p>
    <w:p w:rsidR="00000000" w:rsidDel="00000000" w:rsidP="00000000" w:rsidRDefault="00000000" w:rsidRPr="00000000" w14:paraId="00000054">
      <w:pPr>
        <w:spacing w:after="120" w:line="240" w:lineRule="auto"/>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Додаток 2</w:t>
      </w:r>
    </w:p>
    <w:p w:rsidR="00000000" w:rsidDel="00000000" w:rsidP="00000000" w:rsidRDefault="00000000" w:rsidRPr="00000000" w14:paraId="00000055">
      <w:pPr>
        <w:spacing w:after="120"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Порівняння норм розробленого НАЗК проекту ЗУ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 з аналогічними нормами ЗУ «Про запобігання корупції»</w:t>
      </w:r>
    </w:p>
    <w:tbl>
      <w:tblPr>
        <w:tblStyle w:val="Table3"/>
        <w:tblW w:w="10195.0" w:type="dxa"/>
        <w:jc w:val="left"/>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400"/>
      </w:tblPr>
      <w:tblGrid>
        <w:gridCol w:w="456"/>
        <w:gridCol w:w="4869"/>
        <w:gridCol w:w="4870"/>
        <w:tblGridChange w:id="0">
          <w:tblGrid>
            <w:gridCol w:w="456"/>
            <w:gridCol w:w="4869"/>
            <w:gridCol w:w="4870"/>
          </w:tblGrid>
        </w:tblGridChange>
      </w:tblGrid>
      <w:tr>
        <w:trPr>
          <w:cantSplit w:val="0"/>
          <w:trHeight w:val="443" w:hRule="atLeast"/>
          <w:tblHeader w:val="1"/>
        </w:trPr>
        <w:tc>
          <w:tcPr>
            <w:tcBorders>
              <w:top w:color="000000" w:space="0" w:sz="4" w:val="single"/>
              <w:bottom w:color="000000" w:space="0" w:sz="4" w:val="single"/>
            </w:tcBorders>
            <w:shd w:fill="auto" w:val="clear"/>
          </w:tcPr>
          <w:p w:rsidR="00000000" w:rsidDel="00000000" w:rsidP="00000000" w:rsidRDefault="00000000" w:rsidRPr="00000000" w14:paraId="00000056">
            <w:pPr>
              <w:spacing w:after="0" w:line="240" w:lineRule="auto"/>
              <w:rPr>
                <w:rFonts w:ascii="Times New Roman" w:cs="Times New Roman" w:eastAsia="Times New Roman" w:hAnsi="Times New Roman"/>
                <w:sz w:val="18"/>
                <w:szCs w:val="18"/>
              </w:rPr>
            </w:pPr>
            <w:r w:rsidDel="00000000" w:rsidR="00000000" w:rsidRPr="00000000">
              <w:rPr>
                <w:rtl w:val="0"/>
              </w:rPr>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57">
            <w:pPr>
              <w:spacing w:after="0" w:line="240" w:lineRule="auto"/>
              <w:jc w:val="center"/>
              <w:rPr>
                <w:rFonts w:ascii="Times New Roman" w:cs="Times New Roman" w:eastAsia="Times New Roman" w:hAnsi="Times New Roman"/>
                <w:b w:val="1"/>
                <w:color w:val="7030a0"/>
                <w:sz w:val="18"/>
                <w:szCs w:val="18"/>
              </w:rPr>
            </w:pPr>
            <w:r w:rsidDel="00000000" w:rsidR="00000000" w:rsidRPr="00000000">
              <w:rPr>
                <w:rFonts w:ascii="Times New Roman" w:cs="Times New Roman" w:eastAsia="Times New Roman" w:hAnsi="Times New Roman"/>
                <w:b w:val="1"/>
                <w:color w:val="7030a0"/>
                <w:sz w:val="18"/>
                <w:szCs w:val="18"/>
                <w:rtl w:val="0"/>
              </w:rPr>
              <w:t xml:space="preserve">Проект ЗУ щодо Громадської ради при ДМСУ </w:t>
            </w:r>
            <w:r w:rsidDel="00000000" w:rsidR="00000000" w:rsidRPr="00000000">
              <w:rPr>
                <w:rFonts w:ascii="Times New Roman" w:cs="Times New Roman" w:eastAsia="Times New Roman" w:hAnsi="Times New Roman"/>
                <w:color w:val="7030a0"/>
                <w:sz w:val="18"/>
                <w:szCs w:val="18"/>
                <w:rtl w:val="0"/>
              </w:rPr>
              <w:t xml:space="preserve">(ред. від 07.02.2025)</w:t>
            </w:r>
            <w:r w:rsidDel="00000000" w:rsidR="00000000" w:rsidRPr="00000000">
              <w:rPr>
                <w:rtl w:val="0"/>
              </w:rPr>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058">
            <w:pPr>
              <w:spacing w:after="0" w:line="240" w:lineRule="auto"/>
              <w:jc w:val="center"/>
              <w:rPr>
                <w:rFonts w:ascii="Times New Roman" w:cs="Times New Roman" w:eastAsia="Times New Roman" w:hAnsi="Times New Roman"/>
                <w:b w:val="1"/>
                <w:color w:val="000000"/>
                <w:sz w:val="18"/>
                <w:szCs w:val="18"/>
              </w:rPr>
            </w:pPr>
            <w:r w:rsidDel="00000000" w:rsidR="00000000" w:rsidRPr="00000000">
              <w:rPr>
                <w:rFonts w:ascii="Times New Roman" w:cs="Times New Roman" w:eastAsia="Times New Roman" w:hAnsi="Times New Roman"/>
                <w:b w:val="1"/>
                <w:color w:val="000000"/>
                <w:sz w:val="18"/>
                <w:szCs w:val="18"/>
                <w:rtl w:val="0"/>
              </w:rPr>
              <w:t xml:space="preserve">ЗУ "Про запобігання корупції"</w:t>
            </w:r>
          </w:p>
        </w:tc>
      </w:tr>
      <w:tr>
        <w:trPr>
          <w:cantSplit w:val="0"/>
          <w:trHeight w:val="315" w:hRule="atLeast"/>
          <w:tblHeader w:val="0"/>
        </w:trPr>
        <w:tc>
          <w:tcPr>
            <w:tcBorders>
              <w:top w:color="000000" w:space="0" w:sz="4" w:val="single"/>
            </w:tcBorders>
            <w:shd w:fill="auto" w:val="clear"/>
          </w:tcPr>
          <w:p w:rsidR="00000000" w:rsidDel="00000000" w:rsidP="00000000" w:rsidRDefault="00000000" w:rsidRPr="00000000" w14:paraId="00000059">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w:t>
            </w:r>
          </w:p>
        </w:tc>
        <w:tc>
          <w:tcPr>
            <w:tcBorders>
              <w:top w:color="000000" w:space="0" w:sz="4" w:val="single"/>
            </w:tcBorders>
            <w:shd w:fill="auto" w:val="clear"/>
            <w:vAlign w:val="bottom"/>
          </w:tcPr>
          <w:p w:rsidR="00000000" w:rsidDel="00000000" w:rsidP="00000000" w:rsidRDefault="00000000" w:rsidRPr="00000000" w14:paraId="0000005A">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05B">
            <w:pPr>
              <w:spacing w:after="0" w:line="240" w:lineRule="auto"/>
              <w:jc w:val="both"/>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Стаття 14. Контроль за діяльністю Національного агентства</w:t>
            </w:r>
          </w:p>
        </w:tc>
      </w:tr>
      <w:tr>
        <w:trPr>
          <w:cantSplit w:val="0"/>
          <w:trHeight w:val="630" w:hRule="atLeast"/>
          <w:tblHeader w:val="0"/>
        </w:trPr>
        <w:tc>
          <w:tcPr>
            <w:shd w:fill="auto" w:val="clear"/>
          </w:tcPr>
          <w:p w:rsidR="00000000" w:rsidDel="00000000" w:rsidP="00000000" w:rsidRDefault="00000000" w:rsidRPr="00000000" w14:paraId="0000005C">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w:t>
            </w:r>
          </w:p>
        </w:tc>
        <w:tc>
          <w:tcPr>
            <w:shd w:fill="auto" w:val="clear"/>
            <w:vAlign w:val="bottom"/>
          </w:tcPr>
          <w:p w:rsidR="00000000" w:rsidDel="00000000" w:rsidP="00000000" w:rsidRDefault="00000000" w:rsidRPr="00000000" w14:paraId="0000005D">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5E">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Контроль за витрачанням Національним агентством коштів здійснюється Рахунковою палатою шляхом проведення аудиту один раз на два роки.</w:t>
            </w:r>
          </w:p>
        </w:tc>
      </w:tr>
      <w:tr>
        <w:trPr>
          <w:cantSplit w:val="0"/>
          <w:trHeight w:val="341" w:hRule="atLeast"/>
          <w:tblHeader w:val="0"/>
        </w:trPr>
        <w:tc>
          <w:tcPr>
            <w:shd w:fill="auto" w:val="clear"/>
          </w:tcPr>
          <w:p w:rsidR="00000000" w:rsidDel="00000000" w:rsidP="00000000" w:rsidRDefault="00000000" w:rsidRPr="00000000" w14:paraId="0000005F">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w:t>
            </w:r>
          </w:p>
        </w:tc>
        <w:tc>
          <w:tcPr>
            <w:shd w:fill="auto" w:val="clear"/>
          </w:tcPr>
          <w:p w:rsidR="00000000" w:rsidDel="00000000" w:rsidP="00000000" w:rsidRDefault="00000000" w:rsidRPr="00000000" w14:paraId="00000060">
            <w:pPr>
              <w:spacing w:after="0" w:line="240" w:lineRule="auto"/>
              <w:jc w:val="both"/>
              <w:rPr>
                <w:rFonts w:ascii="Times New Roman" w:cs="Times New Roman" w:eastAsia="Times New Roman" w:hAnsi="Times New Roman"/>
                <w:b w:val="1"/>
                <w:color w:val="7030a0"/>
                <w:sz w:val="18"/>
                <w:szCs w:val="18"/>
              </w:rPr>
            </w:pPr>
            <w:r w:rsidDel="00000000" w:rsidR="00000000" w:rsidRPr="00000000">
              <w:rPr>
                <w:rFonts w:ascii="Times New Roman" w:cs="Times New Roman" w:eastAsia="Times New Roman" w:hAnsi="Times New Roman"/>
                <w:b w:val="1"/>
                <w:color w:val="7030a0"/>
                <w:sz w:val="18"/>
                <w:szCs w:val="18"/>
                <w:rtl w:val="0"/>
              </w:rPr>
              <w:t xml:space="preserve">Стаття 545</w:t>
            </w:r>
            <w:r w:rsidDel="00000000" w:rsidR="00000000" w:rsidRPr="00000000">
              <w:rPr>
                <w:rFonts w:ascii="Times New Roman" w:cs="Times New Roman" w:eastAsia="Times New Roman" w:hAnsi="Times New Roman"/>
                <w:b w:val="1"/>
                <w:color w:val="7030a0"/>
                <w:sz w:val="18"/>
                <w:szCs w:val="18"/>
                <w:vertAlign w:val="superscript"/>
                <w:rtl w:val="0"/>
              </w:rPr>
              <w:t xml:space="preserve">1</w:t>
            </w:r>
            <w:r w:rsidDel="00000000" w:rsidR="00000000" w:rsidRPr="00000000">
              <w:rPr>
                <w:rFonts w:ascii="Times New Roman" w:cs="Times New Roman" w:eastAsia="Times New Roman" w:hAnsi="Times New Roman"/>
                <w:b w:val="1"/>
                <w:color w:val="7030a0"/>
                <w:sz w:val="18"/>
                <w:szCs w:val="18"/>
                <w:rtl w:val="0"/>
              </w:rPr>
              <w:t xml:space="preserve">. Громадська рада при центральному органі виконавчої влади, що реалізує державну митну політику</w:t>
            </w:r>
          </w:p>
        </w:tc>
        <w:tc>
          <w:tcPr>
            <w:shd w:fill="auto" w:val="clear"/>
          </w:tcPr>
          <w:p w:rsidR="00000000" w:rsidDel="00000000" w:rsidP="00000000" w:rsidRDefault="00000000" w:rsidRPr="00000000" w14:paraId="00000061">
            <w:pPr>
              <w:spacing w:after="0" w:line="240" w:lineRule="auto"/>
              <w:jc w:val="both"/>
              <w:rPr>
                <w:rFonts w:ascii="Times New Roman" w:cs="Times New Roman" w:eastAsia="Times New Roman" w:hAnsi="Times New Roman"/>
                <w:b w:val="1"/>
                <w:color w:val="000000"/>
                <w:sz w:val="18"/>
                <w:szCs w:val="18"/>
              </w:rPr>
            </w:pPr>
            <w:r w:rsidDel="00000000" w:rsidR="00000000" w:rsidRPr="00000000">
              <w:rPr>
                <w:rtl w:val="0"/>
              </w:rPr>
            </w:r>
          </w:p>
        </w:tc>
      </w:tr>
      <w:tr>
        <w:trPr>
          <w:cantSplit w:val="0"/>
          <w:trHeight w:val="1344" w:hRule="atLeast"/>
          <w:tblHeader w:val="0"/>
        </w:trPr>
        <w:tc>
          <w:tcPr>
            <w:shd w:fill="auto" w:val="clear"/>
          </w:tcPr>
          <w:p w:rsidR="00000000" w:rsidDel="00000000" w:rsidP="00000000" w:rsidRDefault="00000000" w:rsidRPr="00000000" w14:paraId="00000062">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w:t>
            </w:r>
          </w:p>
        </w:tc>
        <w:tc>
          <w:tcPr>
            <w:shd w:fill="auto" w:val="clear"/>
          </w:tcPr>
          <w:p w:rsidR="00000000" w:rsidDel="00000000" w:rsidP="00000000" w:rsidRDefault="00000000" w:rsidRPr="00000000" w14:paraId="00000063">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З метою забезпечення прозорості та громадського контролю за діяльністю центрального органу виконавчої влади, що реалізує державну митну політику, утворюється Громадська рада при центральному органі виконавчої влади, що реалізує державну митну політику (далі – Громадська рада), яка формується на засадах відкритого та прозорого конкурсу. </w:t>
            </w:r>
          </w:p>
        </w:tc>
        <w:tc>
          <w:tcPr>
            <w:shd w:fill="auto" w:val="clear"/>
          </w:tcPr>
          <w:p w:rsidR="00000000" w:rsidDel="00000000" w:rsidP="00000000" w:rsidRDefault="00000000" w:rsidRPr="00000000" w14:paraId="00000064">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Громадський контроль за діяльністю Національного агентства забезпечується через Громадську раду при Національному агентстві, яка складається з 15 осіб та формується відповідно до результатів відкритого та прозорого конкурсу.</w:t>
            </w:r>
          </w:p>
        </w:tc>
      </w:tr>
      <w:tr>
        <w:trPr>
          <w:cantSplit w:val="0"/>
          <w:trHeight w:val="898" w:hRule="atLeast"/>
          <w:tblHeader w:val="0"/>
        </w:trPr>
        <w:tc>
          <w:tcPr>
            <w:shd w:fill="auto" w:val="clear"/>
          </w:tcPr>
          <w:p w:rsidR="00000000" w:rsidDel="00000000" w:rsidP="00000000" w:rsidRDefault="00000000" w:rsidRPr="00000000" w14:paraId="00000065">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w:t>
            </w:r>
          </w:p>
        </w:tc>
        <w:tc>
          <w:tcPr>
            <w:shd w:fill="auto" w:val="clear"/>
          </w:tcPr>
          <w:p w:rsidR="00000000" w:rsidDel="00000000" w:rsidP="00000000" w:rsidRDefault="00000000" w:rsidRPr="00000000" w14:paraId="00000066">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Громадська рада складається із п’ятнадцяти членів та є повноважною, якщо до її складу входять не менше дев’яти осіб. Строк повноважень члена Громадської ради становить два роки.</w:t>
            </w:r>
          </w:p>
        </w:tc>
        <w:tc>
          <w:tcPr>
            <w:shd w:fill="auto" w:val="clear"/>
          </w:tcPr>
          <w:p w:rsidR="00000000" w:rsidDel="00000000" w:rsidP="00000000" w:rsidRDefault="00000000" w:rsidRPr="00000000" w14:paraId="00000067">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Громадська рада при Національному агентстві є повноважною, якщо до її складу входять не менше дев’яти осіб. Строк повноважень Громадської ради становить два роки. Положення про Громадську раду при Національному агентстві затверджує Кабінет Міністрів України.</w:t>
            </w:r>
          </w:p>
        </w:tc>
      </w:tr>
      <w:tr>
        <w:trPr>
          <w:cantSplit w:val="0"/>
          <w:trHeight w:val="945" w:hRule="atLeast"/>
          <w:tblHeader w:val="0"/>
        </w:trPr>
        <w:tc>
          <w:tcPr>
            <w:shd w:fill="auto" w:val="clear"/>
          </w:tcPr>
          <w:p w:rsidR="00000000" w:rsidDel="00000000" w:rsidP="00000000" w:rsidRDefault="00000000" w:rsidRPr="00000000" w14:paraId="00000068">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w:t>
            </w:r>
          </w:p>
        </w:tc>
        <w:tc>
          <w:tcPr>
            <w:shd w:fill="auto" w:val="clear"/>
          </w:tcPr>
          <w:p w:rsidR="00000000" w:rsidDel="00000000" w:rsidP="00000000" w:rsidRDefault="00000000" w:rsidRPr="00000000" w14:paraId="00000069">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Склад Громадської ради, Положення про Громадську раду, а також порядок формування Громадської ради, у тому числі порядок проведення конкурсу з урахуванням вимог частини другої цієї статті, затверджує Кабінет Міністрів України.</w:t>
            </w:r>
          </w:p>
        </w:tc>
        <w:tc>
          <w:tcPr>
            <w:shd w:fill="auto" w:val="clear"/>
          </w:tcPr>
          <w:p w:rsidR="00000000" w:rsidDel="00000000" w:rsidP="00000000" w:rsidRDefault="00000000" w:rsidRPr="00000000" w14:paraId="0000006A">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884" w:hRule="atLeast"/>
          <w:tblHeader w:val="0"/>
        </w:trPr>
        <w:tc>
          <w:tcPr>
            <w:shd w:fill="auto" w:val="clear"/>
          </w:tcPr>
          <w:p w:rsidR="00000000" w:rsidDel="00000000" w:rsidP="00000000" w:rsidRDefault="00000000" w:rsidRPr="00000000" w14:paraId="0000006B">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7</w:t>
            </w:r>
          </w:p>
        </w:tc>
        <w:tc>
          <w:tcPr>
            <w:shd w:fill="auto" w:val="clear"/>
          </w:tcPr>
          <w:p w:rsidR="00000000" w:rsidDel="00000000" w:rsidP="00000000" w:rsidRDefault="00000000" w:rsidRPr="00000000" w14:paraId="0000006C">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2. Конкурс з формування складу Громадської ради проводиться шляхом відкритого рейтингового інтернет-голосування громадян, які проживають на території України. </w:t>
            </w:r>
          </w:p>
        </w:tc>
        <w:tc>
          <w:tcPr>
            <w:shd w:fill="auto" w:val="clear"/>
          </w:tcPr>
          <w:p w:rsidR="00000000" w:rsidDel="00000000" w:rsidP="00000000" w:rsidRDefault="00000000" w:rsidRPr="00000000" w14:paraId="0000006D">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Конкурс з формування складу Громадської ради при Національному агентстві проводиться шляхом відкритого рейтингового інтернет-голосування громадян, які проживають на території України, у порядку, встановленому Кабінетом Міністрів України.</w:t>
            </w:r>
          </w:p>
        </w:tc>
      </w:tr>
      <w:tr>
        <w:trPr>
          <w:cantSplit w:val="0"/>
          <w:trHeight w:val="1575" w:hRule="atLeast"/>
          <w:tblHeader w:val="0"/>
        </w:trPr>
        <w:tc>
          <w:tcPr>
            <w:shd w:fill="auto" w:val="clear"/>
          </w:tcPr>
          <w:p w:rsidR="00000000" w:rsidDel="00000000" w:rsidP="00000000" w:rsidRDefault="00000000" w:rsidRPr="00000000" w14:paraId="0000006E">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8</w:t>
            </w:r>
          </w:p>
        </w:tc>
        <w:tc>
          <w:tcPr>
            <w:shd w:fill="auto" w:val="clear"/>
          </w:tcPr>
          <w:p w:rsidR="00000000" w:rsidDel="00000000" w:rsidP="00000000" w:rsidRDefault="00000000" w:rsidRPr="00000000" w14:paraId="0000006F">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Кандидати для участі в конкурсі з формування складу Громадської ради подаються громадськими об’єднаннями, які  не менше шести місяців до дати оприлюднення повідомлення про формування складу Громадської ради провадять свою діяльність  у сфері митної політики, зовнішньоекономічної діяльності, запобігання та/або протидії контрабанді, запобігання та/або протидії корупції. </w:t>
            </w:r>
          </w:p>
        </w:tc>
        <w:tc>
          <w:tcPr>
            <w:shd w:fill="auto" w:val="clear"/>
          </w:tcPr>
          <w:p w:rsidR="00000000" w:rsidDel="00000000" w:rsidP="00000000" w:rsidRDefault="00000000" w:rsidRPr="00000000" w14:paraId="00000070">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Кандидатури для участі в конкурсі з формування складу Громадської ради при Національному агентстві подаються громадськими об’єднаннями, які здійснюють діяльність у сфері запобігання та/або протидії корупції не менше двох років та мають підтвердження реалізованих ними проектів (далі - громадські об’єднання).</w:t>
            </w:r>
          </w:p>
        </w:tc>
      </w:tr>
      <w:tr>
        <w:trPr>
          <w:cantSplit w:val="0"/>
          <w:trHeight w:val="630" w:hRule="atLeast"/>
          <w:tblHeader w:val="0"/>
        </w:trPr>
        <w:tc>
          <w:tcPr>
            <w:shd w:fill="auto" w:val="clear"/>
          </w:tcPr>
          <w:p w:rsidR="00000000" w:rsidDel="00000000" w:rsidP="00000000" w:rsidRDefault="00000000" w:rsidRPr="00000000" w14:paraId="00000071">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9</w:t>
            </w:r>
          </w:p>
        </w:tc>
        <w:tc>
          <w:tcPr>
            <w:shd w:fill="auto" w:val="clear"/>
          </w:tcPr>
          <w:p w:rsidR="00000000" w:rsidDel="00000000" w:rsidP="00000000" w:rsidRDefault="00000000" w:rsidRPr="00000000" w14:paraId="00000072">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Громадське об’єднання може подати для участі в конкурсі не більше трьох кандидатів, враховуючи всі кандидатури, подані афілійованими громадськими об’єднаннями.</w:t>
            </w:r>
          </w:p>
        </w:tc>
        <w:tc>
          <w:tcPr>
            <w:shd w:fill="auto" w:val="clear"/>
          </w:tcPr>
          <w:p w:rsidR="00000000" w:rsidDel="00000000" w:rsidP="00000000" w:rsidRDefault="00000000" w:rsidRPr="00000000" w14:paraId="00000073">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Громадське об’єднання може подати для участі в конкурсі не більше трьох кандидатур, враховуючи всі кандидатури, подані афілійованими громадськими об’єднаннями. </w:t>
            </w:r>
          </w:p>
        </w:tc>
      </w:tr>
      <w:tr>
        <w:trPr>
          <w:cantSplit w:val="0"/>
          <w:trHeight w:val="315" w:hRule="atLeast"/>
          <w:tblHeader w:val="0"/>
        </w:trPr>
        <w:tc>
          <w:tcPr>
            <w:shd w:fill="auto" w:val="clear"/>
          </w:tcPr>
          <w:p w:rsidR="00000000" w:rsidDel="00000000" w:rsidP="00000000" w:rsidRDefault="00000000" w:rsidRPr="00000000" w14:paraId="00000074">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10</w:t>
            </w:r>
          </w:p>
        </w:tc>
        <w:tc>
          <w:tcPr>
            <w:shd w:fill="auto" w:val="clear"/>
          </w:tcPr>
          <w:p w:rsidR="00000000" w:rsidDel="00000000" w:rsidP="00000000" w:rsidRDefault="00000000" w:rsidRPr="00000000" w14:paraId="00000075">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До складу Громадської ради не можуть входити особи:</w:t>
            </w:r>
          </w:p>
        </w:tc>
        <w:tc>
          <w:tcPr>
            <w:shd w:fill="auto" w:val="clear"/>
          </w:tcPr>
          <w:p w:rsidR="00000000" w:rsidDel="00000000" w:rsidP="00000000" w:rsidRDefault="00000000" w:rsidRPr="00000000" w14:paraId="00000076">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До складу Громадської ради при Національному агентстві не можуть входити особи:</w:t>
            </w:r>
          </w:p>
        </w:tc>
      </w:tr>
      <w:tr>
        <w:trPr>
          <w:cantSplit w:val="0"/>
          <w:trHeight w:val="630" w:hRule="atLeast"/>
          <w:tblHeader w:val="0"/>
        </w:trPr>
        <w:tc>
          <w:tcPr>
            <w:shd w:fill="auto" w:val="clear"/>
          </w:tcPr>
          <w:p w:rsidR="00000000" w:rsidDel="00000000" w:rsidP="00000000" w:rsidRDefault="00000000" w:rsidRPr="00000000" w14:paraId="00000077">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11</w:t>
            </w:r>
          </w:p>
        </w:tc>
        <w:tc>
          <w:tcPr>
            <w:shd w:fill="auto" w:val="clear"/>
          </w:tcPr>
          <w:p w:rsidR="00000000" w:rsidDel="00000000" w:rsidP="00000000" w:rsidRDefault="00000000" w:rsidRPr="00000000" w14:paraId="00000078">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уповноважені на виконання функцій держави або місцевого самоврядування відповідно до Закону України "Про запобігання корупції";</w:t>
            </w:r>
          </w:p>
        </w:tc>
        <w:tc>
          <w:tcPr>
            <w:shd w:fill="auto" w:val="clear"/>
          </w:tcPr>
          <w:p w:rsidR="00000000" w:rsidDel="00000000" w:rsidP="00000000" w:rsidRDefault="00000000" w:rsidRPr="00000000" w14:paraId="00000079">
            <w:pPr>
              <w:spacing w:after="0" w:line="240" w:lineRule="auto"/>
              <w:jc w:val="both"/>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 зазначені у пункті 1, підпункті "а" пункту 2 частини першої статті 3 цього Закону;</w:t>
            </w:r>
          </w:p>
        </w:tc>
      </w:tr>
      <w:tr>
        <w:trPr>
          <w:cantSplit w:val="0"/>
          <w:trHeight w:val="630" w:hRule="atLeast"/>
          <w:tblHeader w:val="0"/>
        </w:trPr>
        <w:tc>
          <w:tcPr>
            <w:shd w:fill="auto" w:val="clear"/>
          </w:tcPr>
          <w:p w:rsidR="00000000" w:rsidDel="00000000" w:rsidP="00000000" w:rsidRDefault="00000000" w:rsidRPr="00000000" w14:paraId="0000007A">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12</w:t>
            </w:r>
          </w:p>
        </w:tc>
        <w:tc>
          <w:tcPr>
            <w:shd w:fill="auto" w:val="clear"/>
          </w:tcPr>
          <w:p w:rsidR="00000000" w:rsidDel="00000000" w:rsidP="00000000" w:rsidRDefault="00000000" w:rsidRPr="00000000" w14:paraId="0000007B">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2) які, незалежно від тривалості, були працівниками митних органів протягом останніх трьох років;</w:t>
            </w:r>
          </w:p>
        </w:tc>
        <w:tc>
          <w:tcPr>
            <w:shd w:fill="auto" w:val="clear"/>
          </w:tcPr>
          <w:p w:rsidR="00000000" w:rsidDel="00000000" w:rsidP="00000000" w:rsidRDefault="00000000" w:rsidRPr="00000000" w14:paraId="0000007C">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які, незалежно від тривалості, були працівниками Національного агентства протягом останніх трьох років;</w:t>
            </w:r>
          </w:p>
        </w:tc>
      </w:tr>
      <w:tr>
        <w:trPr>
          <w:cantSplit w:val="0"/>
          <w:trHeight w:val="630" w:hRule="atLeast"/>
          <w:tblHeader w:val="0"/>
        </w:trPr>
        <w:tc>
          <w:tcPr>
            <w:shd w:fill="auto" w:val="clear"/>
          </w:tcPr>
          <w:p w:rsidR="00000000" w:rsidDel="00000000" w:rsidP="00000000" w:rsidRDefault="00000000" w:rsidRPr="00000000" w14:paraId="0000007D">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13</w:t>
            </w:r>
          </w:p>
        </w:tc>
        <w:tc>
          <w:tcPr>
            <w:shd w:fill="auto" w:val="clear"/>
          </w:tcPr>
          <w:p w:rsidR="00000000" w:rsidDel="00000000" w:rsidP="00000000" w:rsidRDefault="00000000" w:rsidRPr="00000000" w14:paraId="0000007E">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3) близькі особи яких є або, незалежно від тривалості, були працівниками митних органів протягом останніх трьох років.</w:t>
            </w:r>
          </w:p>
        </w:tc>
        <w:tc>
          <w:tcPr>
            <w:shd w:fill="auto" w:val="clear"/>
          </w:tcPr>
          <w:p w:rsidR="00000000" w:rsidDel="00000000" w:rsidP="00000000" w:rsidRDefault="00000000" w:rsidRPr="00000000" w14:paraId="0000007F">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близькі особи яких є або, незалежно від тривалості, були працівниками Національного агентства протягом останніх трьох років.</w:t>
            </w:r>
          </w:p>
        </w:tc>
      </w:tr>
      <w:tr>
        <w:trPr>
          <w:cantSplit w:val="0"/>
          <w:trHeight w:val="945" w:hRule="atLeast"/>
          <w:tblHeader w:val="0"/>
        </w:trPr>
        <w:tc>
          <w:tcPr>
            <w:shd w:fill="auto" w:val="clear"/>
          </w:tcPr>
          <w:p w:rsidR="00000000" w:rsidDel="00000000" w:rsidP="00000000" w:rsidRDefault="00000000" w:rsidRPr="00000000" w14:paraId="00000080">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14</w:t>
            </w:r>
          </w:p>
        </w:tc>
        <w:tc>
          <w:tcPr>
            <w:shd w:fill="auto" w:val="clear"/>
          </w:tcPr>
          <w:p w:rsidR="00000000" w:rsidDel="00000000" w:rsidP="00000000" w:rsidRDefault="00000000" w:rsidRPr="00000000" w14:paraId="00000081">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У разі виникнення однієї із зазначених у абзацах п’ятому, сьомому цієї частини статті обставин після набуття особою статусу члена Громадської ради, повноваження такої особи припиняються у порядку, передбаченому Положенням про Громадську раду. </w:t>
            </w:r>
          </w:p>
        </w:tc>
        <w:tc>
          <w:tcPr>
            <w:shd w:fill="auto" w:val="clear"/>
          </w:tcPr>
          <w:p w:rsidR="00000000" w:rsidDel="00000000" w:rsidP="00000000" w:rsidRDefault="00000000" w:rsidRPr="00000000" w14:paraId="00000082">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315" w:hRule="atLeast"/>
          <w:tblHeader w:val="0"/>
        </w:trPr>
        <w:tc>
          <w:tcPr>
            <w:shd w:fill="auto" w:val="clear"/>
          </w:tcPr>
          <w:p w:rsidR="00000000" w:rsidDel="00000000" w:rsidP="00000000" w:rsidRDefault="00000000" w:rsidRPr="00000000" w14:paraId="00000083">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15</w:t>
            </w:r>
          </w:p>
        </w:tc>
        <w:tc>
          <w:tcPr>
            <w:shd w:fill="auto" w:val="clear"/>
          </w:tcPr>
          <w:p w:rsidR="00000000" w:rsidDel="00000000" w:rsidP="00000000" w:rsidRDefault="00000000" w:rsidRPr="00000000" w14:paraId="00000084">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3. Громадська рада:</w:t>
            </w:r>
          </w:p>
        </w:tc>
        <w:tc>
          <w:tcPr>
            <w:shd w:fill="auto" w:val="clear"/>
          </w:tcPr>
          <w:p w:rsidR="00000000" w:rsidDel="00000000" w:rsidP="00000000" w:rsidRDefault="00000000" w:rsidRPr="00000000" w14:paraId="00000085">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Громадська рада при Національному агентстві:</w:t>
            </w:r>
          </w:p>
        </w:tc>
      </w:tr>
      <w:tr>
        <w:trPr>
          <w:cantSplit w:val="0"/>
          <w:trHeight w:val="630" w:hRule="atLeast"/>
          <w:tblHeader w:val="0"/>
        </w:trPr>
        <w:tc>
          <w:tcPr>
            <w:shd w:fill="auto" w:val="clear"/>
          </w:tcPr>
          <w:p w:rsidR="00000000" w:rsidDel="00000000" w:rsidP="00000000" w:rsidRDefault="00000000" w:rsidRPr="00000000" w14:paraId="00000086">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16</w:t>
            </w:r>
          </w:p>
        </w:tc>
        <w:tc>
          <w:tcPr>
            <w:shd w:fill="auto" w:val="clear"/>
          </w:tcPr>
          <w:p w:rsidR="00000000" w:rsidDel="00000000" w:rsidP="00000000" w:rsidRDefault="00000000" w:rsidRPr="00000000" w14:paraId="00000087">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заслуховує інформацію про діяльність, виконання планів і завдань центрального органу виконавчої влади, що реалізує державну митну політику; </w:t>
            </w:r>
          </w:p>
        </w:tc>
        <w:tc>
          <w:tcPr>
            <w:shd w:fill="auto" w:val="clear"/>
          </w:tcPr>
          <w:p w:rsidR="00000000" w:rsidDel="00000000" w:rsidP="00000000" w:rsidRDefault="00000000" w:rsidRPr="00000000" w14:paraId="00000088">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945" w:hRule="atLeast"/>
          <w:tblHeader w:val="0"/>
        </w:trPr>
        <w:tc>
          <w:tcPr>
            <w:shd w:fill="auto" w:val="clear"/>
          </w:tcPr>
          <w:p w:rsidR="00000000" w:rsidDel="00000000" w:rsidP="00000000" w:rsidRDefault="00000000" w:rsidRPr="00000000" w14:paraId="00000089">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17</w:t>
            </w:r>
          </w:p>
        </w:tc>
        <w:tc>
          <w:tcPr>
            <w:shd w:fill="auto" w:val="clear"/>
          </w:tcPr>
          <w:p w:rsidR="00000000" w:rsidDel="00000000" w:rsidP="00000000" w:rsidRDefault="00000000" w:rsidRPr="00000000" w14:paraId="0000008A">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2) здійснює моніторинг ефективності реалізації центральним органом виконавчої влади, що реалізує державну митну політику, повноважень та складає звіти за результатами такого моніторингу;</w:t>
            </w:r>
          </w:p>
        </w:tc>
        <w:tc>
          <w:tcPr>
            <w:shd w:fill="auto" w:val="clear"/>
          </w:tcPr>
          <w:p w:rsidR="00000000" w:rsidDel="00000000" w:rsidP="00000000" w:rsidRDefault="00000000" w:rsidRPr="00000000" w14:paraId="0000008B">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заслуховує інформацію про діяльність, виконання планів і завдань Національного агентства, здійснює моніторинг ефективності реалізації Національним агентством його повноважень;</w:t>
            </w:r>
          </w:p>
        </w:tc>
      </w:tr>
      <w:tr>
        <w:trPr>
          <w:cantSplit w:val="0"/>
          <w:trHeight w:val="315" w:hRule="atLeast"/>
          <w:tblHeader w:val="0"/>
        </w:trPr>
        <w:tc>
          <w:tcPr>
            <w:shd w:fill="auto" w:val="clear"/>
          </w:tcPr>
          <w:p w:rsidR="00000000" w:rsidDel="00000000" w:rsidP="00000000" w:rsidRDefault="00000000" w:rsidRPr="00000000" w14:paraId="0000008C">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18</w:t>
            </w:r>
          </w:p>
        </w:tc>
        <w:tc>
          <w:tcPr>
            <w:shd w:fill="auto" w:val="clear"/>
          </w:tcPr>
          <w:p w:rsidR="00000000" w:rsidDel="00000000" w:rsidP="00000000" w:rsidRDefault="00000000" w:rsidRPr="00000000" w14:paraId="0000008D">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8E">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обирає зі своїх членів до трьох представників, які входять до складу кожної з:</w:t>
            </w:r>
          </w:p>
        </w:tc>
      </w:tr>
      <w:tr>
        <w:trPr>
          <w:cantSplit w:val="0"/>
          <w:trHeight w:val="315" w:hRule="atLeast"/>
          <w:tblHeader w:val="0"/>
        </w:trPr>
        <w:tc>
          <w:tcPr>
            <w:shd w:fill="auto" w:val="clear"/>
          </w:tcPr>
          <w:p w:rsidR="00000000" w:rsidDel="00000000" w:rsidP="00000000" w:rsidRDefault="00000000" w:rsidRPr="00000000" w14:paraId="0000008F">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19</w:t>
            </w:r>
          </w:p>
        </w:tc>
        <w:tc>
          <w:tcPr>
            <w:shd w:fill="auto" w:val="clear"/>
          </w:tcPr>
          <w:p w:rsidR="00000000" w:rsidDel="00000000" w:rsidP="00000000" w:rsidRDefault="00000000" w:rsidRPr="00000000" w14:paraId="00000090">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91">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комісій, які проводять конкурс на зайняття вакантних посад у Національному агентстві;</w:t>
            </w:r>
          </w:p>
        </w:tc>
      </w:tr>
      <w:tr>
        <w:trPr>
          <w:cantSplit w:val="0"/>
          <w:trHeight w:val="630" w:hRule="atLeast"/>
          <w:tblHeader w:val="0"/>
        </w:trPr>
        <w:tc>
          <w:tcPr>
            <w:shd w:fill="auto" w:val="clear"/>
          </w:tcPr>
          <w:p w:rsidR="00000000" w:rsidDel="00000000" w:rsidP="00000000" w:rsidRDefault="00000000" w:rsidRPr="00000000" w14:paraId="00000092">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20</w:t>
            </w:r>
          </w:p>
        </w:tc>
        <w:tc>
          <w:tcPr>
            <w:shd w:fill="auto" w:val="clear"/>
          </w:tcPr>
          <w:p w:rsidR="00000000" w:rsidDel="00000000" w:rsidP="00000000" w:rsidRDefault="00000000" w:rsidRPr="00000000" w14:paraId="00000093">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94">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дисциплінарних комісій, які здійснюють дисциплінарні провадження щодо державних службовців Національного агентства;</w:t>
            </w:r>
          </w:p>
        </w:tc>
      </w:tr>
      <w:tr>
        <w:trPr>
          <w:cantSplit w:val="0"/>
          <w:trHeight w:val="315" w:hRule="atLeast"/>
          <w:tblHeader w:val="0"/>
        </w:trPr>
        <w:tc>
          <w:tcPr>
            <w:shd w:fill="auto" w:val="clear"/>
          </w:tcPr>
          <w:p w:rsidR="00000000" w:rsidDel="00000000" w:rsidP="00000000" w:rsidRDefault="00000000" w:rsidRPr="00000000" w14:paraId="00000095">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21</w:t>
            </w:r>
          </w:p>
        </w:tc>
        <w:tc>
          <w:tcPr>
            <w:shd w:fill="auto" w:val="clear"/>
          </w:tcPr>
          <w:p w:rsidR="00000000" w:rsidDel="00000000" w:rsidP="00000000" w:rsidRDefault="00000000" w:rsidRPr="00000000" w14:paraId="00000096">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97">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аналізує ситуацію із забезпеченням незалежності Національного агентства;</w:t>
            </w:r>
          </w:p>
        </w:tc>
      </w:tr>
      <w:tr>
        <w:trPr>
          <w:cantSplit w:val="0"/>
          <w:trHeight w:val="315" w:hRule="atLeast"/>
          <w:tblHeader w:val="0"/>
        </w:trPr>
        <w:tc>
          <w:tcPr>
            <w:shd w:fill="auto" w:val="clear"/>
          </w:tcPr>
          <w:p w:rsidR="00000000" w:rsidDel="00000000" w:rsidP="00000000" w:rsidRDefault="00000000" w:rsidRPr="00000000" w14:paraId="00000098">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22</w:t>
            </w:r>
          </w:p>
        </w:tc>
        <w:tc>
          <w:tcPr>
            <w:shd w:fill="auto" w:val="clear"/>
          </w:tcPr>
          <w:p w:rsidR="00000000" w:rsidDel="00000000" w:rsidP="00000000" w:rsidRDefault="00000000" w:rsidRPr="00000000" w14:paraId="00000099">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9A">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розглядає щорічний звіт Національного агентства та затверджує висновок щодо нього;</w:t>
            </w:r>
          </w:p>
        </w:tc>
      </w:tr>
      <w:tr>
        <w:trPr>
          <w:cantSplit w:val="0"/>
          <w:trHeight w:val="630" w:hRule="atLeast"/>
          <w:tblHeader w:val="0"/>
        </w:trPr>
        <w:tc>
          <w:tcPr>
            <w:shd w:fill="auto" w:val="clear"/>
          </w:tcPr>
          <w:p w:rsidR="00000000" w:rsidDel="00000000" w:rsidP="00000000" w:rsidRDefault="00000000" w:rsidRPr="00000000" w14:paraId="0000009B">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23</w:t>
            </w:r>
          </w:p>
        </w:tc>
        <w:tc>
          <w:tcPr>
            <w:shd w:fill="auto" w:val="clear"/>
          </w:tcPr>
          <w:p w:rsidR="00000000" w:rsidDel="00000000" w:rsidP="00000000" w:rsidRDefault="00000000" w:rsidRPr="00000000" w14:paraId="0000009C">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9D">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5) розглядає проект національної доповіді щодо реалізації засад антикорупційної політики та затверджує висновок щодо нього;</w:t>
            </w:r>
          </w:p>
        </w:tc>
      </w:tr>
      <w:tr>
        <w:trPr>
          <w:cantSplit w:val="0"/>
          <w:trHeight w:val="630" w:hRule="atLeast"/>
          <w:tblHeader w:val="0"/>
        </w:trPr>
        <w:tc>
          <w:tcPr>
            <w:shd w:fill="auto" w:val="clear"/>
          </w:tcPr>
          <w:p w:rsidR="00000000" w:rsidDel="00000000" w:rsidP="00000000" w:rsidRDefault="00000000" w:rsidRPr="00000000" w14:paraId="0000009E">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24</w:t>
            </w:r>
          </w:p>
        </w:tc>
        <w:tc>
          <w:tcPr>
            <w:shd w:fill="auto" w:val="clear"/>
          </w:tcPr>
          <w:p w:rsidR="00000000" w:rsidDel="00000000" w:rsidP="00000000" w:rsidRDefault="00000000" w:rsidRPr="00000000" w14:paraId="0000009F">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A0">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6) бере участь у розробленні антикорупційної стратегії та державної програми з її виконання;</w:t>
            </w:r>
          </w:p>
        </w:tc>
      </w:tr>
      <w:tr>
        <w:trPr>
          <w:cantSplit w:val="0"/>
          <w:trHeight w:val="1575" w:hRule="atLeast"/>
          <w:tblHeader w:val="0"/>
        </w:trPr>
        <w:tc>
          <w:tcPr>
            <w:shd w:fill="auto" w:val="clear"/>
          </w:tcPr>
          <w:p w:rsidR="00000000" w:rsidDel="00000000" w:rsidP="00000000" w:rsidRDefault="00000000" w:rsidRPr="00000000" w14:paraId="000000A1">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25</w:t>
            </w:r>
          </w:p>
        </w:tc>
        <w:tc>
          <w:tcPr>
            <w:shd w:fill="auto" w:val="clear"/>
          </w:tcPr>
          <w:p w:rsidR="00000000" w:rsidDel="00000000" w:rsidP="00000000" w:rsidRDefault="00000000" w:rsidRPr="00000000" w14:paraId="000000A2">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3) бере участь у розробленні проектів законів України,  актів Президента України, Кабінету Міністрів України, наказів центрального органу виконавчої влади,  що забезпечує формування та реалізує державну фінансову, бюджетну та боргову політику та пропозицій до інших нормативно-правових актів з питань, що належать до сфери діяльності центрального органу виконавчої влади, що реалізує державну митну політику;</w:t>
            </w:r>
          </w:p>
        </w:tc>
        <w:tc>
          <w:tcPr>
            <w:shd w:fill="auto" w:val="clear"/>
          </w:tcPr>
          <w:p w:rsidR="00000000" w:rsidDel="00000000" w:rsidP="00000000" w:rsidRDefault="00000000" w:rsidRPr="00000000" w14:paraId="000000A3">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7) бере участь у розробленні проектів нормативно-правових актів Національного агентства та готує висновки щодо них;</w:t>
            </w:r>
          </w:p>
        </w:tc>
      </w:tr>
      <w:tr>
        <w:trPr>
          <w:cantSplit w:val="0"/>
          <w:trHeight w:val="630" w:hRule="atLeast"/>
          <w:tblHeader w:val="0"/>
        </w:trPr>
        <w:tc>
          <w:tcPr>
            <w:shd w:fill="auto" w:val="clear"/>
          </w:tcPr>
          <w:p w:rsidR="00000000" w:rsidDel="00000000" w:rsidP="00000000" w:rsidRDefault="00000000" w:rsidRPr="00000000" w14:paraId="000000A4">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26</w:t>
            </w:r>
          </w:p>
        </w:tc>
        <w:tc>
          <w:tcPr>
            <w:shd w:fill="auto" w:val="clear"/>
          </w:tcPr>
          <w:p w:rsidR="00000000" w:rsidDel="00000000" w:rsidP="00000000" w:rsidRDefault="00000000" w:rsidRPr="00000000" w14:paraId="000000A5">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4) бере участь в оцінці корупційних ризиків та вжитті заходів із запобігання корупції у діяльності центрального органу виконавчої влади, що реалізує державну митну політику;</w:t>
            </w:r>
          </w:p>
        </w:tc>
        <w:tc>
          <w:tcPr>
            <w:shd w:fill="auto" w:val="clear"/>
          </w:tcPr>
          <w:p w:rsidR="00000000" w:rsidDel="00000000" w:rsidP="00000000" w:rsidRDefault="00000000" w:rsidRPr="00000000" w14:paraId="000000A6">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630" w:hRule="atLeast"/>
          <w:tblHeader w:val="0"/>
        </w:trPr>
        <w:tc>
          <w:tcPr>
            <w:shd w:fill="auto" w:val="clear"/>
          </w:tcPr>
          <w:p w:rsidR="00000000" w:rsidDel="00000000" w:rsidP="00000000" w:rsidRDefault="00000000" w:rsidRPr="00000000" w14:paraId="000000A7">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27</w:t>
            </w:r>
          </w:p>
        </w:tc>
        <w:tc>
          <w:tcPr>
            <w:shd w:fill="auto" w:val="clear"/>
          </w:tcPr>
          <w:p w:rsidR="00000000" w:rsidDel="00000000" w:rsidP="00000000" w:rsidRDefault="00000000" w:rsidRPr="00000000" w14:paraId="000000A8">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5) здійснює інші повноваження, передбачені Положенням про Громадську раду.</w:t>
            </w:r>
          </w:p>
        </w:tc>
        <w:tc>
          <w:tcPr>
            <w:shd w:fill="auto" w:val="clear"/>
          </w:tcPr>
          <w:p w:rsidR="00000000" w:rsidDel="00000000" w:rsidP="00000000" w:rsidRDefault="00000000" w:rsidRPr="00000000" w14:paraId="000000A9">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8) здійснює інші повноваження, передбачені Положенням про Громадську раду при Національному агентстві.</w:t>
            </w:r>
          </w:p>
        </w:tc>
      </w:tr>
      <w:tr>
        <w:trPr>
          <w:cantSplit w:val="0"/>
          <w:trHeight w:val="90" w:hRule="atLeast"/>
          <w:tblHeader w:val="0"/>
        </w:trPr>
        <w:tc>
          <w:tcPr>
            <w:shd w:fill="auto" w:val="clear"/>
          </w:tcPr>
          <w:p w:rsidR="00000000" w:rsidDel="00000000" w:rsidP="00000000" w:rsidRDefault="00000000" w:rsidRPr="00000000" w14:paraId="000000AA">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28</w:t>
            </w:r>
          </w:p>
        </w:tc>
        <w:tc>
          <w:tcPr>
            <w:shd w:fill="auto" w:val="clear"/>
          </w:tcPr>
          <w:p w:rsidR="00000000" w:rsidDel="00000000" w:rsidP="00000000" w:rsidRDefault="00000000" w:rsidRPr="00000000" w14:paraId="000000AB">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Примітка. </w:t>
            </w:r>
          </w:p>
        </w:tc>
        <w:tc>
          <w:tcPr>
            <w:shd w:fill="auto" w:val="clear"/>
          </w:tcPr>
          <w:p w:rsidR="00000000" w:rsidDel="00000000" w:rsidP="00000000" w:rsidRDefault="00000000" w:rsidRPr="00000000" w14:paraId="000000AC">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1890" w:hRule="atLeast"/>
          <w:tblHeader w:val="0"/>
        </w:trPr>
        <w:tc>
          <w:tcPr>
            <w:shd w:fill="auto" w:val="clear"/>
          </w:tcPr>
          <w:p w:rsidR="00000000" w:rsidDel="00000000" w:rsidP="00000000" w:rsidRDefault="00000000" w:rsidRPr="00000000" w14:paraId="000000AD">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29</w:t>
            </w:r>
          </w:p>
        </w:tc>
        <w:tc>
          <w:tcPr>
            <w:shd w:fill="auto" w:val="clear"/>
          </w:tcPr>
          <w:p w:rsidR="00000000" w:rsidDel="00000000" w:rsidP="00000000" w:rsidRDefault="00000000" w:rsidRPr="00000000" w14:paraId="000000AE">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Під провадженням громадським об'єднанням діяльності у сфері митної політики, зовнішньоекономічної діяльності, запобігання та/або протидії контрабанді, запобігання та/або протидії корупції, розуміється проведення громадським об'єднанням заходів, досліджень, надання послуг, реалізація проектів тощо принаймні у одній із зазначених сфер. Провадження такої діяльності громадським об'єднанням підтверджується інформацією про результати його діяльності.</w:t>
            </w:r>
          </w:p>
        </w:tc>
        <w:tc>
          <w:tcPr>
            <w:shd w:fill="auto" w:val="clear"/>
          </w:tcPr>
          <w:p w:rsidR="00000000" w:rsidDel="00000000" w:rsidP="00000000" w:rsidRDefault="00000000" w:rsidRPr="00000000" w14:paraId="000000AF">
            <w:pPr>
              <w:spacing w:after="0" w:line="240" w:lineRule="auto"/>
              <w:jc w:val="both"/>
              <w:rPr>
                <w:rFonts w:ascii="Times New Roman" w:cs="Times New Roman" w:eastAsia="Times New Roman" w:hAnsi="Times New Roman"/>
                <w:color w:val="000000"/>
                <w:sz w:val="18"/>
                <w:szCs w:val="18"/>
              </w:rPr>
            </w:pPr>
            <w:r w:rsidDel="00000000" w:rsidR="00000000" w:rsidRPr="00000000">
              <w:rPr>
                <w:rtl w:val="0"/>
              </w:rPr>
            </w:r>
          </w:p>
        </w:tc>
      </w:tr>
      <w:tr>
        <w:trPr>
          <w:cantSplit w:val="0"/>
          <w:trHeight w:val="630" w:hRule="atLeast"/>
          <w:tblHeader w:val="0"/>
        </w:trPr>
        <w:tc>
          <w:tcPr>
            <w:shd w:fill="auto" w:val="clear"/>
          </w:tcPr>
          <w:p w:rsidR="00000000" w:rsidDel="00000000" w:rsidP="00000000" w:rsidRDefault="00000000" w:rsidRPr="00000000" w14:paraId="000000B0">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30</w:t>
            </w:r>
          </w:p>
        </w:tc>
        <w:tc>
          <w:tcPr>
            <w:tcBorders>
              <w:bottom w:color="000000" w:space="0" w:sz="4" w:val="dotted"/>
            </w:tcBorders>
            <w:shd w:fill="auto" w:val="clear"/>
          </w:tcPr>
          <w:p w:rsidR="00000000" w:rsidDel="00000000" w:rsidP="00000000" w:rsidRDefault="00000000" w:rsidRPr="00000000" w14:paraId="000000B1">
            <w:pPr>
              <w:spacing w:after="0" w:line="240" w:lineRule="auto"/>
              <w:jc w:val="both"/>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2. Афілійованими є громадські об’єднання, що мають принаймні одного спільного засновника або серед засновників яких є близькі особи.</w:t>
            </w:r>
          </w:p>
        </w:tc>
        <w:tc>
          <w:tcPr>
            <w:shd w:fill="auto" w:val="clear"/>
          </w:tcPr>
          <w:p w:rsidR="00000000" w:rsidDel="00000000" w:rsidP="00000000" w:rsidRDefault="00000000" w:rsidRPr="00000000" w14:paraId="000000B2">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Афілійованими є громадські об’єднання, що мають спільних засновників або серед засновників яких є близькі особи.</w:t>
            </w:r>
          </w:p>
        </w:tc>
      </w:tr>
      <w:tr>
        <w:trPr>
          <w:cantSplit w:val="0"/>
          <w:trHeight w:val="529" w:hRule="atLeast"/>
          <w:tblHeader w:val="0"/>
        </w:trPr>
        <w:tc>
          <w:tcPr>
            <w:shd w:fill="auto" w:val="clear"/>
          </w:tcPr>
          <w:p w:rsidR="00000000" w:rsidDel="00000000" w:rsidP="00000000" w:rsidRDefault="00000000" w:rsidRPr="00000000" w14:paraId="000000B3">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31</w:t>
            </w:r>
          </w:p>
        </w:tc>
        <w:tc>
          <w:tcPr>
            <w:tcBorders>
              <w:top w:color="000000" w:space="0" w:sz="4" w:val="dotted"/>
              <w:bottom w:color="000000" w:space="0" w:sz="0" w:val="nil"/>
            </w:tcBorders>
            <w:shd w:fill="auto" w:val="clear"/>
          </w:tcPr>
          <w:p w:rsidR="00000000" w:rsidDel="00000000" w:rsidP="00000000" w:rsidRDefault="00000000" w:rsidRPr="00000000" w14:paraId="000000B4">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B5">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Кожні два роки проводиться зовнішня незалежна оцінка ефективності діяльності Національного агентства.</w:t>
            </w:r>
          </w:p>
        </w:tc>
      </w:tr>
      <w:tr>
        <w:trPr>
          <w:cantSplit w:val="0"/>
          <w:trHeight w:val="1575" w:hRule="atLeast"/>
          <w:tblHeader w:val="0"/>
        </w:trPr>
        <w:tc>
          <w:tcPr>
            <w:shd w:fill="auto" w:val="clear"/>
          </w:tcPr>
          <w:p w:rsidR="00000000" w:rsidDel="00000000" w:rsidP="00000000" w:rsidRDefault="00000000" w:rsidRPr="00000000" w14:paraId="000000B6">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32</w:t>
            </w:r>
          </w:p>
        </w:tc>
        <w:tc>
          <w:tcPr>
            <w:tcBorders>
              <w:top w:color="000000" w:space="0" w:sz="0" w:val="nil"/>
              <w:bottom w:color="000000" w:space="0" w:sz="0" w:val="nil"/>
            </w:tcBorders>
            <w:shd w:fill="auto" w:val="clear"/>
          </w:tcPr>
          <w:p w:rsidR="00000000" w:rsidDel="00000000" w:rsidP="00000000" w:rsidRDefault="00000000" w:rsidRPr="00000000" w14:paraId="000000B7">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B8">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Оцінку проводить Комісія з проведення незалежної оцінки ефективності діяльності Національного агентства (далі - Комісія) у складі трьох осіб, які призначаються Кабінетом Міністрів України на підставі пропозицій донорів, які протягом останніх двох років до проведення оцінки надавали Україні міжнародну технічну допомогу у сфері запобігання і протидії корупції.</w:t>
            </w:r>
          </w:p>
        </w:tc>
      </w:tr>
      <w:tr>
        <w:trPr>
          <w:cantSplit w:val="0"/>
          <w:trHeight w:val="630" w:hRule="atLeast"/>
          <w:tblHeader w:val="0"/>
        </w:trPr>
        <w:tc>
          <w:tcPr>
            <w:tcBorders>
              <w:bottom w:color="000000" w:space="0" w:sz="4" w:val="dotted"/>
            </w:tcBorders>
            <w:shd w:fill="auto" w:val="clear"/>
          </w:tcPr>
          <w:p w:rsidR="00000000" w:rsidDel="00000000" w:rsidP="00000000" w:rsidRDefault="00000000" w:rsidRPr="00000000" w14:paraId="000000B9">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33</w:t>
            </w:r>
          </w:p>
        </w:tc>
        <w:tc>
          <w:tcPr>
            <w:tcBorders>
              <w:top w:color="000000" w:space="0" w:sz="0" w:val="nil"/>
              <w:bottom w:color="000000" w:space="0" w:sz="4" w:val="dotted"/>
            </w:tcBorders>
            <w:shd w:fill="auto" w:val="clear"/>
          </w:tcPr>
          <w:p w:rsidR="00000000" w:rsidDel="00000000" w:rsidP="00000000" w:rsidRDefault="00000000" w:rsidRPr="00000000" w14:paraId="000000BA">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bottom w:color="000000" w:space="0" w:sz="4" w:val="dotted"/>
            </w:tcBorders>
            <w:shd w:fill="auto" w:val="clear"/>
          </w:tcPr>
          <w:p w:rsidR="00000000" w:rsidDel="00000000" w:rsidP="00000000" w:rsidRDefault="00000000" w:rsidRPr="00000000" w14:paraId="000000BB">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Визначення донорів та подання ними пропозицій щодо кандидатів до складу Комісії здійснюються відповідно до статті 6 цього Закону.</w:t>
            </w:r>
          </w:p>
        </w:tc>
      </w:tr>
      <w:tr>
        <w:trPr>
          <w:cantSplit w:val="0"/>
          <w:trHeight w:val="945" w:hRule="atLeast"/>
          <w:tblHeader w:val="0"/>
        </w:trPr>
        <w:tc>
          <w:tcPr>
            <w:tcBorders>
              <w:top w:color="000000" w:space="0" w:sz="4" w:val="dotted"/>
            </w:tcBorders>
            <w:shd w:fill="auto" w:val="clear"/>
          </w:tcPr>
          <w:p w:rsidR="00000000" w:rsidDel="00000000" w:rsidP="00000000" w:rsidRDefault="00000000" w:rsidRPr="00000000" w14:paraId="000000BC">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34</w:t>
            </w:r>
          </w:p>
        </w:tc>
        <w:tc>
          <w:tcPr>
            <w:tcBorders>
              <w:top w:color="000000" w:space="0" w:sz="4" w:val="dotted"/>
              <w:bottom w:color="000000" w:space="0" w:sz="0" w:val="nil"/>
            </w:tcBorders>
            <w:shd w:fill="auto" w:val="clear"/>
          </w:tcPr>
          <w:p w:rsidR="00000000" w:rsidDel="00000000" w:rsidP="00000000" w:rsidRDefault="00000000" w:rsidRPr="00000000" w14:paraId="000000BD">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tcBorders>
            <w:shd w:fill="auto" w:val="clear"/>
          </w:tcPr>
          <w:p w:rsidR="00000000" w:rsidDel="00000000" w:rsidP="00000000" w:rsidRDefault="00000000" w:rsidRPr="00000000" w14:paraId="000000BE">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До початку формування Комісії Кабінет Міністрів України затверджує та оприлюднює критерії та методику проведення оцінювання ефективності діяльності Національного агентства.</w:t>
            </w:r>
          </w:p>
        </w:tc>
      </w:tr>
      <w:tr>
        <w:trPr>
          <w:cantSplit w:val="0"/>
          <w:trHeight w:val="1260" w:hRule="atLeast"/>
          <w:tblHeader w:val="0"/>
        </w:trPr>
        <w:tc>
          <w:tcPr>
            <w:shd w:fill="auto" w:val="clear"/>
          </w:tcPr>
          <w:p w:rsidR="00000000" w:rsidDel="00000000" w:rsidP="00000000" w:rsidRDefault="00000000" w:rsidRPr="00000000" w14:paraId="000000BF">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35</w:t>
            </w:r>
          </w:p>
        </w:tc>
        <w:tc>
          <w:tcPr>
            <w:tcBorders>
              <w:top w:color="000000" w:space="0" w:sz="0" w:val="nil"/>
              <w:bottom w:color="000000" w:space="0" w:sz="0" w:val="nil"/>
            </w:tcBorders>
            <w:shd w:fill="auto" w:val="clear"/>
          </w:tcPr>
          <w:p w:rsidR="00000000" w:rsidDel="00000000" w:rsidP="00000000" w:rsidRDefault="00000000" w:rsidRPr="00000000" w14:paraId="000000C0">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C1">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Під час проведення оцінки ефективності діяльності Національного агентства Комісія також враховує інформацію Вищої ради правосуддя, Конституційного Суду України щодо дотримання Національним агентством при здійсненні його повноважень гарантій незалежності суддів, суддів Конституційного Суду України.</w:t>
            </w:r>
          </w:p>
        </w:tc>
      </w:tr>
      <w:tr>
        <w:trPr>
          <w:cantSplit w:val="0"/>
          <w:trHeight w:val="315" w:hRule="atLeast"/>
          <w:tblHeader w:val="0"/>
        </w:trPr>
        <w:tc>
          <w:tcPr>
            <w:shd w:fill="auto" w:val="clear"/>
          </w:tcPr>
          <w:p w:rsidR="00000000" w:rsidDel="00000000" w:rsidP="00000000" w:rsidRDefault="00000000" w:rsidRPr="00000000" w14:paraId="000000C2">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36</w:t>
            </w:r>
          </w:p>
        </w:tc>
        <w:tc>
          <w:tcPr>
            <w:tcBorders>
              <w:top w:color="000000" w:space="0" w:sz="0" w:val="nil"/>
              <w:bottom w:color="000000" w:space="0" w:sz="0" w:val="nil"/>
            </w:tcBorders>
            <w:shd w:fill="auto" w:val="clear"/>
          </w:tcPr>
          <w:p w:rsidR="00000000" w:rsidDel="00000000" w:rsidP="00000000" w:rsidRDefault="00000000" w:rsidRPr="00000000" w14:paraId="000000C3">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C4">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Члени Комісії діють незалежно та не повинні виконувати будь-яких доручень і вказівок.</w:t>
            </w:r>
          </w:p>
        </w:tc>
      </w:tr>
      <w:tr>
        <w:trPr>
          <w:cantSplit w:val="0"/>
          <w:trHeight w:val="630" w:hRule="atLeast"/>
          <w:tblHeader w:val="0"/>
        </w:trPr>
        <w:tc>
          <w:tcPr>
            <w:shd w:fill="auto" w:val="clear"/>
          </w:tcPr>
          <w:p w:rsidR="00000000" w:rsidDel="00000000" w:rsidP="00000000" w:rsidRDefault="00000000" w:rsidRPr="00000000" w14:paraId="000000C5">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37</w:t>
            </w:r>
          </w:p>
        </w:tc>
        <w:tc>
          <w:tcPr>
            <w:tcBorders>
              <w:top w:color="000000" w:space="0" w:sz="0" w:val="nil"/>
              <w:bottom w:color="000000" w:space="0" w:sz="0" w:val="nil"/>
            </w:tcBorders>
            <w:shd w:fill="auto" w:val="clear"/>
          </w:tcPr>
          <w:p w:rsidR="00000000" w:rsidDel="00000000" w:rsidP="00000000" w:rsidRDefault="00000000" w:rsidRPr="00000000" w14:paraId="000000C6">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C7">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Рішення Комісії про затвердження звіту оцінки ефективності діяльності Національного агентства вважається ухваленим, якщо за нього проголосували всі члени Комісії.</w:t>
            </w:r>
          </w:p>
        </w:tc>
      </w:tr>
      <w:tr>
        <w:trPr>
          <w:cantSplit w:val="0"/>
          <w:trHeight w:val="945" w:hRule="atLeast"/>
          <w:tblHeader w:val="0"/>
        </w:trPr>
        <w:tc>
          <w:tcPr>
            <w:shd w:fill="auto" w:val="clear"/>
          </w:tcPr>
          <w:p w:rsidR="00000000" w:rsidDel="00000000" w:rsidP="00000000" w:rsidRDefault="00000000" w:rsidRPr="00000000" w14:paraId="000000C8">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38</w:t>
            </w:r>
          </w:p>
        </w:tc>
        <w:tc>
          <w:tcPr>
            <w:tcBorders>
              <w:top w:color="000000" w:space="0" w:sz="0" w:val="nil"/>
              <w:bottom w:color="000000" w:space="0" w:sz="0" w:val="nil"/>
            </w:tcBorders>
            <w:shd w:fill="auto" w:val="clear"/>
          </w:tcPr>
          <w:p w:rsidR="00000000" w:rsidDel="00000000" w:rsidP="00000000" w:rsidRDefault="00000000" w:rsidRPr="00000000" w14:paraId="000000C9">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CA">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Звіт оцінки ефективності діяльності Національного агентства оприлюднюється на офіційному веб-сайті Кабінету Міністрів України протягом п’яти днів з дня його затвердження.</w:t>
            </w:r>
          </w:p>
        </w:tc>
      </w:tr>
      <w:tr>
        <w:trPr>
          <w:cantSplit w:val="0"/>
          <w:trHeight w:val="315" w:hRule="atLeast"/>
          <w:tblHeader w:val="0"/>
        </w:trPr>
        <w:tc>
          <w:tcPr>
            <w:shd w:fill="auto" w:val="clear"/>
          </w:tcPr>
          <w:p w:rsidR="00000000" w:rsidDel="00000000" w:rsidP="00000000" w:rsidRDefault="00000000" w:rsidRPr="00000000" w14:paraId="000000CB">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39</w:t>
            </w:r>
          </w:p>
        </w:tc>
        <w:tc>
          <w:tcPr>
            <w:tcBorders>
              <w:top w:color="000000" w:space="0" w:sz="0" w:val="nil"/>
              <w:bottom w:color="000000" w:space="0" w:sz="0" w:val="nil"/>
            </w:tcBorders>
            <w:shd w:fill="auto" w:val="clear"/>
          </w:tcPr>
          <w:p w:rsidR="00000000" w:rsidDel="00000000" w:rsidP="00000000" w:rsidRDefault="00000000" w:rsidRPr="00000000" w14:paraId="000000CC">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bottom w:color="000000" w:space="0" w:sz="4" w:val="dotted"/>
            </w:tcBorders>
            <w:shd w:fill="auto" w:val="clear"/>
          </w:tcPr>
          <w:p w:rsidR="00000000" w:rsidDel="00000000" w:rsidP="00000000" w:rsidRDefault="00000000" w:rsidRPr="00000000" w14:paraId="000000CD">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Для проведення оцінки члени Комісії мають право:</w:t>
            </w:r>
          </w:p>
        </w:tc>
      </w:tr>
      <w:tr>
        <w:trPr>
          <w:cantSplit w:val="0"/>
          <w:trHeight w:val="630" w:hRule="atLeast"/>
          <w:tblHeader w:val="0"/>
        </w:trPr>
        <w:tc>
          <w:tcPr>
            <w:tcBorders>
              <w:bottom w:color="000000" w:space="0" w:sz="4" w:val="single"/>
            </w:tcBorders>
            <w:shd w:fill="auto" w:val="clear"/>
          </w:tcPr>
          <w:p w:rsidR="00000000" w:rsidDel="00000000" w:rsidP="00000000" w:rsidRDefault="00000000" w:rsidRPr="00000000" w14:paraId="000000CE">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40</w:t>
            </w:r>
          </w:p>
        </w:tc>
        <w:tc>
          <w:tcPr>
            <w:tcBorders>
              <w:top w:color="000000" w:space="0" w:sz="0" w:val="nil"/>
              <w:bottom w:color="000000" w:space="0" w:sz="0" w:val="nil"/>
            </w:tcBorders>
            <w:shd w:fill="auto" w:val="clear"/>
          </w:tcPr>
          <w:p w:rsidR="00000000" w:rsidDel="00000000" w:rsidP="00000000" w:rsidRDefault="00000000" w:rsidRPr="00000000" w14:paraId="000000CF">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bottom w:color="000000" w:space="0" w:sz="4" w:val="dotted"/>
            </w:tcBorders>
            <w:shd w:fill="auto" w:val="clear"/>
          </w:tcPr>
          <w:p w:rsidR="00000000" w:rsidDel="00000000" w:rsidP="00000000" w:rsidRDefault="00000000" w:rsidRPr="00000000" w14:paraId="000000D0">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доступу до інформації та документів, що є у володінні Національного агентства (у тому числі до інформації з обмеженим доступом);</w:t>
            </w:r>
          </w:p>
        </w:tc>
      </w:tr>
      <w:tr>
        <w:trPr>
          <w:cantSplit w:val="0"/>
          <w:trHeight w:val="945" w:hRule="atLeast"/>
          <w:tblHeader w:val="0"/>
        </w:trPr>
        <w:tc>
          <w:tcPr>
            <w:tcBorders>
              <w:top w:color="000000" w:space="0" w:sz="4" w:val="single"/>
            </w:tcBorders>
            <w:shd w:fill="auto" w:val="clear"/>
          </w:tcPr>
          <w:p w:rsidR="00000000" w:rsidDel="00000000" w:rsidP="00000000" w:rsidRDefault="00000000" w:rsidRPr="00000000" w14:paraId="000000D1">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41</w:t>
            </w:r>
          </w:p>
        </w:tc>
        <w:tc>
          <w:tcPr>
            <w:tcBorders>
              <w:top w:color="000000" w:space="0" w:sz="0" w:val="nil"/>
              <w:bottom w:color="000000" w:space="0" w:sz="0" w:val="nil"/>
            </w:tcBorders>
            <w:shd w:fill="auto" w:val="clear"/>
          </w:tcPr>
          <w:p w:rsidR="00000000" w:rsidDel="00000000" w:rsidP="00000000" w:rsidRDefault="00000000" w:rsidRPr="00000000" w14:paraId="000000D2">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bottom w:color="000000" w:space="0" w:sz="4" w:val="dotted"/>
            </w:tcBorders>
            <w:shd w:fill="auto" w:val="clear"/>
          </w:tcPr>
          <w:p w:rsidR="00000000" w:rsidDel="00000000" w:rsidP="00000000" w:rsidRDefault="00000000" w:rsidRPr="00000000" w14:paraId="000000D3">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проводити конфіденційні інтерв’ю з працівниками Національного агентства, працівниками інших державних органів, а також іншими особами, які володіють інформацією (документами), необхідною (необхідними) для проведення оцінки;</w:t>
            </w:r>
          </w:p>
        </w:tc>
      </w:tr>
      <w:tr>
        <w:trPr>
          <w:cantSplit w:val="0"/>
          <w:trHeight w:val="630" w:hRule="atLeast"/>
          <w:tblHeader w:val="0"/>
        </w:trPr>
        <w:tc>
          <w:tcPr>
            <w:shd w:fill="auto" w:val="clear"/>
          </w:tcPr>
          <w:p w:rsidR="00000000" w:rsidDel="00000000" w:rsidP="00000000" w:rsidRDefault="00000000" w:rsidRPr="00000000" w14:paraId="000000D4">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42</w:t>
            </w:r>
          </w:p>
        </w:tc>
        <w:tc>
          <w:tcPr>
            <w:tcBorders>
              <w:top w:color="000000" w:space="0" w:sz="0" w:val="nil"/>
              <w:bottom w:color="000000" w:space="0" w:sz="0" w:val="nil"/>
            </w:tcBorders>
            <w:shd w:fill="auto" w:val="clear"/>
          </w:tcPr>
          <w:p w:rsidR="00000000" w:rsidDel="00000000" w:rsidP="00000000" w:rsidRDefault="00000000" w:rsidRPr="00000000" w14:paraId="000000D5">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tcBorders>
            <w:shd w:fill="auto" w:val="clear"/>
          </w:tcPr>
          <w:p w:rsidR="00000000" w:rsidDel="00000000" w:rsidP="00000000" w:rsidRDefault="00000000" w:rsidRPr="00000000" w14:paraId="000000D6">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звертатися до державних органів, будь-яких фізичних чи юридичних осіб із запитом про надання пояснень, документів чи інформації, необхідних для проведення оцінки;</w:t>
            </w:r>
          </w:p>
        </w:tc>
      </w:tr>
      <w:tr>
        <w:trPr>
          <w:cantSplit w:val="0"/>
          <w:trHeight w:val="945" w:hRule="atLeast"/>
          <w:tblHeader w:val="0"/>
        </w:trPr>
        <w:tc>
          <w:tcPr>
            <w:shd w:fill="auto" w:val="clear"/>
          </w:tcPr>
          <w:p w:rsidR="00000000" w:rsidDel="00000000" w:rsidP="00000000" w:rsidRDefault="00000000" w:rsidRPr="00000000" w14:paraId="000000D7">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43</w:t>
            </w:r>
          </w:p>
        </w:tc>
        <w:tc>
          <w:tcPr>
            <w:tcBorders>
              <w:top w:color="000000" w:space="0" w:sz="0" w:val="nil"/>
              <w:bottom w:color="000000" w:space="0" w:sz="0" w:val="nil"/>
            </w:tcBorders>
            <w:shd w:fill="auto" w:val="clear"/>
          </w:tcPr>
          <w:p w:rsidR="00000000" w:rsidDel="00000000" w:rsidP="00000000" w:rsidRDefault="00000000" w:rsidRPr="00000000" w14:paraId="000000D8">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D9">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користуватися допомогою помічників. Помічники зобов’язані забезпечувати захист і нерозголошення персональних даних, інформації з обмеженим доступом, що стали їм відомі у зв’язку з виконанням відповідних обов’язків.</w:t>
            </w:r>
          </w:p>
        </w:tc>
      </w:tr>
      <w:tr>
        <w:trPr>
          <w:cantSplit w:val="0"/>
          <w:trHeight w:val="630" w:hRule="atLeast"/>
          <w:tblHeader w:val="0"/>
        </w:trPr>
        <w:tc>
          <w:tcPr>
            <w:shd w:fill="auto" w:val="clear"/>
          </w:tcPr>
          <w:p w:rsidR="00000000" w:rsidDel="00000000" w:rsidP="00000000" w:rsidRDefault="00000000" w:rsidRPr="00000000" w14:paraId="000000DA">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44</w:t>
            </w:r>
          </w:p>
        </w:tc>
        <w:tc>
          <w:tcPr>
            <w:tcBorders>
              <w:top w:color="000000" w:space="0" w:sz="0" w:val="nil"/>
              <w:bottom w:color="000000" w:space="0" w:sz="0" w:val="nil"/>
            </w:tcBorders>
            <w:shd w:fill="auto" w:val="clear"/>
          </w:tcPr>
          <w:p w:rsidR="00000000" w:rsidDel="00000000" w:rsidP="00000000" w:rsidRDefault="00000000" w:rsidRPr="00000000" w14:paraId="000000DB">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DC">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Члени Комісії забезпечують захист та нерозголошення персональних даних, інформації з обмеженим доступом, що стали їм відомі у зв’язку із здійсненням своїх повноважень.</w:t>
            </w:r>
          </w:p>
        </w:tc>
      </w:tr>
      <w:tr>
        <w:trPr>
          <w:cantSplit w:val="0"/>
          <w:trHeight w:val="1260" w:hRule="atLeast"/>
          <w:tblHeader w:val="0"/>
        </w:trPr>
        <w:tc>
          <w:tcPr>
            <w:shd w:fill="auto" w:val="clear"/>
          </w:tcPr>
          <w:p w:rsidR="00000000" w:rsidDel="00000000" w:rsidP="00000000" w:rsidRDefault="00000000" w:rsidRPr="00000000" w14:paraId="000000DD">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45</w:t>
            </w:r>
          </w:p>
        </w:tc>
        <w:tc>
          <w:tcPr>
            <w:tcBorders>
              <w:top w:color="000000" w:space="0" w:sz="0" w:val="nil"/>
              <w:bottom w:color="000000" w:space="0" w:sz="0" w:val="nil"/>
            </w:tcBorders>
            <w:shd w:fill="auto" w:val="clear"/>
          </w:tcPr>
          <w:p w:rsidR="00000000" w:rsidDel="00000000" w:rsidP="00000000" w:rsidRDefault="00000000" w:rsidRPr="00000000" w14:paraId="000000DE">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DF">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Організаційно-технічне забезпечення діяльності Комісії здійснює Секретаріат Кабінету Міністрів України. Фінансування діяльності Комісії та її членів, у тому числі секретаріату, що утворюється для допомоги в їхній діяльності, може здійснюватися за рахунок залучення міжнародної технічної допомоги.</w:t>
            </w:r>
          </w:p>
        </w:tc>
      </w:tr>
      <w:tr>
        <w:trPr>
          <w:cantSplit w:val="0"/>
          <w:trHeight w:val="700" w:hRule="atLeast"/>
          <w:tblHeader w:val="0"/>
        </w:trPr>
        <w:tc>
          <w:tcPr>
            <w:shd w:fill="auto" w:val="clear"/>
          </w:tcPr>
          <w:p w:rsidR="00000000" w:rsidDel="00000000" w:rsidP="00000000" w:rsidRDefault="00000000" w:rsidRPr="00000000" w14:paraId="000000E0">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46</w:t>
            </w:r>
          </w:p>
        </w:tc>
        <w:tc>
          <w:tcPr>
            <w:tcBorders>
              <w:top w:color="000000" w:space="0" w:sz="0" w:val="nil"/>
              <w:bottom w:color="000000" w:space="0" w:sz="0" w:val="nil"/>
            </w:tcBorders>
            <w:shd w:fill="auto" w:val="clear"/>
          </w:tcPr>
          <w:p w:rsidR="00000000" w:rsidDel="00000000" w:rsidP="00000000" w:rsidRDefault="00000000" w:rsidRPr="00000000" w14:paraId="000000E1">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E2">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5. Національне агентство готує щорічні звіти про свою діяльність. Звіт Національного агентства надається для висновку Громадській раді при Національному агентстві, яка розглядає звіт протягом двох тижнів з дня надання.</w:t>
            </w:r>
          </w:p>
        </w:tc>
      </w:tr>
      <w:tr>
        <w:trPr>
          <w:cantSplit w:val="0"/>
          <w:trHeight w:val="728" w:hRule="atLeast"/>
          <w:tblHeader w:val="0"/>
        </w:trPr>
        <w:tc>
          <w:tcPr>
            <w:shd w:fill="auto" w:val="clear"/>
          </w:tcPr>
          <w:p w:rsidR="00000000" w:rsidDel="00000000" w:rsidP="00000000" w:rsidRDefault="00000000" w:rsidRPr="00000000" w14:paraId="000000E3">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47</w:t>
            </w:r>
          </w:p>
        </w:tc>
        <w:tc>
          <w:tcPr>
            <w:tcBorders>
              <w:top w:color="000000" w:space="0" w:sz="0" w:val="nil"/>
              <w:bottom w:color="000000" w:space="0" w:sz="0" w:val="nil"/>
            </w:tcBorders>
            <w:shd w:fill="auto" w:val="clear"/>
          </w:tcPr>
          <w:p w:rsidR="00000000" w:rsidDel="00000000" w:rsidP="00000000" w:rsidRDefault="00000000" w:rsidRPr="00000000" w14:paraId="000000E4">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E5">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Національне агентство оприлюднює щорічний звіт не пізніше 15 квітня на своєму офіційному веб-сайті разом із висновком Громадської ради (у разі затвердження висновку у встановлений строк).</w:t>
            </w:r>
          </w:p>
        </w:tc>
      </w:tr>
      <w:tr>
        <w:trPr>
          <w:cantSplit w:val="0"/>
          <w:trHeight w:val="315" w:hRule="atLeast"/>
          <w:tblHeader w:val="0"/>
        </w:trPr>
        <w:tc>
          <w:tcPr>
            <w:shd w:fill="auto" w:val="clear"/>
          </w:tcPr>
          <w:p w:rsidR="00000000" w:rsidDel="00000000" w:rsidP="00000000" w:rsidRDefault="00000000" w:rsidRPr="00000000" w14:paraId="000000E6">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48</w:t>
            </w:r>
          </w:p>
        </w:tc>
        <w:tc>
          <w:tcPr>
            <w:tcBorders>
              <w:top w:color="000000" w:space="0" w:sz="0" w:val="nil"/>
              <w:bottom w:color="000000" w:space="0" w:sz="0" w:val="nil"/>
            </w:tcBorders>
            <w:shd w:fill="auto" w:val="clear"/>
          </w:tcPr>
          <w:p w:rsidR="00000000" w:rsidDel="00000000" w:rsidP="00000000" w:rsidRDefault="00000000" w:rsidRPr="00000000" w14:paraId="000000E7">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E8">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Щорічний звіт Національного агентства повинен містити, зокрема, такі відомості:</w:t>
            </w:r>
          </w:p>
        </w:tc>
      </w:tr>
      <w:tr>
        <w:trPr>
          <w:cantSplit w:val="0"/>
          <w:trHeight w:val="447" w:hRule="atLeast"/>
          <w:tblHeader w:val="0"/>
        </w:trPr>
        <w:tc>
          <w:tcPr>
            <w:tcBorders>
              <w:bottom w:color="000000" w:space="0" w:sz="4" w:val="dotted"/>
            </w:tcBorders>
            <w:shd w:fill="auto" w:val="clear"/>
          </w:tcPr>
          <w:p w:rsidR="00000000" w:rsidDel="00000000" w:rsidP="00000000" w:rsidRDefault="00000000" w:rsidRPr="00000000" w14:paraId="000000E9">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49</w:t>
            </w:r>
          </w:p>
        </w:tc>
        <w:tc>
          <w:tcPr>
            <w:tcBorders>
              <w:top w:color="000000" w:space="0" w:sz="0" w:val="nil"/>
              <w:bottom w:color="000000" w:space="0" w:sz="0" w:val="nil"/>
            </w:tcBorders>
            <w:shd w:fill="auto" w:val="clear"/>
          </w:tcPr>
          <w:p w:rsidR="00000000" w:rsidDel="00000000" w:rsidP="00000000" w:rsidRDefault="00000000" w:rsidRPr="00000000" w14:paraId="000000EA">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bottom w:color="000000" w:space="0" w:sz="4" w:val="dotted"/>
            </w:tcBorders>
            <w:shd w:fill="auto" w:val="clear"/>
          </w:tcPr>
          <w:p w:rsidR="00000000" w:rsidDel="00000000" w:rsidP="00000000" w:rsidRDefault="00000000" w:rsidRPr="00000000" w14:paraId="000000EB">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визначені Національним агентством показники ефективності його діяльності та результати їх досягнення;</w:t>
            </w:r>
          </w:p>
        </w:tc>
      </w:tr>
      <w:tr>
        <w:trPr>
          <w:cantSplit w:val="0"/>
          <w:trHeight w:val="630" w:hRule="atLeast"/>
          <w:tblHeader w:val="0"/>
        </w:trPr>
        <w:tc>
          <w:tcPr>
            <w:tcBorders>
              <w:top w:color="000000" w:space="0" w:sz="4" w:val="dotted"/>
              <w:bottom w:color="000000" w:space="0" w:sz="4" w:val="dotted"/>
            </w:tcBorders>
            <w:shd w:fill="auto" w:val="clear"/>
          </w:tcPr>
          <w:p w:rsidR="00000000" w:rsidDel="00000000" w:rsidP="00000000" w:rsidRDefault="00000000" w:rsidRPr="00000000" w14:paraId="000000EC">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50</w:t>
            </w:r>
          </w:p>
        </w:tc>
        <w:tc>
          <w:tcPr>
            <w:tcBorders>
              <w:top w:color="000000" w:space="0" w:sz="0" w:val="nil"/>
              <w:bottom w:color="000000" w:space="0" w:sz="0" w:val="nil"/>
            </w:tcBorders>
            <w:shd w:fill="auto" w:val="clear"/>
          </w:tcPr>
          <w:p w:rsidR="00000000" w:rsidDel="00000000" w:rsidP="00000000" w:rsidRDefault="00000000" w:rsidRPr="00000000" w14:paraId="000000ED">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bottom w:color="000000" w:space="0" w:sz="4" w:val="dotted"/>
            </w:tcBorders>
            <w:shd w:fill="auto" w:val="clear"/>
          </w:tcPr>
          <w:p w:rsidR="00000000" w:rsidDel="00000000" w:rsidP="00000000" w:rsidRDefault="00000000" w:rsidRPr="00000000" w14:paraId="000000EE">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статистичні дані про результати діяльності Національного агентства, у тому числі дані про:</w:t>
            </w:r>
          </w:p>
        </w:tc>
      </w:tr>
      <w:tr>
        <w:trPr>
          <w:cantSplit w:val="0"/>
          <w:trHeight w:val="388" w:hRule="atLeast"/>
          <w:tblHeader w:val="0"/>
        </w:trPr>
        <w:tc>
          <w:tcPr>
            <w:tcBorders>
              <w:top w:color="000000" w:space="0" w:sz="4" w:val="dotted"/>
              <w:bottom w:color="000000" w:space="0" w:sz="4" w:val="dotted"/>
            </w:tcBorders>
            <w:shd w:fill="auto" w:val="clear"/>
          </w:tcPr>
          <w:p w:rsidR="00000000" w:rsidDel="00000000" w:rsidP="00000000" w:rsidRDefault="00000000" w:rsidRPr="00000000" w14:paraId="000000EF">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51</w:t>
            </w:r>
          </w:p>
        </w:tc>
        <w:tc>
          <w:tcPr>
            <w:tcBorders>
              <w:top w:color="000000" w:space="0" w:sz="0" w:val="nil"/>
              <w:bottom w:color="000000" w:space="0" w:sz="4" w:val="dotted"/>
            </w:tcBorders>
            <w:shd w:fill="auto" w:val="clear"/>
          </w:tcPr>
          <w:p w:rsidR="00000000" w:rsidDel="00000000" w:rsidP="00000000" w:rsidRDefault="00000000" w:rsidRPr="00000000" w14:paraId="000000F0">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bottom w:color="000000" w:space="0" w:sz="4" w:val="dotted"/>
            </w:tcBorders>
            <w:shd w:fill="auto" w:val="clear"/>
          </w:tcPr>
          <w:p w:rsidR="00000000" w:rsidDel="00000000" w:rsidP="00000000" w:rsidRDefault="00000000" w:rsidRPr="00000000" w14:paraId="000000F1">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кількість виявлених порушень цього Закону, Закону України "Про політичні партії в Україні";</w:t>
            </w:r>
          </w:p>
        </w:tc>
      </w:tr>
      <w:tr>
        <w:trPr>
          <w:cantSplit w:val="0"/>
          <w:trHeight w:val="630" w:hRule="atLeast"/>
          <w:tblHeader w:val="0"/>
        </w:trPr>
        <w:tc>
          <w:tcPr>
            <w:tcBorders>
              <w:top w:color="000000" w:space="0" w:sz="4" w:val="dotted"/>
            </w:tcBorders>
            <w:shd w:fill="auto" w:val="clear"/>
          </w:tcPr>
          <w:p w:rsidR="00000000" w:rsidDel="00000000" w:rsidP="00000000" w:rsidRDefault="00000000" w:rsidRPr="00000000" w14:paraId="000000F2">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52</w:t>
            </w:r>
          </w:p>
        </w:tc>
        <w:tc>
          <w:tcPr>
            <w:tcBorders>
              <w:top w:color="000000" w:space="0" w:sz="4" w:val="dotted"/>
              <w:bottom w:color="000000" w:space="0" w:sz="0" w:val="nil"/>
            </w:tcBorders>
            <w:shd w:fill="auto" w:val="clear"/>
          </w:tcPr>
          <w:p w:rsidR="00000000" w:rsidDel="00000000" w:rsidP="00000000" w:rsidRDefault="00000000" w:rsidRPr="00000000" w14:paraId="000000F3">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tcBorders>
              <w:top w:color="000000" w:space="0" w:sz="4" w:val="dotted"/>
            </w:tcBorders>
            <w:shd w:fill="auto" w:val="clear"/>
          </w:tcPr>
          <w:p w:rsidR="00000000" w:rsidDel="00000000" w:rsidP="00000000" w:rsidRDefault="00000000" w:rsidRPr="00000000" w14:paraId="000000F4">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кількість складених уповноваженими особами Національного агентства протоколів про адміністративні правопорушення та результати їх розгляду;</w:t>
            </w:r>
          </w:p>
        </w:tc>
      </w:tr>
      <w:tr>
        <w:trPr>
          <w:cantSplit w:val="0"/>
          <w:trHeight w:val="630" w:hRule="atLeast"/>
          <w:tblHeader w:val="0"/>
        </w:trPr>
        <w:tc>
          <w:tcPr>
            <w:shd w:fill="auto" w:val="clear"/>
          </w:tcPr>
          <w:p w:rsidR="00000000" w:rsidDel="00000000" w:rsidP="00000000" w:rsidRDefault="00000000" w:rsidRPr="00000000" w14:paraId="000000F5">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53</w:t>
            </w:r>
          </w:p>
        </w:tc>
        <w:tc>
          <w:tcPr>
            <w:tcBorders>
              <w:top w:color="000000" w:space="0" w:sz="0" w:val="nil"/>
              <w:bottom w:color="000000" w:space="0" w:sz="0" w:val="nil"/>
            </w:tcBorders>
            <w:shd w:fill="auto" w:val="clear"/>
          </w:tcPr>
          <w:p w:rsidR="00000000" w:rsidDel="00000000" w:rsidP="00000000" w:rsidRDefault="00000000" w:rsidRPr="00000000" w14:paraId="000000F6">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F7">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кількість винесених приписів Національного агентства, надісланих матеріалів про порушення законодавства до правоохоронних та інших органів, результати їх розгляду;</w:t>
            </w:r>
          </w:p>
        </w:tc>
      </w:tr>
      <w:tr>
        <w:trPr>
          <w:cantSplit w:val="0"/>
          <w:trHeight w:val="249" w:hRule="atLeast"/>
          <w:tblHeader w:val="0"/>
        </w:trPr>
        <w:tc>
          <w:tcPr>
            <w:shd w:fill="auto" w:val="clear"/>
          </w:tcPr>
          <w:p w:rsidR="00000000" w:rsidDel="00000000" w:rsidP="00000000" w:rsidRDefault="00000000" w:rsidRPr="00000000" w14:paraId="000000F8">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54</w:t>
            </w:r>
          </w:p>
        </w:tc>
        <w:tc>
          <w:tcPr>
            <w:tcBorders>
              <w:top w:color="000000" w:space="0" w:sz="0" w:val="nil"/>
              <w:bottom w:color="000000" w:space="0" w:sz="0" w:val="nil"/>
            </w:tcBorders>
            <w:shd w:fill="auto" w:val="clear"/>
          </w:tcPr>
          <w:p w:rsidR="00000000" w:rsidDel="00000000" w:rsidP="00000000" w:rsidRDefault="00000000" w:rsidRPr="00000000" w14:paraId="000000F9">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FA">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результати звернень Національного агентства до суду з позовами (заявами) відповідно до закону;</w:t>
            </w:r>
          </w:p>
        </w:tc>
      </w:tr>
      <w:tr>
        <w:trPr>
          <w:cantSplit w:val="0"/>
          <w:trHeight w:val="315" w:hRule="atLeast"/>
          <w:tblHeader w:val="0"/>
        </w:trPr>
        <w:tc>
          <w:tcPr>
            <w:shd w:fill="auto" w:val="clear"/>
          </w:tcPr>
          <w:p w:rsidR="00000000" w:rsidDel="00000000" w:rsidP="00000000" w:rsidRDefault="00000000" w:rsidRPr="00000000" w14:paraId="000000FB">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55</w:t>
            </w:r>
          </w:p>
        </w:tc>
        <w:tc>
          <w:tcPr>
            <w:tcBorders>
              <w:top w:color="000000" w:space="0" w:sz="0" w:val="nil"/>
              <w:bottom w:color="000000" w:space="0" w:sz="0" w:val="nil"/>
            </w:tcBorders>
            <w:shd w:fill="auto" w:val="clear"/>
          </w:tcPr>
          <w:p w:rsidR="00000000" w:rsidDel="00000000" w:rsidP="00000000" w:rsidRDefault="00000000" w:rsidRPr="00000000" w14:paraId="000000FC">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0FD">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дисциплінарні стягнення, застосовані до працівників Національного агентства;</w:t>
            </w:r>
          </w:p>
        </w:tc>
      </w:tr>
      <w:tr>
        <w:trPr>
          <w:cantSplit w:val="0"/>
          <w:trHeight w:val="630" w:hRule="atLeast"/>
          <w:tblHeader w:val="0"/>
        </w:trPr>
        <w:tc>
          <w:tcPr>
            <w:shd w:fill="auto" w:val="clear"/>
          </w:tcPr>
          <w:p w:rsidR="00000000" w:rsidDel="00000000" w:rsidP="00000000" w:rsidRDefault="00000000" w:rsidRPr="00000000" w14:paraId="000000FE">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56</w:t>
            </w:r>
          </w:p>
        </w:tc>
        <w:tc>
          <w:tcPr>
            <w:tcBorders>
              <w:top w:color="000000" w:space="0" w:sz="0" w:val="nil"/>
              <w:bottom w:color="000000" w:space="0" w:sz="0" w:val="nil"/>
            </w:tcBorders>
            <w:shd w:fill="auto" w:val="clear"/>
          </w:tcPr>
          <w:p w:rsidR="00000000" w:rsidDel="00000000" w:rsidP="00000000" w:rsidRDefault="00000000" w:rsidRPr="00000000" w14:paraId="000000FF">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0">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результати діяльності підрозділу внутрішнього контролю та підрозділу з питань запобігання корупції Національного агентства;</w:t>
            </w:r>
          </w:p>
        </w:tc>
      </w:tr>
      <w:tr>
        <w:trPr>
          <w:cantSplit w:val="0"/>
          <w:trHeight w:val="630" w:hRule="atLeast"/>
          <w:tblHeader w:val="0"/>
        </w:trPr>
        <w:tc>
          <w:tcPr>
            <w:shd w:fill="auto" w:val="clear"/>
          </w:tcPr>
          <w:p w:rsidR="00000000" w:rsidDel="00000000" w:rsidP="00000000" w:rsidRDefault="00000000" w:rsidRPr="00000000" w14:paraId="00000101">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57</w:t>
            </w:r>
          </w:p>
        </w:tc>
        <w:tc>
          <w:tcPr>
            <w:tcBorders>
              <w:top w:color="000000" w:space="0" w:sz="0" w:val="nil"/>
              <w:bottom w:color="000000" w:space="0" w:sz="0" w:val="nil"/>
            </w:tcBorders>
            <w:shd w:fill="auto" w:val="clear"/>
          </w:tcPr>
          <w:p w:rsidR="00000000" w:rsidDel="00000000" w:rsidP="00000000" w:rsidRDefault="00000000" w:rsidRPr="00000000" w14:paraId="00000102">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3">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відомості про взаємодію з іншими державними органами, органами місцевого самоврядування, підприємствами, установами та організаціями;</w:t>
            </w:r>
          </w:p>
        </w:tc>
      </w:tr>
      <w:tr>
        <w:trPr>
          <w:cantSplit w:val="0"/>
          <w:trHeight w:val="630" w:hRule="atLeast"/>
          <w:tblHeader w:val="0"/>
        </w:trPr>
        <w:tc>
          <w:tcPr>
            <w:shd w:fill="auto" w:val="clear"/>
          </w:tcPr>
          <w:p w:rsidR="00000000" w:rsidDel="00000000" w:rsidP="00000000" w:rsidRDefault="00000000" w:rsidRPr="00000000" w14:paraId="00000104">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58</w:t>
            </w:r>
          </w:p>
        </w:tc>
        <w:tc>
          <w:tcPr>
            <w:tcBorders>
              <w:top w:color="000000" w:space="0" w:sz="0" w:val="nil"/>
              <w:bottom w:color="000000" w:space="0" w:sz="0" w:val="nil"/>
            </w:tcBorders>
            <w:shd w:fill="auto" w:val="clear"/>
          </w:tcPr>
          <w:p w:rsidR="00000000" w:rsidDel="00000000" w:rsidP="00000000" w:rsidRDefault="00000000" w:rsidRPr="00000000" w14:paraId="00000105">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6">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5) відомості про співпрацю з компетентними органами іноземних держав, міжнародними та іноземними організаціями;</w:t>
            </w:r>
          </w:p>
        </w:tc>
      </w:tr>
      <w:tr>
        <w:trPr>
          <w:cantSplit w:val="0"/>
          <w:trHeight w:val="317" w:hRule="atLeast"/>
          <w:tblHeader w:val="0"/>
        </w:trPr>
        <w:tc>
          <w:tcPr>
            <w:shd w:fill="auto" w:val="clear"/>
          </w:tcPr>
          <w:p w:rsidR="00000000" w:rsidDel="00000000" w:rsidP="00000000" w:rsidRDefault="00000000" w:rsidRPr="00000000" w14:paraId="00000107">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59</w:t>
            </w:r>
          </w:p>
        </w:tc>
        <w:tc>
          <w:tcPr>
            <w:tcBorders>
              <w:top w:color="000000" w:space="0" w:sz="0" w:val="nil"/>
              <w:bottom w:color="000000" w:space="0" w:sz="0" w:val="nil"/>
            </w:tcBorders>
            <w:shd w:fill="auto" w:val="clear"/>
          </w:tcPr>
          <w:p w:rsidR="00000000" w:rsidDel="00000000" w:rsidP="00000000" w:rsidRDefault="00000000" w:rsidRPr="00000000" w14:paraId="00000108">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9">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6) чисельність працівників Національного агентства, їхню кваліфікацію та досвід, підвищення їхньої кваліфікації;</w:t>
            </w:r>
          </w:p>
        </w:tc>
      </w:tr>
      <w:tr>
        <w:trPr>
          <w:cantSplit w:val="0"/>
          <w:trHeight w:val="315" w:hRule="atLeast"/>
          <w:tblHeader w:val="0"/>
        </w:trPr>
        <w:tc>
          <w:tcPr>
            <w:shd w:fill="auto" w:val="clear"/>
          </w:tcPr>
          <w:p w:rsidR="00000000" w:rsidDel="00000000" w:rsidP="00000000" w:rsidRDefault="00000000" w:rsidRPr="00000000" w14:paraId="0000010A">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60</w:t>
            </w:r>
          </w:p>
        </w:tc>
        <w:tc>
          <w:tcPr>
            <w:tcBorders>
              <w:top w:color="000000" w:space="0" w:sz="0" w:val="nil"/>
              <w:bottom w:color="000000" w:space="0" w:sz="0" w:val="nil"/>
            </w:tcBorders>
            <w:shd w:fill="auto" w:val="clear"/>
          </w:tcPr>
          <w:p w:rsidR="00000000" w:rsidDel="00000000" w:rsidP="00000000" w:rsidRDefault="00000000" w:rsidRPr="00000000" w14:paraId="0000010B">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C">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7) штатний розпис та кошторис Національного агентства, його виконання;</w:t>
            </w:r>
          </w:p>
        </w:tc>
      </w:tr>
      <w:tr>
        <w:trPr>
          <w:cantSplit w:val="0"/>
          <w:trHeight w:val="315" w:hRule="atLeast"/>
          <w:tblHeader w:val="0"/>
        </w:trPr>
        <w:tc>
          <w:tcPr>
            <w:shd w:fill="auto" w:val="clear"/>
          </w:tcPr>
          <w:p w:rsidR="00000000" w:rsidDel="00000000" w:rsidP="00000000" w:rsidRDefault="00000000" w:rsidRPr="00000000" w14:paraId="0000010D">
            <w:pPr>
              <w:spacing w:after="0" w:line="240" w:lineRule="auto"/>
              <w:jc w:val="right"/>
              <w:rPr>
                <w:rFonts w:ascii="Times New Roman" w:cs="Times New Roman" w:eastAsia="Times New Roman" w:hAnsi="Times New Roman"/>
                <w:color w:val="000000"/>
                <w:sz w:val="18"/>
                <w:szCs w:val="18"/>
              </w:rPr>
            </w:pPr>
            <w:r w:rsidDel="00000000" w:rsidR="00000000" w:rsidRPr="00000000">
              <w:rPr>
                <w:rFonts w:ascii="Times New Roman" w:cs="Times New Roman" w:eastAsia="Times New Roman" w:hAnsi="Times New Roman"/>
                <w:color w:val="000000"/>
                <w:sz w:val="18"/>
                <w:szCs w:val="18"/>
                <w:rtl w:val="0"/>
              </w:rPr>
              <w:t xml:space="preserve">61</w:t>
            </w:r>
          </w:p>
        </w:tc>
        <w:tc>
          <w:tcPr>
            <w:tcBorders>
              <w:top w:color="000000" w:space="0" w:sz="0" w:val="nil"/>
              <w:bottom w:color="000000" w:space="0" w:sz="4" w:val="single"/>
            </w:tcBorders>
            <w:shd w:fill="auto" w:val="clear"/>
            <w:vAlign w:val="bottom"/>
          </w:tcPr>
          <w:p w:rsidR="00000000" w:rsidDel="00000000" w:rsidP="00000000" w:rsidRDefault="00000000" w:rsidRPr="00000000" w14:paraId="0000010E">
            <w:pPr>
              <w:spacing w:after="0" w:line="240" w:lineRule="auto"/>
              <w:jc w:val="right"/>
              <w:rPr>
                <w:rFonts w:ascii="Times New Roman" w:cs="Times New Roman" w:eastAsia="Times New Roman" w:hAnsi="Times New Roman"/>
                <w:color w:val="7030a0"/>
                <w:sz w:val="18"/>
                <w:szCs w:val="18"/>
              </w:rPr>
            </w:pPr>
            <w:r w:rsidDel="00000000" w:rsidR="00000000" w:rsidRPr="00000000">
              <w:rPr>
                <w:rtl w:val="0"/>
              </w:rPr>
            </w:r>
          </w:p>
        </w:tc>
        <w:tc>
          <w:tcPr>
            <w:shd w:fill="auto" w:val="clear"/>
          </w:tcPr>
          <w:p w:rsidR="00000000" w:rsidDel="00000000" w:rsidP="00000000" w:rsidRDefault="00000000" w:rsidRPr="00000000" w14:paraId="0000010F">
            <w:pPr>
              <w:spacing w:after="0" w:line="240" w:lineRule="auto"/>
              <w:jc w:val="both"/>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8) інші відомості, що стосуються результатів діяльності Національного агентства.</w:t>
            </w:r>
          </w:p>
        </w:tc>
      </w:tr>
    </w:tbl>
    <w:p w:rsidR="00000000" w:rsidDel="00000000" w:rsidP="00000000" w:rsidRDefault="00000000" w:rsidRPr="00000000" w14:paraId="00000110">
      <w:pPr>
        <w:spacing w:after="0" w:line="240" w:lineRule="auto"/>
        <w:rPr/>
        <w:sectPr>
          <w:type w:val="nextPage"/>
          <w:pgSz w:h="15840" w:w="12240" w:orient="portrait"/>
          <w:pgMar w:bottom="567" w:top="709" w:left="1276" w:right="760" w:header="708" w:footer="708"/>
        </w:sectPr>
      </w:pPr>
      <w:r w:rsidDel="00000000" w:rsidR="00000000" w:rsidRPr="00000000">
        <w:rPr>
          <w:rtl w:val="0"/>
        </w:rPr>
      </w:r>
    </w:p>
    <w:p w:rsidR="00000000" w:rsidDel="00000000" w:rsidP="00000000" w:rsidRDefault="00000000" w:rsidRPr="00000000" w14:paraId="00000111">
      <w:pPr>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Додаток 3</w:t>
      </w:r>
    </w:p>
    <w:p w:rsidR="00000000" w:rsidDel="00000000" w:rsidP="00000000" w:rsidRDefault="00000000" w:rsidRPr="00000000" w14:paraId="00000112">
      <w:pPr>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Порівняння завдань рад громадського контролю та громадських рад у деяких чинних законах та проекті ЗУ «Про внесення змін до Митного кодексу України щодо визначення правового статусу Громадської ради при центральному органі виконавчої влади, що реалізує державну митну політику»</w:t>
      </w:r>
    </w:p>
    <w:tbl>
      <w:tblPr>
        <w:tblStyle w:val="Table4"/>
        <w:tblW w:w="14554.0" w:type="dxa"/>
        <w:jc w:val="left"/>
        <w:tblBorders>
          <w:top w:color="000000" w:space="0" w:sz="4" w:val="single"/>
          <w:left w:color="000000" w:space="0" w:sz="4" w:val="single"/>
          <w:bottom w:color="000000" w:space="0" w:sz="4" w:val="single"/>
          <w:right w:color="000000" w:space="0" w:sz="4" w:val="single"/>
          <w:insideH w:color="000000" w:space="0" w:sz="4" w:val="dotted"/>
          <w:insideV w:color="000000" w:space="0" w:sz="4" w:val="dotted"/>
        </w:tblBorders>
        <w:tblLayout w:type="fixed"/>
        <w:tblLook w:val="0400"/>
      </w:tblPr>
      <w:tblGrid>
        <w:gridCol w:w="2910"/>
        <w:gridCol w:w="2911"/>
        <w:gridCol w:w="2911"/>
        <w:gridCol w:w="2911"/>
        <w:gridCol w:w="2911"/>
        <w:tblGridChange w:id="0">
          <w:tblGrid>
            <w:gridCol w:w="2910"/>
            <w:gridCol w:w="2911"/>
            <w:gridCol w:w="2911"/>
            <w:gridCol w:w="2911"/>
            <w:gridCol w:w="2911"/>
          </w:tblGrid>
        </w:tblGridChange>
      </w:tblGrid>
      <w:tr>
        <w:trPr>
          <w:cantSplit w:val="0"/>
          <w:trHeight w:val="540" w:hRule="atLeast"/>
          <w:tblHeader w:val="1"/>
        </w:trPr>
        <w:tc>
          <w:tcPr>
            <w:tcBorders>
              <w:top w:color="000000" w:space="0" w:sz="4" w:val="single"/>
              <w:bottom w:color="000000" w:space="0" w:sz="4" w:val="single"/>
            </w:tcBorders>
            <w:shd w:fill="auto" w:val="clear"/>
            <w:vAlign w:val="center"/>
          </w:tcPr>
          <w:p w:rsidR="00000000" w:rsidDel="00000000" w:rsidP="00000000" w:rsidRDefault="00000000" w:rsidRPr="00000000" w14:paraId="00000113">
            <w:pPr>
              <w:spacing w:after="0" w:line="240" w:lineRule="auto"/>
              <w:jc w:val="center"/>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ЗУ "Про Бюро економічної безпеки України"</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14">
            <w:pPr>
              <w:spacing w:after="0" w:line="240" w:lineRule="auto"/>
              <w:jc w:val="center"/>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ЗУ "Про Національне антикорупційне бюро України"</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15">
            <w:pPr>
              <w:spacing w:after="0" w:line="240" w:lineRule="auto"/>
              <w:jc w:val="center"/>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ЗУ "Про Державне бюро розслідувань"</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16">
            <w:pPr>
              <w:spacing w:after="0" w:line="240" w:lineRule="auto"/>
              <w:jc w:val="center"/>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ЗУ "Про запобігання корупції"</w:t>
            </w:r>
          </w:p>
        </w:tc>
        <w:tc>
          <w:tcPr>
            <w:tcBorders>
              <w:top w:color="000000" w:space="0" w:sz="4" w:val="single"/>
              <w:bottom w:color="000000" w:space="0" w:sz="4" w:val="single"/>
            </w:tcBorders>
            <w:shd w:fill="auto" w:val="clear"/>
            <w:vAlign w:val="center"/>
          </w:tcPr>
          <w:p w:rsidR="00000000" w:rsidDel="00000000" w:rsidP="00000000" w:rsidRDefault="00000000" w:rsidRPr="00000000" w14:paraId="00000117">
            <w:pPr>
              <w:spacing w:after="0" w:line="240" w:lineRule="auto"/>
              <w:jc w:val="center"/>
              <w:rPr>
                <w:rFonts w:ascii="Times New Roman" w:cs="Times New Roman" w:eastAsia="Times New Roman" w:hAnsi="Times New Roman"/>
                <w:b w:val="1"/>
                <w:color w:val="7030a0"/>
                <w:sz w:val="18"/>
                <w:szCs w:val="18"/>
              </w:rPr>
            </w:pPr>
            <w:r w:rsidDel="00000000" w:rsidR="00000000" w:rsidRPr="00000000">
              <w:rPr>
                <w:rFonts w:ascii="Times New Roman" w:cs="Times New Roman" w:eastAsia="Times New Roman" w:hAnsi="Times New Roman"/>
                <w:b w:val="1"/>
                <w:color w:val="7030a0"/>
                <w:sz w:val="18"/>
                <w:szCs w:val="18"/>
                <w:rtl w:val="0"/>
              </w:rPr>
              <w:t xml:space="preserve">Проект ЗУ щодо Громадської ради при ДМСУ </w:t>
            </w:r>
            <w:r w:rsidDel="00000000" w:rsidR="00000000" w:rsidRPr="00000000">
              <w:rPr>
                <w:rFonts w:ascii="Times New Roman" w:cs="Times New Roman" w:eastAsia="Times New Roman" w:hAnsi="Times New Roman"/>
                <w:color w:val="7030a0"/>
                <w:sz w:val="18"/>
                <w:szCs w:val="18"/>
                <w:rtl w:val="0"/>
              </w:rPr>
              <w:t xml:space="preserve">(від 07.02.2025)</w:t>
            </w:r>
            <w:r w:rsidDel="00000000" w:rsidR="00000000" w:rsidRPr="00000000">
              <w:rPr>
                <w:rtl w:val="0"/>
              </w:rPr>
            </w:r>
          </w:p>
        </w:tc>
      </w:tr>
      <w:tr>
        <w:trPr>
          <w:cantSplit w:val="0"/>
          <w:trHeight w:val="690" w:hRule="atLeast"/>
          <w:tblHeader w:val="0"/>
        </w:trPr>
        <w:tc>
          <w:tcPr>
            <w:tcBorders>
              <w:top w:color="000000" w:space="0" w:sz="4" w:val="single"/>
            </w:tcBorders>
            <w:shd w:fill="auto" w:val="clear"/>
          </w:tcPr>
          <w:p w:rsidR="00000000" w:rsidDel="00000000" w:rsidP="00000000" w:rsidRDefault="00000000" w:rsidRPr="00000000" w14:paraId="00000118">
            <w:pPr>
              <w:spacing w:after="0" w:line="240" w:lineRule="auto"/>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Стаття 34. </w:t>
            </w:r>
            <w:r w:rsidDel="00000000" w:rsidR="00000000" w:rsidRPr="00000000">
              <w:rPr>
                <w:rFonts w:ascii="Times New Roman" w:cs="Times New Roman" w:eastAsia="Times New Roman" w:hAnsi="Times New Roman"/>
                <w:color w:val="333333"/>
                <w:sz w:val="18"/>
                <w:szCs w:val="18"/>
                <w:rtl w:val="0"/>
              </w:rPr>
              <w:t xml:space="preserve">Рада громадського контролю при Бюро економічної безпеки України</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119">
            <w:pPr>
              <w:spacing w:after="0" w:line="240" w:lineRule="auto"/>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Стаття 31. </w:t>
            </w:r>
            <w:r w:rsidDel="00000000" w:rsidR="00000000" w:rsidRPr="00000000">
              <w:rPr>
                <w:rFonts w:ascii="Times New Roman" w:cs="Times New Roman" w:eastAsia="Times New Roman" w:hAnsi="Times New Roman"/>
                <w:color w:val="333333"/>
                <w:sz w:val="18"/>
                <w:szCs w:val="18"/>
                <w:rtl w:val="0"/>
              </w:rPr>
              <w:t xml:space="preserve">Рада громадського контролю при Національному бюро</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11A">
            <w:pPr>
              <w:spacing w:after="0" w:line="240" w:lineRule="auto"/>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Стаття 28.</w:t>
            </w:r>
            <w:r w:rsidDel="00000000" w:rsidR="00000000" w:rsidRPr="00000000">
              <w:rPr>
                <w:rFonts w:ascii="Times New Roman" w:cs="Times New Roman" w:eastAsia="Times New Roman" w:hAnsi="Times New Roman"/>
                <w:color w:val="333333"/>
                <w:sz w:val="18"/>
                <w:szCs w:val="18"/>
                <w:rtl w:val="0"/>
              </w:rPr>
              <w:t xml:space="preserve"> Рада громадського контролю при Державному бюро розслідувань</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11B">
            <w:pPr>
              <w:spacing w:after="0" w:line="240" w:lineRule="auto"/>
              <w:rPr>
                <w:rFonts w:ascii="Times New Roman" w:cs="Times New Roman" w:eastAsia="Times New Roman" w:hAnsi="Times New Roman"/>
                <w:b w:val="1"/>
                <w:color w:val="333333"/>
                <w:sz w:val="18"/>
                <w:szCs w:val="18"/>
              </w:rPr>
            </w:pPr>
            <w:r w:rsidDel="00000000" w:rsidR="00000000" w:rsidRPr="00000000">
              <w:rPr>
                <w:rFonts w:ascii="Times New Roman" w:cs="Times New Roman" w:eastAsia="Times New Roman" w:hAnsi="Times New Roman"/>
                <w:b w:val="1"/>
                <w:color w:val="333333"/>
                <w:sz w:val="18"/>
                <w:szCs w:val="18"/>
                <w:rtl w:val="0"/>
              </w:rPr>
              <w:t xml:space="preserve">Стаття 14. </w:t>
            </w:r>
            <w:r w:rsidDel="00000000" w:rsidR="00000000" w:rsidRPr="00000000">
              <w:rPr>
                <w:rFonts w:ascii="Times New Roman" w:cs="Times New Roman" w:eastAsia="Times New Roman" w:hAnsi="Times New Roman"/>
                <w:color w:val="333333"/>
                <w:sz w:val="18"/>
                <w:szCs w:val="18"/>
                <w:rtl w:val="0"/>
              </w:rPr>
              <w:t xml:space="preserve">Контроль за діяльністю Національного агентства</w:t>
            </w:r>
            <w:r w:rsidDel="00000000" w:rsidR="00000000" w:rsidRPr="00000000">
              <w:rPr>
                <w:rtl w:val="0"/>
              </w:rPr>
            </w:r>
          </w:p>
        </w:tc>
        <w:tc>
          <w:tcPr>
            <w:tcBorders>
              <w:top w:color="000000" w:space="0" w:sz="4" w:val="single"/>
            </w:tcBorders>
            <w:shd w:fill="auto" w:val="clear"/>
          </w:tcPr>
          <w:p w:rsidR="00000000" w:rsidDel="00000000" w:rsidP="00000000" w:rsidRDefault="00000000" w:rsidRPr="00000000" w14:paraId="0000011C">
            <w:pPr>
              <w:spacing w:after="0" w:line="240" w:lineRule="auto"/>
              <w:rPr>
                <w:rFonts w:ascii="Times New Roman" w:cs="Times New Roman" w:eastAsia="Times New Roman" w:hAnsi="Times New Roman"/>
                <w:b w:val="1"/>
                <w:color w:val="7030a0"/>
                <w:sz w:val="18"/>
                <w:szCs w:val="18"/>
              </w:rPr>
            </w:pPr>
            <w:r w:rsidDel="00000000" w:rsidR="00000000" w:rsidRPr="00000000">
              <w:rPr>
                <w:rFonts w:ascii="Times New Roman" w:cs="Times New Roman" w:eastAsia="Times New Roman" w:hAnsi="Times New Roman"/>
                <w:b w:val="1"/>
                <w:color w:val="7030a0"/>
                <w:sz w:val="18"/>
                <w:szCs w:val="18"/>
                <w:rtl w:val="0"/>
              </w:rPr>
              <w:t xml:space="preserve">Стаття 545</w:t>
            </w:r>
            <w:r w:rsidDel="00000000" w:rsidR="00000000" w:rsidRPr="00000000">
              <w:rPr>
                <w:rFonts w:ascii="Times New Roman" w:cs="Times New Roman" w:eastAsia="Times New Roman" w:hAnsi="Times New Roman"/>
                <w:b w:val="1"/>
                <w:color w:val="7030a0"/>
                <w:sz w:val="18"/>
                <w:szCs w:val="18"/>
                <w:vertAlign w:val="superscript"/>
                <w:rtl w:val="0"/>
              </w:rPr>
              <w:t xml:space="preserve">1</w:t>
            </w:r>
            <w:r w:rsidDel="00000000" w:rsidR="00000000" w:rsidRPr="00000000">
              <w:rPr>
                <w:rFonts w:ascii="Times New Roman" w:cs="Times New Roman" w:eastAsia="Times New Roman" w:hAnsi="Times New Roman"/>
                <w:b w:val="1"/>
                <w:color w:val="7030a0"/>
                <w:sz w:val="18"/>
                <w:szCs w:val="18"/>
                <w:rtl w:val="0"/>
              </w:rPr>
              <w:t xml:space="preserve">. </w:t>
            </w:r>
            <w:r w:rsidDel="00000000" w:rsidR="00000000" w:rsidRPr="00000000">
              <w:rPr>
                <w:rFonts w:ascii="Times New Roman" w:cs="Times New Roman" w:eastAsia="Times New Roman" w:hAnsi="Times New Roman"/>
                <w:color w:val="7030a0"/>
                <w:sz w:val="18"/>
                <w:szCs w:val="18"/>
                <w:rtl w:val="0"/>
              </w:rPr>
              <w:t xml:space="preserve">Громадська рада при центральному органі виконавчої влади, що реалізує державну митну політику</w:t>
            </w:r>
            <w:r w:rsidDel="00000000" w:rsidR="00000000" w:rsidRPr="00000000">
              <w:rPr>
                <w:rtl w:val="0"/>
              </w:rPr>
            </w:r>
          </w:p>
        </w:tc>
      </w:tr>
      <w:tr>
        <w:trPr>
          <w:cantSplit w:val="0"/>
          <w:trHeight w:val="2205" w:hRule="atLeast"/>
          <w:tblHeader w:val="0"/>
        </w:trPr>
        <w:tc>
          <w:tcPr>
            <w:shd w:fill="auto" w:val="clear"/>
          </w:tcPr>
          <w:p w:rsidR="00000000" w:rsidDel="00000000" w:rsidP="00000000" w:rsidRDefault="00000000" w:rsidRPr="00000000" w14:paraId="0000011D">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 метою забезпечення прозорості та суспільного контролю за діяльністю Бюро економічної безпеки України утворюється Рада громадського контролю при Бюро економічної безпеки України (далі - Рада) у складі дев’яти осіб, яка формується відповідно до результатів відкритого та прозорого конкурсу.</w:t>
            </w:r>
          </w:p>
        </w:tc>
        <w:tc>
          <w:tcPr>
            <w:shd w:fill="auto" w:val="clear"/>
          </w:tcPr>
          <w:p w:rsidR="00000000" w:rsidDel="00000000" w:rsidP="00000000" w:rsidRDefault="00000000" w:rsidRPr="00000000" w14:paraId="0000011E">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 метою забезпечення прозорості та цивільного контролю за діяльністю при Національному бюро утворюється Рада громадського контролю у складі 15 осіб, яка формується на засадах відкритого та прозорого конкурсу, який проводиться шляхом рейтингового інтернет-голосування громадян, які проживають на території України.</w:t>
            </w:r>
          </w:p>
        </w:tc>
        <w:tc>
          <w:tcPr>
            <w:shd w:fill="auto" w:val="clear"/>
          </w:tcPr>
          <w:p w:rsidR="00000000" w:rsidDel="00000000" w:rsidP="00000000" w:rsidRDefault="00000000" w:rsidRPr="00000000" w14:paraId="0000011F">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 метою забезпечення прозорості та цивільного контролю за діяльністю при Державному бюро розслідувань утворюється Рада громадського контролю у складі 15 осіб, яка формується на засадах відкритого та прозорого конкурсу.</w:t>
            </w:r>
          </w:p>
        </w:tc>
        <w:tc>
          <w:tcPr>
            <w:shd w:fill="auto" w:val="clear"/>
          </w:tcPr>
          <w:p w:rsidR="00000000" w:rsidDel="00000000" w:rsidP="00000000" w:rsidRDefault="00000000" w:rsidRPr="00000000" w14:paraId="00000120">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Громадський контроль за діяльністю Національного агентства забезпечується через Громадську раду при Національному агентстві, яка складається з 15 осіб та формується відповідно до результатів відкритого та прозорого конкурсу.</w:t>
            </w:r>
          </w:p>
        </w:tc>
        <w:tc>
          <w:tcPr>
            <w:shd w:fill="auto" w:val="clear"/>
          </w:tcPr>
          <w:p w:rsidR="00000000" w:rsidDel="00000000" w:rsidP="00000000" w:rsidRDefault="00000000" w:rsidRPr="00000000" w14:paraId="00000121">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З метою забезпечення прозорості та громадського контролю за діяльністю центрального органу виконавчої влади, що реалізує державну митну політику, утворюється Громадська рада при центральному органі виконавчої влади, що реалізує державну митну політику (далі – Громадська рада), яка формується на засадах відкритого та прозорого конкурсу. </w:t>
            </w:r>
          </w:p>
        </w:tc>
      </w:tr>
      <w:tr>
        <w:trPr>
          <w:cantSplit w:val="0"/>
          <w:trHeight w:val="206" w:hRule="atLeast"/>
          <w:tblHeader w:val="0"/>
        </w:trPr>
        <w:tc>
          <w:tcPr>
            <w:shd w:fill="auto" w:val="clear"/>
          </w:tcPr>
          <w:p w:rsidR="00000000" w:rsidDel="00000000" w:rsidP="00000000" w:rsidRDefault="00000000" w:rsidRPr="00000000" w14:paraId="00000122">
            <w:pPr>
              <w:spacing w:after="0" w:line="240" w:lineRule="auto"/>
              <w:jc w:val="center"/>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w:t>
            </w:r>
          </w:p>
        </w:tc>
        <w:tc>
          <w:tcPr>
            <w:shd w:fill="auto" w:val="clear"/>
          </w:tcPr>
          <w:p w:rsidR="00000000" w:rsidDel="00000000" w:rsidP="00000000" w:rsidRDefault="00000000" w:rsidRPr="00000000" w14:paraId="00000123">
            <w:pPr>
              <w:spacing w:after="0" w:line="240" w:lineRule="auto"/>
              <w:jc w:val="center"/>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w:t>
            </w:r>
          </w:p>
        </w:tc>
        <w:tc>
          <w:tcPr>
            <w:shd w:fill="auto" w:val="clear"/>
          </w:tcPr>
          <w:p w:rsidR="00000000" w:rsidDel="00000000" w:rsidP="00000000" w:rsidRDefault="00000000" w:rsidRPr="00000000" w14:paraId="00000124">
            <w:pPr>
              <w:spacing w:after="0" w:line="240" w:lineRule="auto"/>
              <w:jc w:val="center"/>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w:t>
            </w:r>
          </w:p>
        </w:tc>
        <w:tc>
          <w:tcPr>
            <w:shd w:fill="auto" w:val="clear"/>
          </w:tcPr>
          <w:p w:rsidR="00000000" w:rsidDel="00000000" w:rsidP="00000000" w:rsidRDefault="00000000" w:rsidRPr="00000000" w14:paraId="00000125">
            <w:pPr>
              <w:spacing w:after="0" w:line="240" w:lineRule="auto"/>
              <w:jc w:val="center"/>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w:t>
            </w:r>
          </w:p>
        </w:tc>
        <w:tc>
          <w:tcPr>
            <w:shd w:fill="auto" w:val="clear"/>
          </w:tcPr>
          <w:p w:rsidR="00000000" w:rsidDel="00000000" w:rsidP="00000000" w:rsidRDefault="00000000" w:rsidRPr="00000000" w14:paraId="00000126">
            <w:pPr>
              <w:spacing w:after="0" w:line="240" w:lineRule="auto"/>
              <w:jc w:val="center"/>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w:t>
            </w:r>
          </w:p>
        </w:tc>
      </w:tr>
      <w:tr>
        <w:trPr>
          <w:cantSplit w:val="0"/>
          <w:trHeight w:val="287" w:hRule="atLeast"/>
          <w:tblHeader w:val="0"/>
        </w:trPr>
        <w:tc>
          <w:tcPr>
            <w:shd w:fill="auto" w:val="clear"/>
          </w:tcPr>
          <w:p w:rsidR="00000000" w:rsidDel="00000000" w:rsidP="00000000" w:rsidRDefault="00000000" w:rsidRPr="00000000" w14:paraId="00000127">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Рада громадського контролю при Бюро економічної безпеки України:</w:t>
            </w:r>
          </w:p>
        </w:tc>
        <w:tc>
          <w:tcPr>
            <w:shd w:fill="auto" w:val="clear"/>
          </w:tcPr>
          <w:p w:rsidR="00000000" w:rsidDel="00000000" w:rsidP="00000000" w:rsidRDefault="00000000" w:rsidRPr="00000000" w14:paraId="00000128">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Рада громадського контролю при Національному бюро:</w:t>
            </w:r>
          </w:p>
        </w:tc>
        <w:tc>
          <w:tcPr>
            <w:shd w:fill="auto" w:val="clear"/>
          </w:tcPr>
          <w:p w:rsidR="00000000" w:rsidDel="00000000" w:rsidP="00000000" w:rsidRDefault="00000000" w:rsidRPr="00000000" w14:paraId="00000129">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Рада громадського контролю при Державному бюро розслідувань:</w:t>
            </w:r>
          </w:p>
        </w:tc>
        <w:tc>
          <w:tcPr>
            <w:shd w:fill="auto" w:val="clear"/>
          </w:tcPr>
          <w:p w:rsidR="00000000" w:rsidDel="00000000" w:rsidP="00000000" w:rsidRDefault="00000000" w:rsidRPr="00000000" w14:paraId="0000012A">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Громадська рада при Національному агентстві:</w:t>
            </w:r>
          </w:p>
        </w:tc>
        <w:tc>
          <w:tcPr>
            <w:shd w:fill="auto" w:val="clear"/>
          </w:tcPr>
          <w:p w:rsidR="00000000" w:rsidDel="00000000" w:rsidP="00000000" w:rsidRDefault="00000000" w:rsidRPr="00000000" w14:paraId="0000012B">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3. Громадська рада:</w:t>
            </w:r>
          </w:p>
        </w:tc>
      </w:tr>
      <w:tr>
        <w:trPr>
          <w:cantSplit w:val="0"/>
          <w:trHeight w:val="1260" w:hRule="atLeast"/>
          <w:tblHeader w:val="0"/>
        </w:trPr>
        <w:tc>
          <w:tcPr>
            <w:shd w:fill="auto" w:val="clear"/>
          </w:tcPr>
          <w:p w:rsidR="00000000" w:rsidDel="00000000" w:rsidP="00000000" w:rsidRDefault="00000000" w:rsidRPr="00000000" w14:paraId="0000012C">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заслуховує інформацію про діяльність, виконання планів і завдань Бюро економічної безпеки України;</w:t>
            </w:r>
          </w:p>
        </w:tc>
        <w:tc>
          <w:tcPr>
            <w:shd w:fill="auto" w:val="clear"/>
          </w:tcPr>
          <w:p w:rsidR="00000000" w:rsidDel="00000000" w:rsidP="00000000" w:rsidRDefault="00000000" w:rsidRPr="00000000" w14:paraId="0000012D">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заслуховує інформацію про діяльність, виконання планів і завдань Національного бюро;</w:t>
            </w:r>
          </w:p>
        </w:tc>
        <w:tc>
          <w:tcPr>
            <w:shd w:fill="auto" w:val="clear"/>
          </w:tcPr>
          <w:p w:rsidR="00000000" w:rsidDel="00000000" w:rsidP="00000000" w:rsidRDefault="00000000" w:rsidRPr="00000000" w14:paraId="0000012E">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заслуховує інформацію про діяльність, виконання планів і завдань Державного бюро розслідувань;</w:t>
            </w:r>
          </w:p>
        </w:tc>
        <w:tc>
          <w:tcPr>
            <w:shd w:fill="auto" w:val="clear"/>
          </w:tcPr>
          <w:p w:rsidR="00000000" w:rsidDel="00000000" w:rsidP="00000000" w:rsidRDefault="00000000" w:rsidRPr="00000000" w14:paraId="0000012F">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заслуховує інформацію про діяльність, виконання планів і завдань Національного агентства, здійснює моніторинг ефективності реалізації Національним агентством його повноважень;</w:t>
            </w:r>
          </w:p>
        </w:tc>
        <w:tc>
          <w:tcPr>
            <w:shd w:fill="auto" w:val="clear"/>
          </w:tcPr>
          <w:p w:rsidR="00000000" w:rsidDel="00000000" w:rsidP="00000000" w:rsidRDefault="00000000" w:rsidRPr="00000000" w14:paraId="00000130">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1) заслуховує інформацію про діяльність, виконання планів і завдань центрального органу виконавчої влади, що реалізує державну митну політику; </w:t>
            </w:r>
          </w:p>
        </w:tc>
      </w:tr>
      <w:tr>
        <w:trPr>
          <w:cantSplit w:val="0"/>
          <w:trHeight w:val="1260" w:hRule="atLeast"/>
          <w:tblHeader w:val="0"/>
        </w:trPr>
        <w:tc>
          <w:tcPr>
            <w:shd w:fill="auto" w:val="clear"/>
          </w:tcPr>
          <w:p w:rsidR="00000000" w:rsidDel="00000000" w:rsidP="00000000" w:rsidRDefault="00000000" w:rsidRPr="00000000" w14:paraId="00000131">
            <w:pPr>
              <w:spacing w:after="0" w:line="240" w:lineRule="auto"/>
              <w:rPr>
                <w:rFonts w:ascii="Times New Roman" w:cs="Times New Roman" w:eastAsia="Times New Roman" w:hAnsi="Times New Roman"/>
                <w:color w:val="000000"/>
                <w:sz w:val="18"/>
                <w:szCs w:val="18"/>
              </w:rPr>
            </w:pPr>
            <w:r w:rsidDel="00000000" w:rsidR="00000000" w:rsidRPr="00000000">
              <w:rPr>
                <w:rtl w:val="0"/>
              </w:rPr>
            </w:r>
          </w:p>
        </w:tc>
        <w:tc>
          <w:tcPr>
            <w:shd w:fill="auto" w:val="clear"/>
          </w:tcPr>
          <w:p w:rsidR="00000000" w:rsidDel="00000000" w:rsidP="00000000" w:rsidRDefault="00000000" w:rsidRPr="00000000" w14:paraId="00000132">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33">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34">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35">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2) здійснює моніторинг ефективності реалізації центральним органом виконавчої влади, що реалізує державну митну політику, повноважень та складає звіти за результатами такого моніторингу;</w:t>
            </w:r>
          </w:p>
        </w:tc>
      </w:tr>
      <w:tr>
        <w:trPr>
          <w:cantSplit w:val="0"/>
          <w:trHeight w:val="630" w:hRule="atLeast"/>
          <w:tblHeader w:val="0"/>
        </w:trPr>
        <w:tc>
          <w:tcPr>
            <w:shd w:fill="auto" w:val="clear"/>
          </w:tcPr>
          <w:p w:rsidR="00000000" w:rsidDel="00000000" w:rsidP="00000000" w:rsidRDefault="00000000" w:rsidRPr="00000000" w14:paraId="00000136">
            <w:pPr>
              <w:spacing w:after="0" w:line="240" w:lineRule="auto"/>
              <w:rPr>
                <w:rFonts w:ascii="Times New Roman" w:cs="Times New Roman" w:eastAsia="Times New Roman" w:hAnsi="Times New Roman"/>
                <w:color w:val="000000"/>
                <w:sz w:val="18"/>
                <w:szCs w:val="18"/>
              </w:rPr>
            </w:pPr>
            <w:r w:rsidDel="00000000" w:rsidR="00000000" w:rsidRPr="00000000">
              <w:rPr>
                <w:rtl w:val="0"/>
              </w:rPr>
            </w:r>
          </w:p>
        </w:tc>
        <w:tc>
          <w:tcPr>
            <w:shd w:fill="auto" w:val="clear"/>
          </w:tcPr>
          <w:p w:rsidR="00000000" w:rsidDel="00000000" w:rsidP="00000000" w:rsidRDefault="00000000" w:rsidRPr="00000000" w14:paraId="00000137">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38">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39">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аналізує ситуацію із забезпеченням незалежності Національного агентства;</w:t>
            </w:r>
          </w:p>
        </w:tc>
        <w:tc>
          <w:tcPr>
            <w:shd w:fill="auto" w:val="clear"/>
          </w:tcPr>
          <w:p w:rsidR="00000000" w:rsidDel="00000000" w:rsidP="00000000" w:rsidRDefault="00000000" w:rsidRPr="00000000" w14:paraId="0000013A">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630" w:hRule="atLeast"/>
          <w:tblHeader w:val="0"/>
        </w:trPr>
        <w:tc>
          <w:tcPr>
            <w:shd w:fill="auto" w:val="clear"/>
          </w:tcPr>
          <w:p w:rsidR="00000000" w:rsidDel="00000000" w:rsidP="00000000" w:rsidRDefault="00000000" w:rsidRPr="00000000" w14:paraId="0000013B">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розглядає звіти Бюро економічної безпеки України і затверджує свій висновок щодо них;</w:t>
            </w:r>
          </w:p>
        </w:tc>
        <w:tc>
          <w:tcPr>
            <w:shd w:fill="auto" w:val="clear"/>
          </w:tcPr>
          <w:p w:rsidR="00000000" w:rsidDel="00000000" w:rsidP="00000000" w:rsidRDefault="00000000" w:rsidRPr="00000000" w14:paraId="0000013C">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розглядає звіти Національного бюро і затверджує свій висновок щодо них;</w:t>
            </w:r>
          </w:p>
        </w:tc>
        <w:tc>
          <w:tcPr>
            <w:shd w:fill="auto" w:val="clear"/>
          </w:tcPr>
          <w:p w:rsidR="00000000" w:rsidDel="00000000" w:rsidP="00000000" w:rsidRDefault="00000000" w:rsidRPr="00000000" w14:paraId="0000013D">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2) розглядає звіти Державного бюро розслідувань і затверджує свій висновок щодо них;</w:t>
            </w:r>
          </w:p>
        </w:tc>
        <w:tc>
          <w:tcPr>
            <w:shd w:fill="auto" w:val="clear"/>
          </w:tcPr>
          <w:p w:rsidR="00000000" w:rsidDel="00000000" w:rsidP="00000000" w:rsidRDefault="00000000" w:rsidRPr="00000000" w14:paraId="0000013E">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розглядає щорічний звіт Національного агентства та затверджує висновок щодо нього;</w:t>
            </w:r>
          </w:p>
        </w:tc>
        <w:tc>
          <w:tcPr>
            <w:shd w:fill="auto" w:val="clear"/>
          </w:tcPr>
          <w:p w:rsidR="00000000" w:rsidDel="00000000" w:rsidP="00000000" w:rsidRDefault="00000000" w:rsidRPr="00000000" w14:paraId="0000013F">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945" w:hRule="atLeast"/>
          <w:tblHeader w:val="0"/>
        </w:trPr>
        <w:tc>
          <w:tcPr>
            <w:shd w:fill="auto" w:val="clear"/>
          </w:tcPr>
          <w:p w:rsidR="00000000" w:rsidDel="00000000" w:rsidP="00000000" w:rsidRDefault="00000000" w:rsidRPr="00000000" w14:paraId="00000140">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організовує публічні заходи для обговорення актуальних питань розвитку і діяльності Бюро економічної безпеки України, заходи з правової освіти населення;</w:t>
            </w:r>
          </w:p>
        </w:tc>
        <w:tc>
          <w:tcPr>
            <w:shd w:fill="auto" w:val="clear"/>
          </w:tcPr>
          <w:p w:rsidR="00000000" w:rsidDel="00000000" w:rsidP="00000000" w:rsidRDefault="00000000" w:rsidRPr="00000000" w14:paraId="00000141">
            <w:pPr>
              <w:spacing w:after="0" w:line="240" w:lineRule="auto"/>
              <w:rPr>
                <w:rFonts w:ascii="Times New Roman" w:cs="Times New Roman" w:eastAsia="Times New Roman" w:hAnsi="Times New Roman"/>
                <w:color w:val="333333"/>
                <w:sz w:val="18"/>
                <w:szCs w:val="18"/>
              </w:rPr>
            </w:pPr>
            <w:r w:rsidDel="00000000" w:rsidR="00000000" w:rsidRPr="00000000">
              <w:rPr>
                <w:rtl w:val="0"/>
              </w:rPr>
            </w:r>
          </w:p>
        </w:tc>
        <w:tc>
          <w:tcPr>
            <w:shd w:fill="auto" w:val="clear"/>
          </w:tcPr>
          <w:p w:rsidR="00000000" w:rsidDel="00000000" w:rsidP="00000000" w:rsidRDefault="00000000" w:rsidRPr="00000000" w14:paraId="00000142">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3">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4">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630" w:hRule="atLeast"/>
          <w:tblHeader w:val="0"/>
        </w:trPr>
        <w:tc>
          <w:tcPr>
            <w:shd w:fill="auto" w:val="clear"/>
          </w:tcPr>
          <w:p w:rsidR="00000000" w:rsidDel="00000000" w:rsidP="00000000" w:rsidRDefault="00000000" w:rsidRPr="00000000" w14:paraId="00000145">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6">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7">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8">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1) обирає зі своїх членів до трьох представників, які входять до складу кожної з:</w:t>
            </w:r>
          </w:p>
        </w:tc>
        <w:tc>
          <w:tcPr>
            <w:shd w:fill="auto" w:val="clear"/>
          </w:tcPr>
          <w:p w:rsidR="00000000" w:rsidDel="00000000" w:rsidP="00000000" w:rsidRDefault="00000000" w:rsidRPr="00000000" w14:paraId="00000149">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1575" w:hRule="atLeast"/>
          <w:tblHeader w:val="0"/>
        </w:trPr>
        <w:tc>
          <w:tcPr>
            <w:shd w:fill="auto" w:val="clear"/>
          </w:tcPr>
          <w:p w:rsidR="00000000" w:rsidDel="00000000" w:rsidP="00000000" w:rsidRDefault="00000000" w:rsidRPr="00000000" w14:paraId="0000014A">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обирає із свого складу по одному представнику, що включаються до складу кожної з кадрових комісій Бюро економічної безпеки України (крім кадрових комісій, що проводять конкурси на посади, відомості про які становлять державну таємницю);</w:t>
            </w:r>
          </w:p>
        </w:tc>
        <w:tc>
          <w:tcPr>
            <w:shd w:fill="auto" w:val="clear"/>
          </w:tcPr>
          <w:p w:rsidR="00000000" w:rsidDel="00000000" w:rsidP="00000000" w:rsidRDefault="00000000" w:rsidRPr="00000000" w14:paraId="0000014B">
            <w:pPr>
              <w:spacing w:after="0" w:line="240" w:lineRule="auto"/>
              <w:rPr>
                <w:rFonts w:ascii="Times New Roman" w:cs="Times New Roman" w:eastAsia="Times New Roman" w:hAnsi="Times New Roman"/>
                <w:color w:val="333333"/>
                <w:sz w:val="18"/>
                <w:szCs w:val="18"/>
              </w:rPr>
            </w:pPr>
            <w:r w:rsidDel="00000000" w:rsidR="00000000" w:rsidRPr="00000000">
              <w:rPr>
                <w:rtl w:val="0"/>
              </w:rPr>
            </w:r>
          </w:p>
        </w:tc>
        <w:tc>
          <w:tcPr>
            <w:shd w:fill="auto" w:val="clear"/>
          </w:tcPr>
          <w:p w:rsidR="00000000" w:rsidDel="00000000" w:rsidP="00000000" w:rsidRDefault="00000000" w:rsidRPr="00000000" w14:paraId="0000014C">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4D">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комісій, які проводять конкурс на зайняття вакантних посад у Національному агентстві;</w:t>
            </w:r>
          </w:p>
        </w:tc>
        <w:tc>
          <w:tcPr>
            <w:shd w:fill="auto" w:val="clear"/>
            <w:vAlign w:val="bottom"/>
          </w:tcPr>
          <w:p w:rsidR="00000000" w:rsidDel="00000000" w:rsidP="00000000" w:rsidRDefault="00000000" w:rsidRPr="00000000" w14:paraId="0000014E">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945" w:hRule="atLeast"/>
          <w:tblHeader w:val="0"/>
        </w:trPr>
        <w:tc>
          <w:tcPr>
            <w:shd w:fill="auto" w:val="clear"/>
          </w:tcPr>
          <w:p w:rsidR="00000000" w:rsidDel="00000000" w:rsidP="00000000" w:rsidRDefault="00000000" w:rsidRPr="00000000" w14:paraId="0000014F">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5) обирає із свого складу трьох представників, які включаються до складу дисциплінарної комісії Бюро економічної безпеки України;</w:t>
            </w:r>
          </w:p>
        </w:tc>
        <w:tc>
          <w:tcPr>
            <w:shd w:fill="auto" w:val="clear"/>
          </w:tcPr>
          <w:p w:rsidR="00000000" w:rsidDel="00000000" w:rsidP="00000000" w:rsidRDefault="00000000" w:rsidRPr="00000000" w14:paraId="00000150">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обирає з її членів двох представників, які входять до складу Дисциплінарної комісії Національного бюро;</w:t>
            </w:r>
          </w:p>
        </w:tc>
        <w:tc>
          <w:tcPr>
            <w:shd w:fill="auto" w:val="clear"/>
          </w:tcPr>
          <w:p w:rsidR="00000000" w:rsidDel="00000000" w:rsidP="00000000" w:rsidRDefault="00000000" w:rsidRPr="00000000" w14:paraId="00000151">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 обирає з її членів трьох представників, які входять до складу Дисциплінарної комісії Державного бюро розслідувань;</w:t>
            </w:r>
          </w:p>
        </w:tc>
        <w:tc>
          <w:tcPr>
            <w:shd w:fill="auto" w:val="clear"/>
          </w:tcPr>
          <w:p w:rsidR="00000000" w:rsidDel="00000000" w:rsidP="00000000" w:rsidRDefault="00000000" w:rsidRPr="00000000" w14:paraId="00000152">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дисциплінарних комісій, які здійснюють дисциплінарні провадження щодо державних службовців Національного агентства;</w:t>
            </w:r>
          </w:p>
        </w:tc>
        <w:tc>
          <w:tcPr>
            <w:shd w:fill="auto" w:val="clear"/>
            <w:vAlign w:val="bottom"/>
          </w:tcPr>
          <w:p w:rsidR="00000000" w:rsidDel="00000000" w:rsidP="00000000" w:rsidRDefault="00000000" w:rsidRPr="00000000" w14:paraId="00000153">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692" w:hRule="atLeast"/>
          <w:tblHeader w:val="0"/>
        </w:trPr>
        <w:tc>
          <w:tcPr>
            <w:shd w:fill="auto" w:val="clear"/>
          </w:tcPr>
          <w:p w:rsidR="00000000" w:rsidDel="00000000" w:rsidP="00000000" w:rsidRDefault="00000000" w:rsidRPr="00000000" w14:paraId="00000154">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5">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6">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7">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5) розглядає проект національної доповіді щодо реалізації засад антикорупційної політики та затверджує висновок щодо нього;</w:t>
            </w:r>
          </w:p>
        </w:tc>
        <w:tc>
          <w:tcPr>
            <w:shd w:fill="auto" w:val="clear"/>
            <w:vAlign w:val="bottom"/>
          </w:tcPr>
          <w:p w:rsidR="00000000" w:rsidDel="00000000" w:rsidP="00000000" w:rsidRDefault="00000000" w:rsidRPr="00000000" w14:paraId="00000158">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630" w:hRule="atLeast"/>
          <w:tblHeader w:val="0"/>
        </w:trPr>
        <w:tc>
          <w:tcPr>
            <w:shd w:fill="auto" w:val="clear"/>
          </w:tcPr>
          <w:p w:rsidR="00000000" w:rsidDel="00000000" w:rsidP="00000000" w:rsidRDefault="00000000" w:rsidRPr="00000000" w14:paraId="00000159">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A">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B">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C">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6) бере участь у розробленні антикорупційної стратегії та державної програми з її виконання;</w:t>
            </w:r>
          </w:p>
        </w:tc>
        <w:tc>
          <w:tcPr>
            <w:shd w:fill="auto" w:val="clear"/>
            <w:vAlign w:val="bottom"/>
          </w:tcPr>
          <w:p w:rsidR="00000000" w:rsidDel="00000000" w:rsidP="00000000" w:rsidRDefault="00000000" w:rsidRPr="00000000" w14:paraId="0000015D">
            <w:pPr>
              <w:spacing w:after="0" w:line="240" w:lineRule="auto"/>
              <w:rPr>
                <w:rFonts w:ascii="Times New Roman" w:cs="Times New Roman" w:eastAsia="Times New Roman" w:hAnsi="Times New Roman"/>
                <w:color w:val="7030a0"/>
                <w:sz w:val="18"/>
                <w:szCs w:val="18"/>
              </w:rPr>
            </w:pPr>
            <w:r w:rsidDel="00000000" w:rsidR="00000000" w:rsidRPr="00000000">
              <w:rPr>
                <w:rtl w:val="0"/>
              </w:rPr>
            </w:r>
          </w:p>
        </w:tc>
      </w:tr>
      <w:tr>
        <w:trPr>
          <w:cantSplit w:val="0"/>
          <w:trHeight w:val="2520" w:hRule="atLeast"/>
          <w:tblHeader w:val="0"/>
        </w:trPr>
        <w:tc>
          <w:tcPr>
            <w:shd w:fill="auto" w:val="clear"/>
          </w:tcPr>
          <w:p w:rsidR="00000000" w:rsidDel="00000000" w:rsidP="00000000" w:rsidRDefault="00000000" w:rsidRPr="00000000" w14:paraId="0000015E">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5F">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60">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3</w:t>
            </w:r>
            <w:r w:rsidDel="00000000" w:rsidR="00000000" w:rsidRPr="00000000">
              <w:rPr>
                <w:rFonts w:ascii="Times New Roman" w:cs="Times New Roman" w:eastAsia="Times New Roman" w:hAnsi="Times New Roman"/>
                <w:b w:val="1"/>
                <w:color w:val="333333"/>
                <w:sz w:val="18"/>
                <w:szCs w:val="18"/>
                <w:vertAlign w:val="superscript"/>
                <w:rtl w:val="0"/>
              </w:rPr>
              <w:t xml:space="preserve">-1</w:t>
            </w:r>
            <w:r w:rsidDel="00000000" w:rsidR="00000000" w:rsidRPr="00000000">
              <w:rPr>
                <w:rFonts w:ascii="Times New Roman" w:cs="Times New Roman" w:eastAsia="Times New Roman" w:hAnsi="Times New Roman"/>
                <w:color w:val="333333"/>
                <w:sz w:val="18"/>
                <w:szCs w:val="18"/>
                <w:rtl w:val="0"/>
              </w:rPr>
              <w:t xml:space="preserve">) розробляє та затверджує Правила професійної етики працівників Державного бюро розслідувань;</w:t>
            </w:r>
          </w:p>
        </w:tc>
        <w:tc>
          <w:tcPr>
            <w:shd w:fill="auto" w:val="clear"/>
          </w:tcPr>
          <w:p w:rsidR="00000000" w:rsidDel="00000000" w:rsidP="00000000" w:rsidRDefault="00000000" w:rsidRPr="00000000" w14:paraId="00000161">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7) бере участь у розробленні проектів нормативно-правових актів Національного агентства та готує висновки щодо них;</w:t>
            </w:r>
          </w:p>
        </w:tc>
        <w:tc>
          <w:tcPr>
            <w:shd w:fill="auto" w:val="clear"/>
          </w:tcPr>
          <w:p w:rsidR="00000000" w:rsidDel="00000000" w:rsidP="00000000" w:rsidRDefault="00000000" w:rsidRPr="00000000" w14:paraId="00000162">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3) бере участь у розробленні проектів законів України,  актів Президента України, Кабінету Міністрів України, наказів центрального органу виконавчої влади,  що забезпечує формування та реалізує державну фінансову, бюджетну та боргову політику та пропозицій до інших нормативно-правових актів з питань, що належать до сфери діяльності центрального органу виконавчої влади, що реалізує державну митну політику;</w:t>
            </w:r>
          </w:p>
        </w:tc>
      </w:tr>
      <w:tr>
        <w:trPr>
          <w:cantSplit w:val="0"/>
          <w:trHeight w:val="1260" w:hRule="atLeast"/>
          <w:tblHeader w:val="0"/>
        </w:trPr>
        <w:tc>
          <w:tcPr>
            <w:shd w:fill="auto" w:val="clear"/>
          </w:tcPr>
          <w:p w:rsidR="00000000" w:rsidDel="00000000" w:rsidP="00000000" w:rsidRDefault="00000000" w:rsidRPr="00000000" w14:paraId="00000163">
            <w:pPr>
              <w:spacing w:after="0" w:line="240" w:lineRule="auto"/>
              <w:rPr>
                <w:rFonts w:ascii="Times New Roman" w:cs="Times New Roman" w:eastAsia="Times New Roman" w:hAnsi="Times New Roman"/>
                <w:color w:val="000000"/>
                <w:sz w:val="18"/>
                <w:szCs w:val="18"/>
              </w:rPr>
            </w:pPr>
            <w:r w:rsidDel="00000000" w:rsidR="00000000" w:rsidRPr="00000000">
              <w:rPr>
                <w:rtl w:val="0"/>
              </w:rPr>
            </w:r>
          </w:p>
        </w:tc>
        <w:tc>
          <w:tcPr>
            <w:shd w:fill="auto" w:val="clear"/>
          </w:tcPr>
          <w:p w:rsidR="00000000" w:rsidDel="00000000" w:rsidP="00000000" w:rsidRDefault="00000000" w:rsidRPr="00000000" w14:paraId="00000164">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65">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66">
            <w:pPr>
              <w:spacing w:after="0" w:line="240" w:lineRule="auto"/>
              <w:rPr>
                <w:rFonts w:ascii="Times New Roman" w:cs="Times New Roman" w:eastAsia="Times New Roman" w:hAnsi="Times New Roman"/>
                <w:sz w:val="18"/>
                <w:szCs w:val="18"/>
              </w:rPr>
            </w:pPr>
            <w:r w:rsidDel="00000000" w:rsidR="00000000" w:rsidRPr="00000000">
              <w:rPr>
                <w:rtl w:val="0"/>
              </w:rPr>
            </w:r>
          </w:p>
        </w:tc>
        <w:tc>
          <w:tcPr>
            <w:shd w:fill="auto" w:val="clear"/>
          </w:tcPr>
          <w:p w:rsidR="00000000" w:rsidDel="00000000" w:rsidP="00000000" w:rsidRDefault="00000000" w:rsidRPr="00000000" w14:paraId="00000167">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4) бере участь в оцінці корупційних ризиків та вжитті заходів із запобігання корупції у діяльності центрального органу виконавчої влади, що реалізує державну митну політику;</w:t>
            </w:r>
          </w:p>
        </w:tc>
      </w:tr>
      <w:tr>
        <w:trPr>
          <w:cantSplit w:val="0"/>
          <w:trHeight w:val="575" w:hRule="atLeast"/>
          <w:tblHeader w:val="0"/>
        </w:trPr>
        <w:tc>
          <w:tcPr>
            <w:shd w:fill="auto" w:val="clear"/>
          </w:tcPr>
          <w:p w:rsidR="00000000" w:rsidDel="00000000" w:rsidP="00000000" w:rsidRDefault="00000000" w:rsidRPr="00000000" w14:paraId="00000168">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6) здійснює інші повноваження, передбачені положенням про Раду громадського контролю при Бюро економічної безпеки України.</w:t>
            </w:r>
          </w:p>
        </w:tc>
        <w:tc>
          <w:tcPr>
            <w:shd w:fill="auto" w:val="clear"/>
          </w:tcPr>
          <w:p w:rsidR="00000000" w:rsidDel="00000000" w:rsidP="00000000" w:rsidRDefault="00000000" w:rsidRPr="00000000" w14:paraId="00000169">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має інші права, передбачені Положенням про Раду громадського контролю.</w:t>
            </w:r>
          </w:p>
        </w:tc>
        <w:tc>
          <w:tcPr>
            <w:shd w:fill="auto" w:val="clear"/>
          </w:tcPr>
          <w:p w:rsidR="00000000" w:rsidDel="00000000" w:rsidP="00000000" w:rsidRDefault="00000000" w:rsidRPr="00000000" w14:paraId="0000016A">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4) має інші права, передбачені Положенням про Раду громадського контролю.</w:t>
            </w:r>
          </w:p>
        </w:tc>
        <w:tc>
          <w:tcPr>
            <w:shd w:fill="auto" w:val="clear"/>
          </w:tcPr>
          <w:p w:rsidR="00000000" w:rsidDel="00000000" w:rsidP="00000000" w:rsidRDefault="00000000" w:rsidRPr="00000000" w14:paraId="0000016B">
            <w:pPr>
              <w:spacing w:after="0" w:line="240" w:lineRule="auto"/>
              <w:rPr>
                <w:rFonts w:ascii="Times New Roman" w:cs="Times New Roman" w:eastAsia="Times New Roman" w:hAnsi="Times New Roman"/>
                <w:color w:val="333333"/>
                <w:sz w:val="18"/>
                <w:szCs w:val="18"/>
              </w:rPr>
            </w:pPr>
            <w:r w:rsidDel="00000000" w:rsidR="00000000" w:rsidRPr="00000000">
              <w:rPr>
                <w:rFonts w:ascii="Times New Roman" w:cs="Times New Roman" w:eastAsia="Times New Roman" w:hAnsi="Times New Roman"/>
                <w:color w:val="333333"/>
                <w:sz w:val="18"/>
                <w:szCs w:val="18"/>
                <w:rtl w:val="0"/>
              </w:rPr>
              <w:t xml:space="preserve">8) здійснює інші повноваження, передбачені Положенням про Громадську раду при Національному агентстві.</w:t>
            </w:r>
          </w:p>
        </w:tc>
        <w:tc>
          <w:tcPr>
            <w:shd w:fill="auto" w:val="clear"/>
          </w:tcPr>
          <w:p w:rsidR="00000000" w:rsidDel="00000000" w:rsidP="00000000" w:rsidRDefault="00000000" w:rsidRPr="00000000" w14:paraId="0000016C">
            <w:pPr>
              <w:spacing w:after="0" w:line="240" w:lineRule="auto"/>
              <w:rPr>
                <w:rFonts w:ascii="Times New Roman" w:cs="Times New Roman" w:eastAsia="Times New Roman" w:hAnsi="Times New Roman"/>
                <w:color w:val="7030a0"/>
                <w:sz w:val="18"/>
                <w:szCs w:val="18"/>
              </w:rPr>
            </w:pPr>
            <w:r w:rsidDel="00000000" w:rsidR="00000000" w:rsidRPr="00000000">
              <w:rPr>
                <w:rFonts w:ascii="Times New Roman" w:cs="Times New Roman" w:eastAsia="Times New Roman" w:hAnsi="Times New Roman"/>
                <w:color w:val="7030a0"/>
                <w:sz w:val="18"/>
                <w:szCs w:val="18"/>
                <w:rtl w:val="0"/>
              </w:rPr>
              <w:t xml:space="preserve">5) здійснює інші повноваження, передбачені Положенням про Громадську раду.</w:t>
            </w:r>
          </w:p>
        </w:tc>
      </w:tr>
    </w:tbl>
    <w:p w:rsidR="00000000" w:rsidDel="00000000" w:rsidP="00000000" w:rsidRDefault="00000000" w:rsidRPr="00000000" w14:paraId="0000016D">
      <w:pPr>
        <w:spacing w:after="0"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16E">
      <w:pPr>
        <w:jc w:val="right"/>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Додаток 4</w:t>
      </w:r>
    </w:p>
    <w:p w:rsidR="00000000" w:rsidDel="00000000" w:rsidP="00000000" w:rsidRDefault="00000000" w:rsidRPr="00000000" w14:paraId="0000016F">
      <w:pPr>
        <w:spacing w:after="12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Порівняння статусів та вимог до кандидатур у члени громадських рад (ГР) та рад громадського контролю (РГК)</w:t>
      </w:r>
    </w:p>
    <w:tbl>
      <w:tblPr>
        <w:tblStyle w:val="Table5"/>
        <w:tblW w:w="14459.0" w:type="dxa"/>
        <w:jc w:val="left"/>
        <w:tblInd w:w="-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099"/>
        <w:gridCol w:w="2226"/>
        <w:gridCol w:w="2227"/>
        <w:gridCol w:w="2227"/>
        <w:gridCol w:w="2226"/>
        <w:gridCol w:w="2227"/>
        <w:gridCol w:w="2227"/>
        <w:tblGridChange w:id="0">
          <w:tblGrid>
            <w:gridCol w:w="1099"/>
            <w:gridCol w:w="2226"/>
            <w:gridCol w:w="2227"/>
            <w:gridCol w:w="2227"/>
            <w:gridCol w:w="2226"/>
            <w:gridCol w:w="2227"/>
            <w:gridCol w:w="2227"/>
          </w:tblGrid>
        </w:tblGridChange>
      </w:tblGrid>
      <w:tr>
        <w:trPr>
          <w:cantSplit w:val="0"/>
          <w:trHeight w:val="688" w:hRule="atLeast"/>
          <w:tblHeader w:val="1"/>
        </w:trPr>
        <w:tc>
          <w:tcPr>
            <w:vAlign w:val="center"/>
          </w:tcPr>
          <w:p w:rsidR="00000000" w:rsidDel="00000000" w:rsidP="00000000" w:rsidRDefault="00000000" w:rsidRPr="00000000" w14:paraId="00000170">
            <w:pPr>
              <w:jc w:val="center"/>
              <w:rPr>
                <w:rFonts w:ascii="Times New Roman" w:cs="Times New Roman" w:eastAsia="Times New Roman" w:hAnsi="Times New Roman"/>
                <w:b w:val="1"/>
                <w:sz w:val="18"/>
                <w:szCs w:val="18"/>
              </w:rPr>
            </w:pPr>
            <w:r w:rsidDel="00000000" w:rsidR="00000000" w:rsidRPr="00000000">
              <w:rPr>
                <w:rtl w:val="0"/>
              </w:rPr>
            </w:r>
          </w:p>
        </w:tc>
        <w:tc>
          <w:tcPr/>
          <w:p w:rsidR="00000000" w:rsidDel="00000000" w:rsidP="00000000" w:rsidRDefault="00000000" w:rsidRPr="00000000" w14:paraId="00000171">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ГР при ОВВ</w:t>
            </w:r>
          </w:p>
          <w:p w:rsidR="00000000" w:rsidDel="00000000" w:rsidP="00000000" w:rsidRDefault="00000000" w:rsidRPr="00000000" w14:paraId="00000172">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(ПКМУ від 03.11.2010 № 996)</w:t>
            </w:r>
          </w:p>
        </w:tc>
        <w:tc>
          <w:tcPr/>
          <w:p w:rsidR="00000000" w:rsidDel="00000000" w:rsidP="00000000" w:rsidRDefault="00000000" w:rsidRPr="00000000" w14:paraId="00000173">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ГР при НАЗК</w:t>
            </w:r>
          </w:p>
          <w:p w:rsidR="00000000" w:rsidDel="00000000" w:rsidP="00000000" w:rsidRDefault="00000000" w:rsidRPr="00000000" w14:paraId="00000174">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(ПКМУ від 20.11.2019 № 952)</w:t>
            </w:r>
            <w:r w:rsidDel="00000000" w:rsidR="00000000" w:rsidRPr="00000000">
              <w:rPr>
                <w:rtl w:val="0"/>
              </w:rPr>
            </w:r>
          </w:p>
        </w:tc>
        <w:tc>
          <w:tcPr>
            <w:vAlign w:val="center"/>
          </w:tcPr>
          <w:p w:rsidR="00000000" w:rsidDel="00000000" w:rsidP="00000000" w:rsidRDefault="00000000" w:rsidRPr="00000000" w14:paraId="00000175">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РГК при НАБУ</w:t>
            </w:r>
          </w:p>
          <w:p w:rsidR="00000000" w:rsidDel="00000000" w:rsidP="00000000" w:rsidRDefault="00000000" w:rsidRPr="00000000" w14:paraId="00000176">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sz w:val="18"/>
                <w:szCs w:val="18"/>
                <w:rtl w:val="0"/>
              </w:rPr>
              <w:t xml:space="preserve">(ПКМУ від 16.02.2022 № 132)</w:t>
            </w:r>
            <w:r w:rsidDel="00000000" w:rsidR="00000000" w:rsidRPr="00000000">
              <w:rPr>
                <w:rtl w:val="0"/>
              </w:rPr>
            </w:r>
          </w:p>
        </w:tc>
        <w:tc>
          <w:tcPr>
            <w:vAlign w:val="center"/>
          </w:tcPr>
          <w:p w:rsidR="00000000" w:rsidDel="00000000" w:rsidP="00000000" w:rsidRDefault="00000000" w:rsidRPr="00000000" w14:paraId="00000177">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РГК при ДБР</w:t>
            </w:r>
          </w:p>
          <w:p w:rsidR="00000000" w:rsidDel="00000000" w:rsidP="00000000" w:rsidRDefault="00000000" w:rsidRPr="00000000" w14:paraId="00000178">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(УП від 05.02.2020 № 42/2020)</w:t>
            </w:r>
          </w:p>
        </w:tc>
        <w:tc>
          <w:tcPr>
            <w:vAlign w:val="center"/>
          </w:tcPr>
          <w:p w:rsidR="00000000" w:rsidDel="00000000" w:rsidP="00000000" w:rsidRDefault="00000000" w:rsidRPr="00000000" w14:paraId="00000179">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РГК при БЕБ</w:t>
            </w:r>
          </w:p>
          <w:p w:rsidR="00000000" w:rsidDel="00000000" w:rsidP="00000000" w:rsidRDefault="00000000" w:rsidRPr="00000000" w14:paraId="0000017A">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(ПКМУ від 18.08.2021 № 872)</w:t>
            </w:r>
          </w:p>
        </w:tc>
        <w:tc>
          <w:tcPr>
            <w:vAlign w:val="center"/>
          </w:tcPr>
          <w:p w:rsidR="00000000" w:rsidDel="00000000" w:rsidP="00000000" w:rsidRDefault="00000000" w:rsidRPr="00000000" w14:paraId="0000017B">
            <w:pPr>
              <w:spacing w:after="0" w:line="240" w:lineRule="auto"/>
              <w:jc w:val="center"/>
              <w:rPr>
                <w:rFonts w:ascii="Times New Roman" w:cs="Times New Roman" w:eastAsia="Times New Roman" w:hAnsi="Times New Roman"/>
                <w:b w:val="1"/>
                <w:sz w:val="18"/>
                <w:szCs w:val="18"/>
              </w:rPr>
            </w:pPr>
            <w:r w:rsidDel="00000000" w:rsidR="00000000" w:rsidRPr="00000000">
              <w:rPr>
                <w:rFonts w:ascii="Times New Roman" w:cs="Times New Roman" w:eastAsia="Times New Roman" w:hAnsi="Times New Roman"/>
                <w:b w:val="1"/>
                <w:sz w:val="18"/>
                <w:szCs w:val="18"/>
                <w:rtl w:val="0"/>
              </w:rPr>
              <w:t xml:space="preserve">РГК при НСЗ</w:t>
            </w:r>
          </w:p>
          <w:p w:rsidR="00000000" w:rsidDel="00000000" w:rsidP="00000000" w:rsidRDefault="00000000" w:rsidRPr="00000000" w14:paraId="0000017C">
            <w:pPr>
              <w:spacing w:after="0" w:line="240" w:lineRule="auto"/>
              <w:jc w:val="center"/>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(ПКМУ від 23.04.2024 № 437)</w:t>
            </w:r>
          </w:p>
        </w:tc>
      </w:tr>
      <w:tr>
        <w:trPr>
          <w:cantSplit w:val="0"/>
          <w:trHeight w:val="530" w:hRule="atLeast"/>
          <w:tblHeader w:val="0"/>
        </w:trPr>
        <w:tc>
          <w:tcPr/>
          <w:p w:rsidR="00000000" w:rsidDel="00000000" w:rsidP="00000000" w:rsidRDefault="00000000" w:rsidRPr="00000000" w14:paraId="0000017D">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Статус органу</w:t>
            </w:r>
          </w:p>
        </w:tc>
        <w:tc>
          <w:tcPr/>
          <w:p w:rsidR="00000000" w:rsidDel="00000000" w:rsidP="00000000" w:rsidRDefault="00000000" w:rsidRPr="00000000" w14:paraId="0000017E">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Тимчасовий консультативно-дорадчий орган</w:t>
            </w:r>
          </w:p>
        </w:tc>
        <w:tc>
          <w:tcPr/>
          <w:p w:rsidR="00000000" w:rsidDel="00000000" w:rsidP="00000000" w:rsidRDefault="00000000" w:rsidRPr="00000000" w14:paraId="0000017F">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Колегіальний орган</w:t>
            </w:r>
          </w:p>
        </w:tc>
        <w:tc>
          <w:tcPr/>
          <w:p w:rsidR="00000000" w:rsidDel="00000000" w:rsidP="00000000" w:rsidRDefault="00000000" w:rsidRPr="00000000" w14:paraId="00000180">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Постійно діючий колегіальний консультативно-дорадчий виборний орган</w:t>
            </w:r>
          </w:p>
        </w:tc>
        <w:tc>
          <w:tcPr/>
          <w:p w:rsidR="00000000" w:rsidDel="00000000" w:rsidP="00000000" w:rsidRDefault="00000000" w:rsidRPr="00000000" w14:paraId="00000181">
            <w:pPr>
              <w:spacing w:after="0" w:line="240" w:lineRule="auto"/>
              <w:rPr>
                <w:rFonts w:ascii="Times New Roman" w:cs="Times New Roman" w:eastAsia="Times New Roman" w:hAnsi="Times New Roman"/>
                <w:color w:val="333333"/>
                <w:sz w:val="18"/>
                <w:szCs w:val="18"/>
                <w:highlight w:val="white"/>
              </w:rPr>
            </w:pPr>
            <w:r w:rsidDel="00000000" w:rsidR="00000000" w:rsidRPr="00000000">
              <w:rPr>
                <w:rFonts w:ascii="Times New Roman" w:cs="Times New Roman" w:eastAsia="Times New Roman" w:hAnsi="Times New Roman"/>
                <w:sz w:val="18"/>
                <w:szCs w:val="18"/>
                <w:rtl w:val="0"/>
              </w:rPr>
              <w:t xml:space="preserve">Колегіальний консультативно-дорадчий орган</w:t>
            </w:r>
            <w:r w:rsidDel="00000000" w:rsidR="00000000" w:rsidRPr="00000000">
              <w:rPr>
                <w:rtl w:val="0"/>
              </w:rPr>
            </w:r>
          </w:p>
        </w:tc>
        <w:tc>
          <w:tcPr/>
          <w:p w:rsidR="00000000" w:rsidDel="00000000" w:rsidP="00000000" w:rsidRDefault="00000000" w:rsidRPr="00000000" w14:paraId="00000182">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color w:val="333333"/>
                <w:sz w:val="18"/>
                <w:szCs w:val="18"/>
                <w:highlight w:val="white"/>
                <w:rtl w:val="0"/>
              </w:rPr>
              <w:t xml:space="preserve">Постійно діючий колегіальний виборний орган</w:t>
            </w:r>
            <w:r w:rsidDel="00000000" w:rsidR="00000000" w:rsidRPr="00000000">
              <w:rPr>
                <w:rtl w:val="0"/>
              </w:rPr>
            </w:r>
          </w:p>
        </w:tc>
        <w:tc>
          <w:tcPr/>
          <w:p w:rsidR="00000000" w:rsidDel="00000000" w:rsidP="00000000" w:rsidRDefault="00000000" w:rsidRPr="00000000" w14:paraId="00000183">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Колегіальний орган</w:t>
            </w:r>
          </w:p>
        </w:tc>
      </w:tr>
      <w:tr>
        <w:trPr>
          <w:cantSplit w:val="0"/>
          <w:trHeight w:val="6953" w:hRule="atLeast"/>
          <w:tblHeader w:val="0"/>
        </w:trPr>
        <w:tc>
          <w:tcPr/>
          <w:p w:rsidR="00000000" w:rsidDel="00000000" w:rsidP="00000000" w:rsidRDefault="00000000" w:rsidRPr="00000000" w14:paraId="00000184">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Вимоги до кандидатур</w:t>
            </w:r>
          </w:p>
        </w:tc>
        <w:tc>
          <w:tcPr/>
          <w:p w:rsidR="00000000" w:rsidDel="00000000" w:rsidP="00000000" w:rsidRDefault="00000000" w:rsidRPr="00000000" w14:paraId="00000185">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До складу громадської ради при міністерстві, іншому центральному органі виконавчої влади можуть бути обрані представники інститутів громадянського суспільства, які не менше шести місяців до дати оприлюднення органом виконавчої влади повідомлення про формування складу громадської ради провадять свою діяльність, реалізують свої проекти у сфері, пов’язаній з діяльністю відповідного органу виконавчої влади, що підтверджується інформацією про результати діяльності інституту громадянського суспільства, та в статуті (положенні) яких визначені відповідні цілі і завдання діяльності.</w:t>
            </w:r>
          </w:p>
        </w:tc>
        <w:tc>
          <w:tcPr/>
          <w:p w:rsidR="00000000" w:rsidDel="00000000" w:rsidP="00000000" w:rsidRDefault="00000000" w:rsidRPr="00000000" w14:paraId="00000186">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Не встановлено</w:t>
            </w:r>
          </w:p>
          <w:p w:rsidR="00000000" w:rsidDel="00000000" w:rsidP="00000000" w:rsidRDefault="00000000" w:rsidRPr="00000000" w14:paraId="00000187">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8">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[Норми закону:</w:t>
            </w:r>
          </w:p>
          <w:p w:rsidR="00000000" w:rsidDel="00000000" w:rsidP="00000000" w:rsidRDefault="00000000" w:rsidRPr="00000000" w14:paraId="00000189">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Кандидатури для участі в конкурсі з формування складу Громадської ради при Національному агентстві подаються громадськими об’єднаннями, які здійснюють діяльність у сфері </w:t>
            </w:r>
          </w:p>
          <w:p w:rsidR="00000000" w:rsidDel="00000000" w:rsidP="00000000" w:rsidRDefault="00000000" w:rsidRPr="00000000" w14:paraId="0000018A">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B">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запобігання та/або протидії корупції </w:t>
            </w:r>
          </w:p>
          <w:p w:rsidR="00000000" w:rsidDel="00000000" w:rsidP="00000000" w:rsidRDefault="00000000" w:rsidRPr="00000000" w14:paraId="0000018C">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D">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E">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8F">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0">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1">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2">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3">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4">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5">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6">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7">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8">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не менше двох років та мають підтвердження реалізованих ними проектів</w:t>
            </w:r>
          </w:p>
          <w:p w:rsidR="00000000" w:rsidDel="00000000" w:rsidP="00000000" w:rsidRDefault="00000000" w:rsidRPr="00000000" w14:paraId="00000199">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(ст.14 ЗУ «Про запобігання корупції»)]</w:t>
            </w:r>
          </w:p>
        </w:tc>
        <w:tc>
          <w:tcPr/>
          <w:p w:rsidR="00000000" w:rsidDel="00000000" w:rsidP="00000000" w:rsidRDefault="00000000" w:rsidRPr="00000000" w14:paraId="0000019A">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5. Кандидатури для участі у конкурсі подаються громадськими об’єднаннями, державна реєстрація яких відбулася не менше ніж за рік до дня оголошення конкурсу та статутна діяльність яких пов’язана із </w:t>
            </w:r>
          </w:p>
          <w:p w:rsidR="00000000" w:rsidDel="00000000" w:rsidP="00000000" w:rsidRDefault="00000000" w:rsidRPr="00000000" w14:paraId="0000019B">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C">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D">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E">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9F">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запобіганням та протидією корупції</w:t>
            </w:r>
          </w:p>
        </w:tc>
        <w:tc>
          <w:tcPr/>
          <w:p w:rsidR="00000000" w:rsidDel="00000000" w:rsidP="00000000" w:rsidRDefault="00000000" w:rsidRPr="00000000" w14:paraId="000001A0">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Не встановлено</w:t>
            </w:r>
          </w:p>
          <w:p w:rsidR="00000000" w:rsidDel="00000000" w:rsidP="00000000" w:rsidRDefault="00000000" w:rsidRPr="00000000" w14:paraId="000001A1">
            <w:pPr>
              <w:spacing w:after="0" w:line="240" w:lineRule="auto"/>
              <w:rPr>
                <w:rFonts w:ascii="Times New Roman" w:cs="Times New Roman" w:eastAsia="Times New Roman" w:hAnsi="Times New Roman"/>
                <w:sz w:val="18"/>
                <w:szCs w:val="18"/>
              </w:rPr>
            </w:pPr>
            <w:r w:rsidDel="00000000" w:rsidR="00000000" w:rsidRPr="00000000">
              <w:rPr>
                <w:rtl w:val="0"/>
              </w:rPr>
            </w:r>
          </w:p>
        </w:tc>
        <w:tc>
          <w:tcPr/>
          <w:p w:rsidR="00000000" w:rsidDel="00000000" w:rsidP="00000000" w:rsidRDefault="00000000" w:rsidRPr="00000000" w14:paraId="000001A2">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6. Пропозиції щодо кандидатур для участі в конкурсі подаються громадськими об’єднаннями, які провадять діяльність у сфері </w:t>
            </w:r>
          </w:p>
          <w:p w:rsidR="00000000" w:rsidDel="00000000" w:rsidP="00000000" w:rsidRDefault="00000000" w:rsidRPr="00000000" w14:paraId="000001A3">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4">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реформування системи кримінальної юстиції, </w:t>
            </w:r>
          </w:p>
          <w:p w:rsidR="00000000" w:rsidDel="00000000" w:rsidP="00000000" w:rsidRDefault="00000000" w:rsidRPr="00000000" w14:paraId="000001A5">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6">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7">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8">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запобігання та/або протидії корупції, </w:t>
            </w:r>
          </w:p>
          <w:p w:rsidR="00000000" w:rsidDel="00000000" w:rsidP="00000000" w:rsidRDefault="00000000" w:rsidRPr="00000000" w14:paraId="000001A9">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A">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захисту прав та інтересів бізнесу </w:t>
            </w:r>
          </w:p>
          <w:p w:rsidR="00000000" w:rsidDel="00000000" w:rsidP="00000000" w:rsidRDefault="00000000" w:rsidRPr="00000000" w14:paraId="000001AB">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C">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D">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E">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AF">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0">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1">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2">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3">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4">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протягом не менше двох років та мають підтвердження реалізованих ними проектів у вигляді звітів, які можуть бути подані у довільній формі...</w:t>
            </w:r>
          </w:p>
        </w:tc>
        <w:tc>
          <w:tcPr/>
          <w:p w:rsidR="00000000" w:rsidDel="00000000" w:rsidP="00000000" w:rsidRDefault="00000000" w:rsidRPr="00000000" w14:paraId="000001B5">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8. Пропозиції щодо кандидатур для участі у конкурсі мають право подавати громадські об’єднання, статутна діяльність яких пов’язана із </w:t>
            </w:r>
          </w:p>
          <w:p w:rsidR="00000000" w:rsidDel="00000000" w:rsidP="00000000" w:rsidRDefault="00000000" w:rsidRPr="00000000" w14:paraId="000001B6">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7">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забезпеченням та захистом прав і свобод пацієнтів, </w:t>
            </w:r>
          </w:p>
          <w:p w:rsidR="00000000" w:rsidDel="00000000" w:rsidP="00000000" w:rsidRDefault="00000000" w:rsidRPr="00000000" w14:paraId="000001B8">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9">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сприянням розвитку охорони здоров’я, </w:t>
            </w:r>
          </w:p>
          <w:p w:rsidR="00000000" w:rsidDel="00000000" w:rsidP="00000000" w:rsidRDefault="00000000" w:rsidRPr="00000000" w14:paraId="000001BA">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B">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наданням медичних послуг, </w:t>
            </w:r>
          </w:p>
          <w:p w:rsidR="00000000" w:rsidDel="00000000" w:rsidP="00000000" w:rsidRDefault="00000000" w:rsidRPr="00000000" w14:paraId="000001BC">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D">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обігом лікарських засобів та </w:t>
            </w:r>
          </w:p>
          <w:p w:rsidR="00000000" w:rsidDel="00000000" w:rsidP="00000000" w:rsidRDefault="00000000" w:rsidRPr="00000000" w14:paraId="000001BE">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BF">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іншими суспільними відносинами щодо надання медичних послуг та/або спрямована на протидію корупції </w:t>
            </w:r>
          </w:p>
          <w:p w:rsidR="00000000" w:rsidDel="00000000" w:rsidP="00000000" w:rsidRDefault="00000000" w:rsidRPr="00000000" w14:paraId="000001C0">
            <w:pPr>
              <w:spacing w:after="0" w:line="240" w:lineRule="auto"/>
              <w:rPr>
                <w:rFonts w:ascii="Times New Roman" w:cs="Times New Roman" w:eastAsia="Times New Roman" w:hAnsi="Times New Roman"/>
                <w:sz w:val="18"/>
                <w:szCs w:val="18"/>
              </w:rPr>
            </w:pPr>
            <w:r w:rsidDel="00000000" w:rsidR="00000000" w:rsidRPr="00000000">
              <w:rPr>
                <w:rtl w:val="0"/>
              </w:rPr>
            </w:r>
          </w:p>
          <w:p w:rsidR="00000000" w:rsidDel="00000000" w:rsidP="00000000" w:rsidRDefault="00000000" w:rsidRPr="00000000" w14:paraId="000001C1">
            <w:pPr>
              <w:spacing w:after="0" w:line="240" w:lineRule="auto"/>
              <w:rPr>
                <w:rFonts w:ascii="Times New Roman" w:cs="Times New Roman" w:eastAsia="Times New Roman" w:hAnsi="Times New Roman"/>
                <w:sz w:val="18"/>
                <w:szCs w:val="18"/>
              </w:rPr>
            </w:pPr>
            <w:r w:rsidDel="00000000" w:rsidR="00000000" w:rsidRPr="00000000">
              <w:rPr>
                <w:rFonts w:ascii="Times New Roman" w:cs="Times New Roman" w:eastAsia="Times New Roman" w:hAnsi="Times New Roman"/>
                <w:sz w:val="18"/>
                <w:szCs w:val="18"/>
                <w:rtl w:val="0"/>
              </w:rPr>
              <w:t xml:space="preserve">та які займаються таким видом діяльності не менше трьох років...</w:t>
            </w:r>
          </w:p>
        </w:tc>
      </w:tr>
    </w:tbl>
    <w:p w:rsidR="00000000" w:rsidDel="00000000" w:rsidP="00000000" w:rsidRDefault="00000000" w:rsidRPr="00000000" w14:paraId="000001C2">
      <w:pPr>
        <w:jc w:val="center"/>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1C3">
      <w:pPr>
        <w:jc w:val="right"/>
        <w:rPr>
          <w:rFonts w:ascii="Times New Roman" w:cs="Times New Roman" w:eastAsia="Times New Roman" w:hAnsi="Times New Roman"/>
          <w:b w:val="1"/>
          <w:sz w:val="28"/>
          <w:szCs w:val="28"/>
        </w:rPr>
      </w:pPr>
      <w:r w:rsidDel="00000000" w:rsidR="00000000" w:rsidRPr="00000000">
        <w:br w:type="page"/>
      </w:r>
      <w:r w:rsidDel="00000000" w:rsidR="00000000" w:rsidRPr="00000000">
        <w:rPr>
          <w:rFonts w:ascii="Times New Roman" w:cs="Times New Roman" w:eastAsia="Times New Roman" w:hAnsi="Times New Roman"/>
          <w:b w:val="1"/>
          <w:sz w:val="28"/>
          <w:szCs w:val="28"/>
          <w:rtl w:val="0"/>
        </w:rPr>
        <w:t xml:space="preserve">Додаток 5</w:t>
      </w:r>
    </w:p>
    <w:p w:rsidR="00000000" w:rsidDel="00000000" w:rsidP="00000000" w:rsidRDefault="00000000" w:rsidRPr="00000000" w14:paraId="000001C4">
      <w:pPr>
        <w:jc w:val="right"/>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Pr>
        <w:drawing>
          <wp:inline distB="0" distT="0" distL="0" distR="0">
            <wp:extent cx="9248140" cy="5923280"/>
            <wp:effectExtent b="0" l="0" r="0" t="0"/>
            <wp:docPr id="9" name="image2.jpg"/>
            <a:graphic>
              <a:graphicData uri="http://schemas.openxmlformats.org/drawingml/2006/picture">
                <pic:pic>
                  <pic:nvPicPr>
                    <pic:cNvPr id="0" name="image2.jpg"/>
                    <pic:cNvPicPr preferRelativeResize="0"/>
                  </pic:nvPicPr>
                  <pic:blipFill>
                    <a:blip r:embed="rId13"/>
                    <a:srcRect b="0" l="0" r="0" t="0"/>
                    <a:stretch>
                      <a:fillRect/>
                    </a:stretch>
                  </pic:blipFill>
                  <pic:spPr>
                    <a:xfrm>
                      <a:off x="0" y="0"/>
                      <a:ext cx="9248140" cy="5923280"/>
                    </a:xfrm>
                    <a:prstGeom prst="rect"/>
                    <a:ln/>
                  </pic:spPr>
                </pic:pic>
              </a:graphicData>
            </a:graphic>
          </wp:inline>
        </w:drawing>
      </w:r>
      <w:r w:rsidDel="00000000" w:rsidR="00000000" w:rsidRPr="00000000">
        <w:rPr>
          <w:rtl w:val="0"/>
        </w:rPr>
      </w:r>
    </w:p>
    <w:sectPr>
      <w:type w:val="nextPage"/>
      <w:pgSz w:h="12240" w:w="15840" w:orient="landscape"/>
      <w:pgMar w:bottom="1276" w:top="760" w:left="709" w:right="567" w:header="709" w:footer="709"/>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1C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677"/>
        <w:tab w:val="right" w:leader="none" w:pos="9355"/>
      </w:tabs>
      <w:spacing w:after="0" w:before="0" w:line="240" w:lineRule="auto"/>
      <w:ind w:left="0" w:right="0" w:firstLine="0"/>
      <w:jc w:val="left"/>
      <w:rPr>
        <w:rFonts w:ascii="Times New Roman" w:cs="Times New Roman" w:eastAsia="Times New Roman" w:hAnsi="Times New Roman"/>
        <w:b w:val="0"/>
        <w:i w:val="0"/>
        <w:smallCaps w:val="0"/>
        <w:strike w:val="0"/>
        <w:color w:val="000000"/>
        <w:sz w:val="22"/>
        <w:szCs w:val="22"/>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Додаток №1 до </w:t>
    </w:r>
    <w:r w:rsidDel="00000000" w:rsidR="00000000" w:rsidRPr="00000000">
      <w:rPr>
        <w:rFonts w:ascii="Times New Roman" w:cs="Times New Roman" w:eastAsia="Times New Roman" w:hAnsi="Times New Roman"/>
        <w:rtl w:val="0"/>
      </w:rPr>
      <w:t xml:space="preserve">Протоколу № 10 ГР при МФУ</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 від </w:t>
    </w:r>
    <w:r w:rsidDel="00000000" w:rsidR="00000000" w:rsidRPr="00000000">
      <w:rPr>
        <w:rFonts w:ascii="Times New Roman" w:cs="Times New Roman" w:eastAsia="Times New Roman" w:hAnsi="Times New Roman"/>
        <w:rtl w:val="0"/>
      </w:rPr>
      <w:t xml:space="preserve">30</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.0</w:t>
    </w:r>
    <w:r w:rsidDel="00000000" w:rsidR="00000000" w:rsidRPr="00000000">
      <w:rPr>
        <w:rFonts w:ascii="Times New Roman" w:cs="Times New Roman" w:eastAsia="Times New Roman" w:hAnsi="Times New Roman"/>
        <w:rtl w:val="0"/>
      </w:rPr>
      <w:t xml:space="preserve">6</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.2025</w:t>
      <w:tab/>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PAGE</w:instrText>
      <w:fldChar w:fldCharType="separate"/>
      <w:fldChar w:fldCharType="end"/>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tl w:val="0"/>
      </w:rPr>
      <w:t xml:space="preserve">/</w:t>
    </w:r>
    <w:r w:rsidDel="00000000" w:rsidR="00000000" w:rsidRPr="00000000">
      <w:rPr>
        <w:rFonts w:ascii="Times New Roman" w:cs="Times New Roman" w:eastAsia="Times New Roman" w:hAnsi="Times New Roman"/>
        <w:b w:val="0"/>
        <w:i w:val="0"/>
        <w:smallCaps w:val="0"/>
        <w:strike w:val="0"/>
        <w:color w:val="000000"/>
        <w:sz w:val="22"/>
        <w:szCs w:val="22"/>
        <w:u w:val="none"/>
        <w:shd w:fill="auto" w:val="clear"/>
        <w:vertAlign w:val="baseline"/>
      </w:rPr>
      <w:fldChar w:fldCharType="begin"/>
      <w:instrText xml:space="preserve">NUMPAGES</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uk"/>
      </w:rPr>
    </w:rPrDefault>
    <w:pPrDefault>
      <w:pPr>
        <w:spacing w:after="200"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character" w:styleId="Hyperlink">
    <w:name w:val="Hyperlink"/>
    <w:basedOn w:val="DefaultParagraphFont"/>
    <w:uiPriority w:val="99"/>
    <w:unhideWhenUsed w:val="1"/>
    <w:rsid w:val="002D0EEF"/>
    <w:rPr>
      <w:color w:val="0000ff"/>
      <w:u w:val="single"/>
    </w:rPr>
  </w:style>
  <w:style w:type="paragraph" w:styleId="ListParagraph">
    <w:name w:val="List Paragraph"/>
    <w:basedOn w:val="Normal"/>
    <w:uiPriority w:val="34"/>
    <w:qFormat w:val="1"/>
    <w:rsid w:val="00D35E4D"/>
    <w:pPr>
      <w:ind w:left="720"/>
      <w:contextualSpacing w:val="1"/>
    </w:pPr>
  </w:style>
  <w:style w:type="character" w:styleId="UnresolvedMention">
    <w:name w:val="Unresolved Mention"/>
    <w:basedOn w:val="DefaultParagraphFont"/>
    <w:uiPriority w:val="99"/>
    <w:semiHidden w:val="1"/>
    <w:unhideWhenUsed w:val="1"/>
    <w:rsid w:val="002D6130"/>
    <w:rPr>
      <w:color w:val="605e5c"/>
      <w:shd w:color="auto" w:fill="e1dfdd" w:val="clear"/>
    </w:rPr>
  </w:style>
  <w:style w:type="table" w:styleId="TableGrid">
    <w:name w:val="Table Grid"/>
    <w:basedOn w:val="TableNormal"/>
    <w:uiPriority w:val="39"/>
    <w:rsid w:val="00CE5619"/>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Header">
    <w:name w:val="header"/>
    <w:basedOn w:val="Normal"/>
    <w:link w:val="HeaderChar"/>
    <w:uiPriority w:val="99"/>
    <w:unhideWhenUsed w:val="1"/>
    <w:rsid w:val="000E6537"/>
    <w:pPr>
      <w:tabs>
        <w:tab w:val="center" w:pos="4677"/>
        <w:tab w:val="right" w:pos="9355"/>
      </w:tabs>
      <w:spacing w:after="0" w:line="240" w:lineRule="auto"/>
    </w:pPr>
  </w:style>
  <w:style w:type="character" w:styleId="HeaderChar" w:customStyle="1">
    <w:name w:val="Header Char"/>
    <w:basedOn w:val="DefaultParagraphFont"/>
    <w:link w:val="Header"/>
    <w:uiPriority w:val="99"/>
    <w:rsid w:val="000E6537"/>
    <w:rPr>
      <w:sz w:val="22"/>
      <w:szCs w:val="22"/>
      <w:lang w:eastAsia="en-US" w:val="en-US"/>
    </w:rPr>
  </w:style>
  <w:style w:type="paragraph" w:styleId="Footer">
    <w:name w:val="footer"/>
    <w:basedOn w:val="Normal"/>
    <w:link w:val="FooterChar"/>
    <w:uiPriority w:val="99"/>
    <w:unhideWhenUsed w:val="1"/>
    <w:rsid w:val="000E6537"/>
    <w:pPr>
      <w:tabs>
        <w:tab w:val="center" w:pos="4677"/>
        <w:tab w:val="right" w:pos="9355"/>
      </w:tabs>
      <w:spacing w:after="0" w:line="240" w:lineRule="auto"/>
    </w:pPr>
  </w:style>
  <w:style w:type="character" w:styleId="FooterChar" w:customStyle="1">
    <w:name w:val="Footer Char"/>
    <w:basedOn w:val="DefaultParagraphFont"/>
    <w:link w:val="Footer"/>
    <w:uiPriority w:val="99"/>
    <w:rsid w:val="000E6537"/>
    <w:rPr>
      <w:sz w:val="22"/>
      <w:szCs w:val="22"/>
      <w:lang w:eastAsia="en-US" w:val="en-US"/>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15.0" w:type="dxa"/>
        <w:bottom w:w="0.0" w:type="dxa"/>
        <w:right w:w="115.0" w:type="dxa"/>
      </w:tblCellMar>
    </w:tblPr>
  </w:style>
  <w:style w:type="table" w:styleId="Table4">
    <w:basedOn w:val="TableNormal"/>
    <w:tblPr>
      <w:tblStyleRowBandSize w:val="1"/>
      <w:tblStyleColBandSize w:val="1"/>
      <w:tblCellMar>
        <w:top w:w="0.0" w:type="dxa"/>
        <w:left w:w="115.0" w:type="dxa"/>
        <w:bottom w:w="0.0" w:type="dxa"/>
        <w:right w:w="115.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1" Type="http://schemas.openxmlformats.org/officeDocument/2006/relationships/footer" Target="footer1.xml"/><Relationship Id="rId10" Type="http://schemas.openxmlformats.org/officeDocument/2006/relationships/hyperlink" Target="https://dap.nazk.gov.ua/zahid/614/" TargetMode="External"/><Relationship Id="rId13" Type="http://schemas.openxmlformats.org/officeDocument/2006/relationships/image" Target="media/image2.jpg"/><Relationship Id="rId12" Type="http://schemas.openxmlformats.org/officeDocument/2006/relationships/image" Target="media/image1.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nazk.gov.ua/pdfjs/?file=/wp-content/uploads/Pages/c7/d9/c7d966b5881db9b9e805516489c27c1c0a4fe9187ed1a935fe073a9c43207f78252739.pdf" TargetMode="Externa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nazk.gov.ua/uk/proekt-zakonu-ukrainy-pro-vnesennya-zmin-do-mytnogo-kodeksu-ukrainy-schodo-vyznachennya-pravovogo-statusu-gromadskoi-rady-pry-tsentralnomu-organi-vykonavchoi-vlady-scho-realizue-derzhavnu-mytnu-polityku/" TargetMode="External"/><Relationship Id="rId8" Type="http://schemas.openxmlformats.org/officeDocument/2006/relationships/hyperlink" Target="https://nazk.gov.ua/uk/derzhavna-antykoruptsijna-program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O/7QPOYT+12XpONdXPeisQUqlcA==">CgMxLjAyDGguOTZ6YzJ6OG9wNjgAciExMTVENGE3ZFBYcUV4TEVyNngtR1VXVUt2dFdBa0tWMnk=</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2025-06-27T08:20:00Z</dcterms:created>
  <dc:creator>x1</dc:creator>
</cp:coreProperties>
</file>