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D3" w:rsidRDefault="00DC0E0F" w:rsidP="00715BD3">
      <w:pPr>
        <w:pStyle w:val="a5"/>
        <w:spacing w:before="240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5645" cy="954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D3" w:rsidRDefault="00715BD3" w:rsidP="00715BD3">
      <w:pPr>
        <w:pStyle w:val="a5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КАБІНЕТ МІНІСТРІВ УКРАЇНИ</w:t>
      </w:r>
    </w:p>
    <w:p w:rsidR="00715BD3" w:rsidRDefault="00715BD3" w:rsidP="00715BD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</w:t>
      </w:r>
    </w:p>
    <w:p w:rsidR="00715BD3" w:rsidRDefault="00715BD3" w:rsidP="00715BD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                   </w:t>
      </w:r>
      <w:r w:rsidR="00057C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47A9">
        <w:rPr>
          <w:rFonts w:ascii="Times New Roman" w:hAnsi="Times New Roman"/>
          <w:sz w:val="28"/>
          <w:szCs w:val="28"/>
        </w:rPr>
        <w:t>5</w:t>
      </w:r>
      <w:r w:rsidRPr="00715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 № </w:t>
      </w:r>
    </w:p>
    <w:p w:rsidR="00715BD3" w:rsidRDefault="00715BD3" w:rsidP="00715BD3">
      <w:pPr>
        <w:pStyle w:val="a7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</w:t>
      </w:r>
    </w:p>
    <w:p w:rsidR="00793987" w:rsidRDefault="00793987" w:rsidP="00B014FA">
      <w:pPr>
        <w:pStyle w:val="a8"/>
        <w:spacing w:before="0" w:after="0"/>
        <w:rPr>
          <w:rFonts w:ascii="Times New Roman" w:hAnsi="Times New Roman"/>
          <w:sz w:val="28"/>
          <w:szCs w:val="28"/>
        </w:rPr>
      </w:pPr>
      <w:r w:rsidRPr="00B014FA">
        <w:rPr>
          <w:rFonts w:ascii="Times New Roman" w:hAnsi="Times New Roman"/>
          <w:sz w:val="28"/>
          <w:szCs w:val="28"/>
        </w:rPr>
        <w:t>Про проведення у 202</w:t>
      </w:r>
      <w:r w:rsidR="000247A9" w:rsidRPr="00B014FA">
        <w:rPr>
          <w:rFonts w:ascii="Times New Roman" w:hAnsi="Times New Roman"/>
          <w:sz w:val="28"/>
          <w:szCs w:val="28"/>
        </w:rPr>
        <w:t>5</w:t>
      </w:r>
      <w:r w:rsidRPr="00B014FA">
        <w:rPr>
          <w:rFonts w:ascii="Times New Roman" w:hAnsi="Times New Roman"/>
          <w:sz w:val="28"/>
          <w:szCs w:val="28"/>
        </w:rPr>
        <w:t xml:space="preserve"> році оглядів витрат</w:t>
      </w:r>
      <w:r w:rsidRPr="00B014FA">
        <w:rPr>
          <w:rFonts w:ascii="Times New Roman" w:hAnsi="Times New Roman"/>
          <w:sz w:val="28"/>
          <w:szCs w:val="28"/>
        </w:rPr>
        <w:br/>
        <w:t>державного бюджету в окремих сферах</w:t>
      </w:r>
    </w:p>
    <w:p w:rsidR="00B014FA" w:rsidRPr="00B014FA" w:rsidRDefault="00B014FA" w:rsidP="00B014FA">
      <w:pPr>
        <w:pStyle w:val="a3"/>
      </w:pPr>
    </w:p>
    <w:p w:rsidR="00EE19F3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014FA">
        <w:rPr>
          <w:rFonts w:ascii="Times New Roman" w:hAnsi="Times New Roman"/>
          <w:sz w:val="28"/>
          <w:szCs w:val="28"/>
        </w:rPr>
        <w:t>1. </w:t>
      </w:r>
      <w:bookmarkStart w:id="0" w:name="_GoBack"/>
      <w:r w:rsidR="00470FB1" w:rsidRPr="00B503B3">
        <w:rPr>
          <w:rFonts w:ascii="Times New Roman" w:hAnsi="Times New Roman"/>
          <w:sz w:val="28"/>
          <w:szCs w:val="28"/>
        </w:rPr>
        <w:t xml:space="preserve">Міністерству економіки, Міністерству закордонних справ, Міністерству у справах ветеранів, </w:t>
      </w:r>
      <w:r w:rsidRPr="00B503B3">
        <w:rPr>
          <w:rFonts w:ascii="Times New Roman" w:hAnsi="Times New Roman"/>
          <w:sz w:val="28"/>
          <w:szCs w:val="28"/>
        </w:rPr>
        <w:t>Міністерству освіти і науки</w:t>
      </w:r>
      <w:r w:rsidR="00470FB1" w:rsidRPr="00B503B3">
        <w:rPr>
          <w:rFonts w:ascii="Times New Roman" w:hAnsi="Times New Roman"/>
          <w:sz w:val="28"/>
          <w:szCs w:val="28"/>
        </w:rPr>
        <w:t>,</w:t>
      </w:r>
      <w:r w:rsidRPr="00B503B3">
        <w:rPr>
          <w:rFonts w:ascii="Times New Roman" w:hAnsi="Times New Roman"/>
          <w:sz w:val="28"/>
          <w:szCs w:val="28"/>
        </w:rPr>
        <w:t xml:space="preserve"> Міністерству охорони здо</w:t>
      </w:r>
      <w:r w:rsidR="00470FB1" w:rsidRPr="00B503B3">
        <w:rPr>
          <w:rFonts w:ascii="Times New Roman" w:hAnsi="Times New Roman"/>
          <w:sz w:val="28"/>
          <w:szCs w:val="28"/>
        </w:rPr>
        <w:t xml:space="preserve">ров’я, Міністерству енергетики, </w:t>
      </w:r>
      <w:r w:rsidRPr="00B503B3">
        <w:rPr>
          <w:rFonts w:ascii="Times New Roman" w:hAnsi="Times New Roman"/>
          <w:sz w:val="28"/>
          <w:szCs w:val="28"/>
        </w:rPr>
        <w:t>Міністерству захисту довкілля та природних ресурсів, Міністерству аграрної політики та продовольства, Міністерству розвитку громад</w:t>
      </w:r>
      <w:r w:rsidR="00470FB1" w:rsidRPr="00B503B3">
        <w:rPr>
          <w:rFonts w:ascii="Times New Roman" w:hAnsi="Times New Roman"/>
          <w:sz w:val="28"/>
          <w:szCs w:val="28"/>
        </w:rPr>
        <w:t xml:space="preserve"> та</w:t>
      </w:r>
      <w:r w:rsidRPr="00B503B3">
        <w:rPr>
          <w:rFonts w:ascii="Times New Roman" w:hAnsi="Times New Roman"/>
          <w:sz w:val="28"/>
          <w:szCs w:val="28"/>
        </w:rPr>
        <w:t xml:space="preserve"> територій, Міністерству молоді та спорту, Міністерству юстиції, Міністерству культури та </w:t>
      </w:r>
      <w:r w:rsidR="00D81D64" w:rsidRPr="00B503B3">
        <w:rPr>
          <w:rFonts w:ascii="Times New Roman" w:hAnsi="Times New Roman"/>
          <w:sz w:val="28"/>
          <w:szCs w:val="28"/>
        </w:rPr>
        <w:t>стратегічної комунікації</w:t>
      </w:r>
      <w:r w:rsidRPr="00B503B3">
        <w:rPr>
          <w:rFonts w:ascii="Times New Roman" w:hAnsi="Times New Roman"/>
          <w:sz w:val="28"/>
          <w:szCs w:val="28"/>
        </w:rPr>
        <w:t>,</w:t>
      </w:r>
      <w:r w:rsidR="00470FB1" w:rsidRPr="00B503B3">
        <w:rPr>
          <w:rFonts w:ascii="Times New Roman" w:hAnsi="Times New Roman"/>
          <w:sz w:val="28"/>
          <w:szCs w:val="28"/>
        </w:rPr>
        <w:t xml:space="preserve"> Міністерству соціальної політики,</w:t>
      </w:r>
      <w:r w:rsidRPr="00B503B3">
        <w:rPr>
          <w:rFonts w:ascii="Times New Roman" w:hAnsi="Times New Roman"/>
          <w:sz w:val="28"/>
          <w:szCs w:val="28"/>
        </w:rPr>
        <w:t xml:space="preserve"> </w:t>
      </w:r>
      <w:r w:rsidR="00470FB1" w:rsidRPr="00B503B3">
        <w:rPr>
          <w:rFonts w:ascii="Times New Roman" w:hAnsi="Times New Roman"/>
          <w:sz w:val="28"/>
          <w:szCs w:val="28"/>
        </w:rPr>
        <w:t xml:space="preserve">Державному управлінню справами, Державній інспекції ядерного регулювання, Національному агентству України з питань виявлення, розшуку та управління активами, одержаними від корупційних та інших злочинів, </w:t>
      </w:r>
      <w:r w:rsidRPr="00B503B3">
        <w:rPr>
          <w:rFonts w:ascii="Times New Roman" w:hAnsi="Times New Roman"/>
          <w:sz w:val="28"/>
          <w:szCs w:val="28"/>
        </w:rPr>
        <w:t xml:space="preserve">Національній академії </w:t>
      </w:r>
      <w:r w:rsidR="00D81D64" w:rsidRPr="00B503B3">
        <w:rPr>
          <w:rFonts w:ascii="Times New Roman" w:hAnsi="Times New Roman"/>
          <w:sz w:val="28"/>
          <w:szCs w:val="28"/>
        </w:rPr>
        <w:t>правових наук, Національній академії</w:t>
      </w:r>
      <w:r w:rsidRPr="00B503B3">
        <w:rPr>
          <w:rFonts w:ascii="Times New Roman" w:hAnsi="Times New Roman"/>
          <w:sz w:val="28"/>
          <w:szCs w:val="28"/>
        </w:rPr>
        <w:t xml:space="preserve"> наук</w:t>
      </w:r>
      <w:r w:rsidR="00470FB1" w:rsidRPr="00B503B3">
        <w:rPr>
          <w:rFonts w:ascii="Times New Roman" w:hAnsi="Times New Roman"/>
          <w:sz w:val="28"/>
          <w:szCs w:val="28"/>
        </w:rPr>
        <w:t>, Господарсько-фінансов</w:t>
      </w:r>
      <w:r w:rsidR="00713227" w:rsidRPr="00B503B3">
        <w:rPr>
          <w:rFonts w:ascii="Times New Roman" w:hAnsi="Times New Roman"/>
          <w:sz w:val="28"/>
          <w:szCs w:val="28"/>
        </w:rPr>
        <w:t>ому</w:t>
      </w:r>
      <w:r w:rsidR="00470FB1" w:rsidRPr="00B503B3">
        <w:rPr>
          <w:rFonts w:ascii="Times New Roman" w:hAnsi="Times New Roman"/>
          <w:sz w:val="28"/>
          <w:szCs w:val="28"/>
        </w:rPr>
        <w:t xml:space="preserve"> департамент</w:t>
      </w:r>
      <w:r w:rsidR="00713227" w:rsidRPr="00B503B3">
        <w:rPr>
          <w:rFonts w:ascii="Times New Roman" w:hAnsi="Times New Roman"/>
          <w:sz w:val="28"/>
          <w:szCs w:val="28"/>
        </w:rPr>
        <w:t>у</w:t>
      </w:r>
      <w:r w:rsidR="00470FB1" w:rsidRPr="00B503B3">
        <w:rPr>
          <w:rFonts w:ascii="Times New Roman" w:hAnsi="Times New Roman"/>
          <w:sz w:val="28"/>
          <w:szCs w:val="28"/>
        </w:rPr>
        <w:t xml:space="preserve"> Секретаріату Кабінету Міністрів України</w:t>
      </w:r>
      <w:r w:rsidRPr="00B503B3">
        <w:rPr>
          <w:rFonts w:ascii="Times New Roman" w:hAnsi="Times New Roman"/>
          <w:sz w:val="28"/>
          <w:szCs w:val="28"/>
        </w:rPr>
        <w:t xml:space="preserve"> провести огляди витрат державного бюджету (далі </w:t>
      </w:r>
      <w:r w:rsidR="00B014FA" w:rsidRPr="00B503B3">
        <w:rPr>
          <w:rFonts w:ascii="Times New Roman" w:hAnsi="Times New Roman"/>
          <w:sz w:val="28"/>
          <w:szCs w:val="28"/>
        </w:rPr>
        <w:t>–</w:t>
      </w:r>
      <w:r w:rsidRPr="00B503B3">
        <w:rPr>
          <w:rFonts w:ascii="Times New Roman" w:hAnsi="Times New Roman"/>
          <w:sz w:val="28"/>
          <w:szCs w:val="28"/>
        </w:rPr>
        <w:t xml:space="preserve"> огляди витрат) в окремих сферах та відповідно до цілей згідно з додатком 1. </w:t>
      </w:r>
    </w:p>
    <w:p w:rsidR="00B014FA" w:rsidRPr="00B503B3" w:rsidRDefault="00B014FA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2. Головним розпорядникам бюджетних коштів, визначеним пунктом 1 цього розпорядження, в особі їх керівників: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 xml:space="preserve">затвердити у тритижневий строк за погодженням з Міністерством фінансів склад робочих груп з проведення огляду витрат у відповідних сферах. 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 xml:space="preserve">У складі робочої групи загальна кількість представників головного розпорядника бюджетних коштів, визначеного відповідальним за проведення огляду витрат, та представників підприємств, установ та організацій, які належать до сфери його управління, </w:t>
      </w:r>
      <w:r w:rsidR="00B014FA" w:rsidRPr="00B503B3">
        <w:rPr>
          <w:rFonts w:ascii="Times New Roman" w:hAnsi="Times New Roman"/>
          <w:sz w:val="28"/>
          <w:szCs w:val="28"/>
        </w:rPr>
        <w:t>має</w:t>
      </w:r>
      <w:r w:rsidRPr="00B503B3">
        <w:rPr>
          <w:rFonts w:ascii="Times New Roman" w:hAnsi="Times New Roman"/>
          <w:sz w:val="28"/>
          <w:szCs w:val="28"/>
        </w:rPr>
        <w:t xml:space="preserve"> становити менше половини загальної кількості членів групи (з урахуванням голови робочої групи). 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 xml:space="preserve">Включити до складу кожної робочої групи не менше чотирьох незалежних експертів (представників наукових і навчальних закладів, громадських </w:t>
      </w:r>
      <w:r w:rsidRPr="00B503B3">
        <w:rPr>
          <w:rFonts w:ascii="Times New Roman" w:hAnsi="Times New Roman"/>
          <w:sz w:val="28"/>
          <w:szCs w:val="28"/>
        </w:rPr>
        <w:lastRenderedPageBreak/>
        <w:t>організацій, їх об’єднань, міжнародних та іноземних організацій, зокрема тих, співпраця з якими здійснюється у рамках реалізації про</w:t>
      </w:r>
      <w:r w:rsidR="00B014FA" w:rsidRPr="00B503B3">
        <w:rPr>
          <w:rFonts w:ascii="Times New Roman" w:hAnsi="Times New Roman"/>
          <w:sz w:val="28"/>
          <w:szCs w:val="28"/>
        </w:rPr>
        <w:t>є</w:t>
      </w:r>
      <w:r w:rsidRPr="00B503B3">
        <w:rPr>
          <w:rFonts w:ascii="Times New Roman" w:hAnsi="Times New Roman"/>
          <w:sz w:val="28"/>
          <w:szCs w:val="28"/>
        </w:rPr>
        <w:t>ктів міжнародної технічної допомоги)</w:t>
      </w:r>
      <w:r w:rsidR="00466C1C" w:rsidRPr="00B503B3">
        <w:rPr>
          <w:rFonts w:ascii="Times New Roman" w:hAnsi="Times New Roman"/>
          <w:sz w:val="28"/>
          <w:szCs w:val="28"/>
        </w:rPr>
        <w:t>, у тому числі з питань гендерної рівності</w:t>
      </w:r>
      <w:r w:rsidRPr="00B503B3">
        <w:rPr>
          <w:rFonts w:ascii="Times New Roman" w:hAnsi="Times New Roman"/>
          <w:sz w:val="28"/>
          <w:szCs w:val="28"/>
        </w:rPr>
        <w:t>;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 xml:space="preserve">забезпечити проведення оглядів витрат у відповідних сферах згідно із загальними вимогами </w:t>
      </w:r>
      <w:r w:rsidR="007236D4" w:rsidRPr="00B503B3">
        <w:rPr>
          <w:rFonts w:ascii="Times New Roman" w:hAnsi="Times New Roman"/>
          <w:sz w:val="28"/>
          <w:szCs w:val="28"/>
        </w:rPr>
        <w:t>до</w:t>
      </w:r>
      <w:r w:rsidRPr="00B503B3">
        <w:rPr>
          <w:rFonts w:ascii="Times New Roman" w:hAnsi="Times New Roman"/>
          <w:sz w:val="28"/>
          <w:szCs w:val="28"/>
        </w:rPr>
        <w:t xml:space="preserve"> проведення оглядів витрат державного бюджету, визначеними Міністерством фінансів</w:t>
      </w:r>
      <w:r w:rsidR="00DC0E0F" w:rsidRPr="00B503B3">
        <w:rPr>
          <w:rFonts w:ascii="Times New Roman" w:hAnsi="Times New Roman"/>
          <w:sz w:val="28"/>
          <w:szCs w:val="28"/>
        </w:rPr>
        <w:t xml:space="preserve">. </w:t>
      </w:r>
      <w:r w:rsidR="00423004" w:rsidRPr="00B503B3">
        <w:rPr>
          <w:rFonts w:ascii="Times New Roman" w:hAnsi="Times New Roman"/>
          <w:sz w:val="28"/>
          <w:szCs w:val="28"/>
        </w:rPr>
        <w:t xml:space="preserve">Під час проведення </w:t>
      </w:r>
      <w:r w:rsidR="00B56B1F" w:rsidRPr="00B503B3">
        <w:rPr>
          <w:rFonts w:ascii="Times New Roman" w:hAnsi="Times New Roman"/>
          <w:sz w:val="28"/>
          <w:szCs w:val="28"/>
        </w:rPr>
        <w:t>огляду витрат</w:t>
      </w:r>
      <w:r w:rsidR="00423004" w:rsidRPr="00B503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6B1F" w:rsidRPr="00B503B3">
        <w:rPr>
          <w:rFonts w:ascii="Times New Roman" w:hAnsi="Times New Roman"/>
          <w:sz w:val="28"/>
          <w:szCs w:val="28"/>
        </w:rPr>
        <w:t xml:space="preserve">забезпечити </w:t>
      </w:r>
      <w:r w:rsidR="00954429" w:rsidRPr="00B503B3">
        <w:rPr>
          <w:rFonts w:ascii="Times New Roman" w:hAnsi="Times New Roman"/>
          <w:sz w:val="28"/>
          <w:szCs w:val="28"/>
        </w:rPr>
        <w:t>здійсн</w:t>
      </w:r>
      <w:r w:rsidR="00B56B1F" w:rsidRPr="00B503B3">
        <w:rPr>
          <w:rFonts w:ascii="Times New Roman" w:hAnsi="Times New Roman"/>
          <w:sz w:val="28"/>
          <w:szCs w:val="28"/>
        </w:rPr>
        <w:t>ення</w:t>
      </w:r>
      <w:r w:rsidR="00954429" w:rsidRPr="00B503B3">
        <w:rPr>
          <w:rFonts w:ascii="Times New Roman" w:hAnsi="Times New Roman"/>
          <w:sz w:val="28"/>
          <w:szCs w:val="28"/>
        </w:rPr>
        <w:t xml:space="preserve"> аналіз</w:t>
      </w:r>
      <w:r w:rsidR="00B56B1F" w:rsidRPr="00B503B3">
        <w:rPr>
          <w:rFonts w:ascii="Times New Roman" w:hAnsi="Times New Roman"/>
          <w:sz w:val="28"/>
          <w:szCs w:val="28"/>
        </w:rPr>
        <w:t>у</w:t>
      </w:r>
      <w:r w:rsidR="00954429" w:rsidRPr="00B503B3">
        <w:rPr>
          <w:rFonts w:ascii="Times New Roman" w:hAnsi="Times New Roman"/>
          <w:sz w:val="28"/>
          <w:szCs w:val="28"/>
        </w:rPr>
        <w:t xml:space="preserve"> врахування гендерних аспектів </w:t>
      </w:r>
      <w:r w:rsidR="00423004" w:rsidRPr="00B503B3">
        <w:rPr>
          <w:rFonts w:ascii="Times New Roman" w:hAnsi="Times New Roman"/>
          <w:sz w:val="28"/>
          <w:szCs w:val="28"/>
        </w:rPr>
        <w:t>у процесі планування, виконання та звітування про виконання</w:t>
      </w:r>
      <w:r w:rsidR="003126C1" w:rsidRPr="00B503B3">
        <w:rPr>
          <w:rFonts w:ascii="Times New Roman" w:hAnsi="Times New Roman"/>
          <w:sz w:val="28"/>
          <w:szCs w:val="28"/>
        </w:rPr>
        <w:t xml:space="preserve"> відповідних</w:t>
      </w:r>
      <w:r w:rsidR="00423004" w:rsidRPr="00B503B3">
        <w:rPr>
          <w:rFonts w:ascii="Times New Roman" w:hAnsi="Times New Roman"/>
          <w:sz w:val="28"/>
          <w:szCs w:val="28"/>
        </w:rPr>
        <w:t xml:space="preserve"> бюджетних програм</w:t>
      </w:r>
      <w:r w:rsidRPr="00B503B3">
        <w:rPr>
          <w:rFonts w:ascii="Times New Roman" w:hAnsi="Times New Roman"/>
          <w:sz w:val="28"/>
          <w:szCs w:val="28"/>
        </w:rPr>
        <w:t>;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забезпечити подання щомісяця до 5 числа</w:t>
      </w:r>
      <w:r w:rsidR="00B014FA" w:rsidRPr="00B503B3">
        <w:rPr>
          <w:rFonts w:ascii="Times New Roman" w:hAnsi="Times New Roman"/>
          <w:sz w:val="28"/>
          <w:szCs w:val="28"/>
        </w:rPr>
        <w:t>,</w:t>
      </w:r>
      <w:r w:rsidRPr="00B503B3">
        <w:rPr>
          <w:rFonts w:ascii="Times New Roman" w:hAnsi="Times New Roman"/>
          <w:sz w:val="28"/>
          <w:szCs w:val="28"/>
        </w:rPr>
        <w:t xml:space="preserve"> починаючи з </w:t>
      </w:r>
      <w:r w:rsidR="0093472E" w:rsidRPr="00B503B3">
        <w:rPr>
          <w:rFonts w:ascii="Times New Roman" w:hAnsi="Times New Roman"/>
          <w:sz w:val="28"/>
          <w:szCs w:val="28"/>
        </w:rPr>
        <w:t>травня</w:t>
      </w:r>
      <w:r w:rsidRPr="00B503B3">
        <w:rPr>
          <w:rFonts w:ascii="Times New Roman" w:hAnsi="Times New Roman"/>
          <w:sz w:val="28"/>
          <w:szCs w:val="28"/>
        </w:rPr>
        <w:br/>
        <w:t>202</w:t>
      </w:r>
      <w:r w:rsidR="000247A9" w:rsidRPr="00B503B3">
        <w:rPr>
          <w:rFonts w:ascii="Times New Roman" w:hAnsi="Times New Roman"/>
          <w:sz w:val="28"/>
          <w:szCs w:val="28"/>
        </w:rPr>
        <w:t>5</w:t>
      </w:r>
      <w:r w:rsidRPr="00B503B3">
        <w:rPr>
          <w:rFonts w:ascii="Times New Roman" w:hAnsi="Times New Roman"/>
          <w:sz w:val="28"/>
          <w:szCs w:val="28"/>
        </w:rPr>
        <w:t xml:space="preserve"> р.</w:t>
      </w:r>
      <w:r w:rsidR="00B014FA" w:rsidRPr="00B503B3">
        <w:rPr>
          <w:rFonts w:ascii="Times New Roman" w:hAnsi="Times New Roman"/>
          <w:sz w:val="28"/>
          <w:szCs w:val="28"/>
        </w:rPr>
        <w:t>,</w:t>
      </w:r>
      <w:r w:rsidRPr="00B503B3">
        <w:rPr>
          <w:rFonts w:ascii="Times New Roman" w:hAnsi="Times New Roman"/>
          <w:sz w:val="28"/>
          <w:szCs w:val="28"/>
        </w:rPr>
        <w:t xml:space="preserve"> Кабінетові Міністрів України та Міністерству фінансів інформації про поточний стан проведення оглядів витрат у відповідних сферах за формою згідно з додатком 2; 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провести до 1 жовтня 202</w:t>
      </w:r>
      <w:r w:rsidR="000247A9" w:rsidRPr="00B503B3">
        <w:rPr>
          <w:rFonts w:ascii="Times New Roman" w:hAnsi="Times New Roman"/>
          <w:sz w:val="28"/>
          <w:szCs w:val="28"/>
        </w:rPr>
        <w:t>5</w:t>
      </w:r>
      <w:r w:rsidRPr="00B503B3">
        <w:rPr>
          <w:rFonts w:ascii="Times New Roman" w:hAnsi="Times New Roman"/>
          <w:sz w:val="28"/>
          <w:szCs w:val="28"/>
        </w:rPr>
        <w:t> р. узгоджувальні наради за участю Міністерства фінансів для розгляду попередніх звітів про огляди витрат;</w:t>
      </w:r>
    </w:p>
    <w:p w:rsidR="00793987" w:rsidRPr="00B503B3" w:rsidRDefault="000247A9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подати до 1 грудня 2025</w:t>
      </w:r>
      <w:r w:rsidR="00793987" w:rsidRPr="00B503B3">
        <w:rPr>
          <w:rFonts w:ascii="Times New Roman" w:hAnsi="Times New Roman"/>
          <w:sz w:val="28"/>
          <w:szCs w:val="28"/>
        </w:rPr>
        <w:t xml:space="preserve"> р. Кабінетові Міністрів України звіти про огляди витрат. Звіт </w:t>
      </w:r>
      <w:r w:rsidR="00B014FA" w:rsidRPr="00B503B3">
        <w:rPr>
          <w:rFonts w:ascii="Times New Roman" w:hAnsi="Times New Roman"/>
          <w:sz w:val="28"/>
          <w:szCs w:val="28"/>
        </w:rPr>
        <w:t>має</w:t>
      </w:r>
      <w:r w:rsidR="00793987" w:rsidRPr="00B503B3">
        <w:rPr>
          <w:rFonts w:ascii="Times New Roman" w:hAnsi="Times New Roman"/>
          <w:sz w:val="28"/>
          <w:szCs w:val="28"/>
        </w:rPr>
        <w:t xml:space="preserve"> містити не менше двох варіантів досягнення цілі огляду витрат та пропозицію щодо оптимального варіанта досягнення цілі огляду на основі порівняння варіантів, включених до звіту; 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забезпечити оприлюднення звітів про огляд</w:t>
      </w:r>
      <w:r w:rsidR="00BB4C8C" w:rsidRPr="00B503B3">
        <w:rPr>
          <w:rFonts w:ascii="Times New Roman" w:hAnsi="Times New Roman"/>
          <w:sz w:val="28"/>
          <w:szCs w:val="28"/>
        </w:rPr>
        <w:t>и витрат на своїх офіційних веб</w:t>
      </w:r>
      <w:r w:rsidRPr="00B503B3">
        <w:rPr>
          <w:rFonts w:ascii="Times New Roman" w:hAnsi="Times New Roman"/>
          <w:sz w:val="28"/>
          <w:szCs w:val="28"/>
        </w:rPr>
        <w:t>сайтах у триденний строк з дня їх подання Кабінетові Міністрів України;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представити звіти про огляди витрат на засід</w:t>
      </w:r>
      <w:r w:rsidR="00B16C1A" w:rsidRPr="00B503B3">
        <w:rPr>
          <w:rFonts w:ascii="Times New Roman" w:hAnsi="Times New Roman"/>
          <w:sz w:val="28"/>
          <w:szCs w:val="28"/>
        </w:rPr>
        <w:t>анні Кабінету Міністрів України.</w:t>
      </w:r>
    </w:p>
    <w:p w:rsidR="00B014FA" w:rsidRPr="00B503B3" w:rsidRDefault="00B014FA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793987" w:rsidRPr="00B503B3" w:rsidRDefault="009121A2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3</w:t>
      </w:r>
      <w:r w:rsidR="00793987" w:rsidRPr="00B503B3">
        <w:rPr>
          <w:rFonts w:ascii="Times New Roman" w:hAnsi="Times New Roman"/>
          <w:sz w:val="28"/>
          <w:szCs w:val="28"/>
        </w:rPr>
        <w:t>. Керівникам центральних органів виконавчої влади сприяти діяльності робочих груп з проведення огляду витрат у відповідній сфері шляхом: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подання інформації, необхідної для проведення огляду витрат у відповідній сфері;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надання роз’яснень з питань, що виникають під час проведення огляду витрат;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участі за запрошенням (надання повноваження на участь) у засіданнях робочих груп та інших заходах;</w:t>
      </w:r>
    </w:p>
    <w:p w:rsidR="00793987" w:rsidRPr="00B503B3" w:rsidRDefault="00793987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B503B3">
        <w:rPr>
          <w:rFonts w:ascii="Times New Roman" w:hAnsi="Times New Roman"/>
          <w:sz w:val="28"/>
          <w:szCs w:val="28"/>
        </w:rPr>
        <w:t>забезпечення взаємодії робочої групи з підприємствами, установами та організаціями, що належать до сфери управління відповідного центрального органу виконавчої влади.</w:t>
      </w:r>
    </w:p>
    <w:p w:rsidR="00B014FA" w:rsidRPr="00B503B3" w:rsidRDefault="00B014FA" w:rsidP="00B014FA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B014FA" w:rsidRPr="00B503B3" w:rsidRDefault="00C95FD2" w:rsidP="00B014FA">
      <w:pPr>
        <w:ind w:firstLine="567"/>
        <w:jc w:val="both"/>
        <w:rPr>
          <w:sz w:val="28"/>
          <w:szCs w:val="28"/>
        </w:rPr>
      </w:pPr>
      <w:r w:rsidRPr="00B503B3">
        <w:rPr>
          <w:sz w:val="28"/>
          <w:szCs w:val="28"/>
        </w:rPr>
        <w:t xml:space="preserve">4. Головним розпорядникам бюджетних коштів, </w:t>
      </w:r>
      <w:r w:rsidR="00B014FA" w:rsidRPr="00B503B3">
        <w:rPr>
          <w:sz w:val="28"/>
          <w:szCs w:val="28"/>
        </w:rPr>
        <w:t>визначеним</w:t>
      </w:r>
      <w:r w:rsidRPr="00B503B3">
        <w:rPr>
          <w:sz w:val="28"/>
          <w:szCs w:val="28"/>
        </w:rPr>
        <w:t xml:space="preserve"> у додатку 1 </w:t>
      </w:r>
      <w:r w:rsidR="00C46433" w:rsidRPr="00B503B3">
        <w:rPr>
          <w:sz w:val="28"/>
          <w:szCs w:val="28"/>
        </w:rPr>
        <w:t xml:space="preserve">до </w:t>
      </w:r>
      <w:r w:rsidRPr="00B503B3">
        <w:rPr>
          <w:sz w:val="28"/>
          <w:szCs w:val="28"/>
        </w:rPr>
        <w:t>розпорядження Кабінету Міністрів України від 30 червня 2023</w:t>
      </w:r>
      <w:r w:rsidR="00F87C46" w:rsidRPr="00B503B3">
        <w:rPr>
          <w:sz w:val="28"/>
          <w:szCs w:val="28"/>
        </w:rPr>
        <w:t> </w:t>
      </w:r>
      <w:r w:rsidRPr="00B503B3">
        <w:rPr>
          <w:sz w:val="28"/>
          <w:szCs w:val="28"/>
        </w:rPr>
        <w:t>р.</w:t>
      </w:r>
      <w:r w:rsidR="00F87C46" w:rsidRPr="00B503B3">
        <w:rPr>
          <w:sz w:val="28"/>
          <w:szCs w:val="28"/>
        </w:rPr>
        <w:t xml:space="preserve"> </w:t>
      </w:r>
      <w:hyperlink r:id="rId8" w:tgtFrame="_blank" w:history="1">
        <w:r w:rsidRPr="00B503B3">
          <w:rPr>
            <w:sz w:val="28"/>
            <w:szCs w:val="28"/>
          </w:rPr>
          <w:t>№</w:t>
        </w:r>
        <w:r w:rsidR="00F87C46" w:rsidRPr="00B503B3">
          <w:rPr>
            <w:sz w:val="28"/>
            <w:szCs w:val="28"/>
          </w:rPr>
          <w:t> </w:t>
        </w:r>
        <w:r w:rsidRPr="00B503B3">
          <w:rPr>
            <w:sz w:val="28"/>
            <w:szCs w:val="28"/>
          </w:rPr>
          <w:t>580</w:t>
        </w:r>
      </w:hyperlink>
      <w:r w:rsidRPr="00B503B3">
        <w:rPr>
          <w:sz w:val="28"/>
          <w:szCs w:val="28"/>
        </w:rPr>
        <w:t> «Про проведення у 2023 році оглядів витрат державного бюджету в окремих сферах»</w:t>
      </w:r>
      <w:r w:rsidR="00947343" w:rsidRPr="00B503B3">
        <w:rPr>
          <w:sz w:val="28"/>
          <w:szCs w:val="28"/>
        </w:rPr>
        <w:t xml:space="preserve"> (</w:t>
      </w:r>
      <w:r w:rsidR="00865270" w:rsidRPr="00B503B3">
        <w:rPr>
          <w:sz w:val="28"/>
          <w:szCs w:val="28"/>
        </w:rPr>
        <w:t>Офіційний вісник України, 2023 р., № 65, ст. 3716</w:t>
      </w:r>
      <w:r w:rsidR="00947343" w:rsidRPr="00B503B3">
        <w:rPr>
          <w:sz w:val="28"/>
          <w:szCs w:val="28"/>
        </w:rPr>
        <w:t>)</w:t>
      </w:r>
      <w:r w:rsidRPr="00B503B3">
        <w:rPr>
          <w:sz w:val="28"/>
          <w:szCs w:val="28"/>
        </w:rPr>
        <w:t xml:space="preserve"> та у додатку 1 </w:t>
      </w:r>
      <w:r w:rsidR="00C46433" w:rsidRPr="00B503B3">
        <w:rPr>
          <w:sz w:val="28"/>
          <w:szCs w:val="28"/>
        </w:rPr>
        <w:t xml:space="preserve">до </w:t>
      </w:r>
      <w:r w:rsidRPr="00B503B3">
        <w:rPr>
          <w:sz w:val="28"/>
          <w:szCs w:val="28"/>
        </w:rPr>
        <w:t>розпорядження Кабінету Міністрів України від 23 квітня 2024</w:t>
      </w:r>
      <w:r w:rsidR="00F87C46" w:rsidRPr="00B503B3">
        <w:rPr>
          <w:sz w:val="28"/>
          <w:szCs w:val="28"/>
        </w:rPr>
        <w:t> </w:t>
      </w:r>
      <w:r w:rsidRPr="00B503B3">
        <w:rPr>
          <w:sz w:val="28"/>
          <w:szCs w:val="28"/>
        </w:rPr>
        <w:t>р.</w:t>
      </w:r>
      <w:r w:rsidR="00F87C46" w:rsidRPr="00B503B3">
        <w:rPr>
          <w:sz w:val="28"/>
          <w:szCs w:val="28"/>
        </w:rPr>
        <w:t xml:space="preserve"> </w:t>
      </w:r>
      <w:hyperlink r:id="rId9" w:tgtFrame="_blank" w:history="1">
        <w:r w:rsidRPr="00B503B3">
          <w:rPr>
            <w:sz w:val="28"/>
            <w:szCs w:val="28"/>
          </w:rPr>
          <w:t>№ 348</w:t>
        </w:r>
      </w:hyperlink>
      <w:r w:rsidRPr="00B503B3">
        <w:rPr>
          <w:sz w:val="28"/>
          <w:szCs w:val="28"/>
        </w:rPr>
        <w:t> «Про проведення у 2024 році оглядів витрат державного бюджету в окремих сферах»</w:t>
      </w:r>
      <w:r w:rsidR="00947343" w:rsidRPr="00B503B3">
        <w:rPr>
          <w:sz w:val="28"/>
          <w:szCs w:val="28"/>
        </w:rPr>
        <w:t xml:space="preserve"> (</w:t>
      </w:r>
      <w:r w:rsidR="00865270" w:rsidRPr="00B503B3">
        <w:rPr>
          <w:sz w:val="28"/>
          <w:szCs w:val="28"/>
        </w:rPr>
        <w:t>Офіційний вісник України, 2024 р., № 41, ст. 2508)</w:t>
      </w:r>
      <w:r w:rsidR="00B014FA" w:rsidRPr="00B503B3">
        <w:rPr>
          <w:sz w:val="28"/>
          <w:szCs w:val="28"/>
        </w:rPr>
        <w:t>,</w:t>
      </w:r>
      <w:r w:rsidRPr="00B503B3">
        <w:rPr>
          <w:sz w:val="28"/>
          <w:szCs w:val="28"/>
        </w:rPr>
        <w:t xml:space="preserve"> </w:t>
      </w:r>
      <w:r w:rsidR="00811E51" w:rsidRPr="00B503B3">
        <w:rPr>
          <w:sz w:val="28"/>
          <w:szCs w:val="28"/>
        </w:rPr>
        <w:t>пода</w:t>
      </w:r>
      <w:r w:rsidR="00247647" w:rsidRPr="00B503B3">
        <w:rPr>
          <w:sz w:val="28"/>
          <w:szCs w:val="28"/>
        </w:rPr>
        <w:t>ва</w:t>
      </w:r>
      <w:r w:rsidR="00811E51" w:rsidRPr="00B503B3">
        <w:rPr>
          <w:sz w:val="28"/>
          <w:szCs w:val="28"/>
        </w:rPr>
        <w:t xml:space="preserve">ти </w:t>
      </w:r>
      <w:r w:rsidRPr="00B503B3">
        <w:rPr>
          <w:sz w:val="28"/>
          <w:szCs w:val="28"/>
        </w:rPr>
        <w:t xml:space="preserve">до 25 липня та </w:t>
      </w:r>
      <w:r w:rsidR="00B014FA" w:rsidRPr="00B503B3">
        <w:rPr>
          <w:sz w:val="28"/>
          <w:szCs w:val="28"/>
        </w:rPr>
        <w:br/>
      </w:r>
      <w:r w:rsidR="00C46433" w:rsidRPr="00B503B3">
        <w:rPr>
          <w:sz w:val="28"/>
          <w:szCs w:val="28"/>
        </w:rPr>
        <w:lastRenderedPageBreak/>
        <w:t xml:space="preserve">до </w:t>
      </w:r>
      <w:r w:rsidRPr="00B503B3">
        <w:rPr>
          <w:sz w:val="28"/>
          <w:szCs w:val="28"/>
        </w:rPr>
        <w:t>25 грудня Кабінет</w:t>
      </w:r>
      <w:r w:rsidR="0080378C" w:rsidRPr="00B503B3">
        <w:rPr>
          <w:sz w:val="28"/>
          <w:szCs w:val="28"/>
        </w:rPr>
        <w:t>ові</w:t>
      </w:r>
      <w:r w:rsidRPr="00B503B3">
        <w:rPr>
          <w:sz w:val="28"/>
          <w:szCs w:val="28"/>
        </w:rPr>
        <w:t xml:space="preserve"> Міністрів України та Міністерств</w:t>
      </w:r>
      <w:r w:rsidR="0080378C" w:rsidRPr="00B503B3">
        <w:rPr>
          <w:sz w:val="28"/>
          <w:szCs w:val="28"/>
        </w:rPr>
        <w:t>у</w:t>
      </w:r>
      <w:r w:rsidRPr="00B503B3">
        <w:rPr>
          <w:sz w:val="28"/>
          <w:szCs w:val="28"/>
        </w:rPr>
        <w:t xml:space="preserve"> фінансів </w:t>
      </w:r>
      <w:r w:rsidR="00811E51" w:rsidRPr="00B503B3">
        <w:rPr>
          <w:sz w:val="28"/>
          <w:szCs w:val="28"/>
        </w:rPr>
        <w:t xml:space="preserve">інформацію </w:t>
      </w:r>
      <w:r w:rsidRPr="00B503B3">
        <w:rPr>
          <w:sz w:val="28"/>
          <w:szCs w:val="28"/>
        </w:rPr>
        <w:t>про заходи</w:t>
      </w:r>
      <w:r w:rsidR="00811E51" w:rsidRPr="00B503B3">
        <w:rPr>
          <w:sz w:val="28"/>
          <w:szCs w:val="28"/>
        </w:rPr>
        <w:t>,</w:t>
      </w:r>
      <w:r w:rsidRPr="00B503B3">
        <w:rPr>
          <w:sz w:val="28"/>
          <w:szCs w:val="28"/>
        </w:rPr>
        <w:t xml:space="preserve"> </w:t>
      </w:r>
      <w:r w:rsidR="00811E51" w:rsidRPr="00B503B3">
        <w:rPr>
          <w:sz w:val="28"/>
          <w:szCs w:val="28"/>
        </w:rPr>
        <w:t xml:space="preserve">вжиті </w:t>
      </w:r>
      <w:r w:rsidRPr="00B503B3">
        <w:rPr>
          <w:sz w:val="28"/>
          <w:szCs w:val="28"/>
        </w:rPr>
        <w:t>за результатами оглядів витрат та</w:t>
      </w:r>
      <w:r w:rsidR="00B56B1F" w:rsidRPr="00B503B3">
        <w:rPr>
          <w:sz w:val="28"/>
          <w:szCs w:val="28"/>
        </w:rPr>
        <w:t xml:space="preserve"> на виконання </w:t>
      </w:r>
      <w:r w:rsidRPr="00B503B3">
        <w:rPr>
          <w:sz w:val="28"/>
          <w:szCs w:val="28"/>
        </w:rPr>
        <w:t>прийнятих Кабінетом Міністрів України відповідних рішень, за формою згідно з додатком</w:t>
      </w:r>
      <w:r w:rsidR="00B014FA" w:rsidRPr="00B503B3">
        <w:rPr>
          <w:sz w:val="28"/>
          <w:szCs w:val="28"/>
        </w:rPr>
        <w:t>.</w:t>
      </w:r>
    </w:p>
    <w:p w:rsidR="00C95FD2" w:rsidRPr="00B503B3" w:rsidRDefault="00C95FD2" w:rsidP="00B503B3">
      <w:pPr>
        <w:jc w:val="both"/>
        <w:rPr>
          <w:sz w:val="28"/>
          <w:szCs w:val="28"/>
        </w:rPr>
      </w:pPr>
      <w:r w:rsidRPr="00B503B3">
        <w:rPr>
          <w:sz w:val="28"/>
          <w:szCs w:val="28"/>
        </w:rPr>
        <w:t xml:space="preserve">Інформацію надавати до завершення реалізації таких заходів. </w:t>
      </w:r>
    </w:p>
    <w:bookmarkEnd w:id="0"/>
    <w:p w:rsidR="00B014FA" w:rsidRDefault="00B014FA" w:rsidP="00B014FA">
      <w:pPr>
        <w:ind w:firstLine="567"/>
        <w:jc w:val="both"/>
        <w:rPr>
          <w:sz w:val="28"/>
          <w:szCs w:val="28"/>
        </w:rPr>
      </w:pPr>
    </w:p>
    <w:p w:rsidR="00B014FA" w:rsidRPr="00B014FA" w:rsidRDefault="00B014FA" w:rsidP="00B014FA">
      <w:pPr>
        <w:ind w:firstLine="567"/>
        <w:jc w:val="both"/>
        <w:rPr>
          <w:sz w:val="28"/>
          <w:szCs w:val="28"/>
        </w:rPr>
      </w:pPr>
    </w:p>
    <w:p w:rsidR="0043452E" w:rsidRPr="00B014FA" w:rsidRDefault="00715BD3" w:rsidP="00B014FA">
      <w:pPr>
        <w:pStyle w:val="1"/>
        <w:tabs>
          <w:tab w:val="clear" w:pos="6804"/>
          <w:tab w:val="left" w:pos="6840"/>
        </w:tabs>
        <w:spacing w:before="0"/>
        <w:rPr>
          <w:rFonts w:ascii="Times New Roman" w:hAnsi="Times New Roman"/>
          <w:position w:val="0"/>
          <w:sz w:val="28"/>
          <w:szCs w:val="28"/>
        </w:rPr>
      </w:pPr>
      <w:r w:rsidRPr="00B014FA">
        <w:rPr>
          <w:rFonts w:ascii="Times New Roman" w:hAnsi="Times New Roman"/>
          <w:position w:val="0"/>
          <w:sz w:val="28"/>
          <w:szCs w:val="28"/>
        </w:rPr>
        <w:t>Прем’єр-міністр України</w:t>
      </w:r>
      <w:r w:rsidRPr="00B014FA">
        <w:rPr>
          <w:rFonts w:ascii="Times New Roman" w:hAnsi="Times New Roman"/>
          <w:position w:val="0"/>
          <w:sz w:val="28"/>
          <w:szCs w:val="28"/>
        </w:rPr>
        <w:tab/>
      </w:r>
      <w:r w:rsidR="00E01256" w:rsidRPr="00B014FA">
        <w:rPr>
          <w:rFonts w:ascii="Times New Roman" w:hAnsi="Times New Roman"/>
          <w:position w:val="0"/>
          <w:sz w:val="28"/>
          <w:szCs w:val="28"/>
        </w:rPr>
        <w:t xml:space="preserve">   </w:t>
      </w:r>
      <w:r w:rsidR="00B014FA">
        <w:rPr>
          <w:rFonts w:ascii="Times New Roman" w:hAnsi="Times New Roman"/>
          <w:position w:val="0"/>
          <w:sz w:val="28"/>
          <w:szCs w:val="28"/>
        </w:rPr>
        <w:t xml:space="preserve">        </w:t>
      </w:r>
      <w:r w:rsidR="00E01256" w:rsidRPr="00B014FA">
        <w:rPr>
          <w:rFonts w:ascii="Times New Roman" w:hAnsi="Times New Roman"/>
          <w:position w:val="0"/>
          <w:sz w:val="28"/>
          <w:szCs w:val="28"/>
        </w:rPr>
        <w:t xml:space="preserve"> </w:t>
      </w:r>
      <w:r w:rsidRPr="00B014FA">
        <w:rPr>
          <w:rFonts w:ascii="Times New Roman" w:hAnsi="Times New Roman"/>
          <w:position w:val="0"/>
          <w:sz w:val="28"/>
          <w:szCs w:val="28"/>
        </w:rPr>
        <w:t>Д. ШМИГАЛЬ</w:t>
      </w:r>
    </w:p>
    <w:sectPr w:rsidR="0043452E" w:rsidRPr="00B014FA" w:rsidSect="00B014FA">
      <w:headerReference w:type="even" r:id="rId10"/>
      <w:headerReference w:type="default" r:id="rId11"/>
      <w:headerReference w:type="first" r:id="rId12"/>
      <w:pgSz w:w="11906" w:h="16838" w:code="9"/>
      <w:pgMar w:top="1134" w:right="567" w:bottom="158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C8" w:rsidRDefault="00FC43C8">
      <w:r>
        <w:separator/>
      </w:r>
    </w:p>
  </w:endnote>
  <w:endnote w:type="continuationSeparator" w:id="0">
    <w:p w:rsidR="00FC43C8" w:rsidRDefault="00F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C8" w:rsidRDefault="00FC43C8">
      <w:r>
        <w:separator/>
      </w:r>
    </w:p>
  </w:footnote>
  <w:footnote w:type="continuationSeparator" w:id="0">
    <w:p w:rsidR="00FC43C8" w:rsidRDefault="00FC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4" w:rsidRDefault="009C43E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9C43E4" w:rsidRDefault="009C43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E4" w:rsidRPr="00B014FA" w:rsidRDefault="009C43E4">
    <w:pPr>
      <w:framePr w:wrap="around" w:vAnchor="text" w:hAnchor="margin" w:xAlign="center" w:y="1"/>
      <w:rPr>
        <w:sz w:val="24"/>
        <w:szCs w:val="24"/>
      </w:rPr>
    </w:pPr>
    <w:r w:rsidRPr="00B014FA">
      <w:rPr>
        <w:sz w:val="24"/>
        <w:szCs w:val="24"/>
      </w:rPr>
      <w:fldChar w:fldCharType="begin"/>
    </w:r>
    <w:r w:rsidRPr="00B014FA">
      <w:rPr>
        <w:sz w:val="24"/>
        <w:szCs w:val="24"/>
      </w:rPr>
      <w:instrText xml:space="preserve">PAGE  </w:instrText>
    </w:r>
    <w:r w:rsidRPr="00B014FA">
      <w:rPr>
        <w:sz w:val="24"/>
        <w:szCs w:val="24"/>
      </w:rPr>
      <w:fldChar w:fldCharType="separate"/>
    </w:r>
    <w:r w:rsidR="00B503B3">
      <w:rPr>
        <w:noProof/>
        <w:sz w:val="24"/>
        <w:szCs w:val="24"/>
      </w:rPr>
      <w:t>3</w:t>
    </w:r>
    <w:r w:rsidRPr="00B014FA">
      <w:rPr>
        <w:sz w:val="24"/>
        <w:szCs w:val="24"/>
      </w:rPr>
      <w:fldChar w:fldCharType="end"/>
    </w:r>
  </w:p>
  <w:p w:rsidR="009C43E4" w:rsidRDefault="009C43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67" w:rsidRPr="005D3F67" w:rsidRDefault="005D3F67" w:rsidP="005D3F67">
    <w:pPr>
      <w:pStyle w:val="aa"/>
      <w:jc w:val="right"/>
      <w:rPr>
        <w:b/>
        <w:sz w:val="24"/>
        <w:szCs w:val="24"/>
      </w:rPr>
    </w:pPr>
    <w:r w:rsidRPr="005D3F67">
      <w:rPr>
        <w:b/>
        <w:sz w:val="24"/>
        <w:szCs w:val="24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E"/>
    <w:rsid w:val="00000A73"/>
    <w:rsid w:val="000016BD"/>
    <w:rsid w:val="000247A9"/>
    <w:rsid w:val="00046E05"/>
    <w:rsid w:val="00057C50"/>
    <w:rsid w:val="00076D64"/>
    <w:rsid w:val="00082E23"/>
    <w:rsid w:val="00083531"/>
    <w:rsid w:val="00085055"/>
    <w:rsid w:val="00086538"/>
    <w:rsid w:val="00091837"/>
    <w:rsid w:val="00096FCC"/>
    <w:rsid w:val="000B2948"/>
    <w:rsid w:val="000C0B08"/>
    <w:rsid w:val="000C246E"/>
    <w:rsid w:val="00195962"/>
    <w:rsid w:val="00205E15"/>
    <w:rsid w:val="002215C6"/>
    <w:rsid w:val="00247647"/>
    <w:rsid w:val="002573CB"/>
    <w:rsid w:val="00257430"/>
    <w:rsid w:val="002C0BE6"/>
    <w:rsid w:val="002D3E40"/>
    <w:rsid w:val="002E71B7"/>
    <w:rsid w:val="003126C1"/>
    <w:rsid w:val="00331093"/>
    <w:rsid w:val="003324F0"/>
    <w:rsid w:val="00361CE2"/>
    <w:rsid w:val="00366ACE"/>
    <w:rsid w:val="00372238"/>
    <w:rsid w:val="00386047"/>
    <w:rsid w:val="00395439"/>
    <w:rsid w:val="003D3F1D"/>
    <w:rsid w:val="00412693"/>
    <w:rsid w:val="00422EA8"/>
    <w:rsid w:val="00423004"/>
    <w:rsid w:val="0043452E"/>
    <w:rsid w:val="00454FC2"/>
    <w:rsid w:val="00455CFC"/>
    <w:rsid w:val="00466C1C"/>
    <w:rsid w:val="00470FB1"/>
    <w:rsid w:val="005376BC"/>
    <w:rsid w:val="005378D3"/>
    <w:rsid w:val="005B17E4"/>
    <w:rsid w:val="005C3CB4"/>
    <w:rsid w:val="005C5AD8"/>
    <w:rsid w:val="005D3F67"/>
    <w:rsid w:val="005E46F2"/>
    <w:rsid w:val="0063379C"/>
    <w:rsid w:val="006662DA"/>
    <w:rsid w:val="006944D4"/>
    <w:rsid w:val="0070549C"/>
    <w:rsid w:val="00713227"/>
    <w:rsid w:val="007150D2"/>
    <w:rsid w:val="00715BD3"/>
    <w:rsid w:val="007236D4"/>
    <w:rsid w:val="007640D5"/>
    <w:rsid w:val="00775B0B"/>
    <w:rsid w:val="00793987"/>
    <w:rsid w:val="00797BB9"/>
    <w:rsid w:val="007B4155"/>
    <w:rsid w:val="007B5FAB"/>
    <w:rsid w:val="007C3111"/>
    <w:rsid w:val="007C78CC"/>
    <w:rsid w:val="007E34BE"/>
    <w:rsid w:val="007F5235"/>
    <w:rsid w:val="0080378C"/>
    <w:rsid w:val="008108E2"/>
    <w:rsid w:val="00811E51"/>
    <w:rsid w:val="00823A5B"/>
    <w:rsid w:val="0084081F"/>
    <w:rsid w:val="00855922"/>
    <w:rsid w:val="00865270"/>
    <w:rsid w:val="008914D3"/>
    <w:rsid w:val="008B5EDE"/>
    <w:rsid w:val="008C06F1"/>
    <w:rsid w:val="00904C2F"/>
    <w:rsid w:val="009121A2"/>
    <w:rsid w:val="00931657"/>
    <w:rsid w:val="0093472E"/>
    <w:rsid w:val="00947343"/>
    <w:rsid w:val="00954429"/>
    <w:rsid w:val="009723D2"/>
    <w:rsid w:val="009C43E4"/>
    <w:rsid w:val="009E7835"/>
    <w:rsid w:val="00A15BD1"/>
    <w:rsid w:val="00A362C0"/>
    <w:rsid w:val="00A74E15"/>
    <w:rsid w:val="00A94988"/>
    <w:rsid w:val="00AE169C"/>
    <w:rsid w:val="00AE513B"/>
    <w:rsid w:val="00B014FA"/>
    <w:rsid w:val="00B16C1A"/>
    <w:rsid w:val="00B20767"/>
    <w:rsid w:val="00B229DC"/>
    <w:rsid w:val="00B2381F"/>
    <w:rsid w:val="00B2461D"/>
    <w:rsid w:val="00B351E0"/>
    <w:rsid w:val="00B403AC"/>
    <w:rsid w:val="00B40F45"/>
    <w:rsid w:val="00B503B3"/>
    <w:rsid w:val="00B56B1F"/>
    <w:rsid w:val="00B669F6"/>
    <w:rsid w:val="00B810CF"/>
    <w:rsid w:val="00BB4C8C"/>
    <w:rsid w:val="00BE05A4"/>
    <w:rsid w:val="00C33C45"/>
    <w:rsid w:val="00C46433"/>
    <w:rsid w:val="00C95FD2"/>
    <w:rsid w:val="00CE5097"/>
    <w:rsid w:val="00D304E2"/>
    <w:rsid w:val="00D67F78"/>
    <w:rsid w:val="00D81D64"/>
    <w:rsid w:val="00DA1C10"/>
    <w:rsid w:val="00DC0E0F"/>
    <w:rsid w:val="00DD1BDF"/>
    <w:rsid w:val="00E01256"/>
    <w:rsid w:val="00E1290D"/>
    <w:rsid w:val="00E14F3A"/>
    <w:rsid w:val="00E71080"/>
    <w:rsid w:val="00EB14D8"/>
    <w:rsid w:val="00EB45C1"/>
    <w:rsid w:val="00EC3CEE"/>
    <w:rsid w:val="00EE19F3"/>
    <w:rsid w:val="00EE7923"/>
    <w:rsid w:val="00F37B32"/>
    <w:rsid w:val="00F44242"/>
    <w:rsid w:val="00F45FBF"/>
    <w:rsid w:val="00F87C46"/>
    <w:rsid w:val="00FA7371"/>
    <w:rsid w:val="00FC1B45"/>
    <w:rsid w:val="00FC3B59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9743D"/>
  <w15:chartTrackingRefBased/>
  <w15:docId w15:val="{DAF29FDD-8E4E-4206-BEFB-48BB1189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2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3452E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43452E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rsid w:val="0043452E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rsid w:val="0043452E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rsid w:val="0043452E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rsid w:val="0043452E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rsid w:val="0043452E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footer"/>
    <w:basedOn w:val="a"/>
    <w:rsid w:val="00082E23"/>
    <w:pPr>
      <w:tabs>
        <w:tab w:val="center" w:pos="4819"/>
        <w:tab w:val="right" w:pos="9639"/>
      </w:tabs>
    </w:pPr>
  </w:style>
  <w:style w:type="paragraph" w:styleId="aa">
    <w:name w:val="header"/>
    <w:basedOn w:val="a"/>
    <w:rsid w:val="00082E23"/>
    <w:pPr>
      <w:tabs>
        <w:tab w:val="center" w:pos="4819"/>
        <w:tab w:val="right" w:pos="9639"/>
      </w:tabs>
    </w:pPr>
  </w:style>
  <w:style w:type="character" w:customStyle="1" w:styleId="dat">
    <w:name w:val="dat"/>
    <w:rsid w:val="00E14F3A"/>
  </w:style>
  <w:style w:type="character" w:styleId="ab">
    <w:name w:val="Strong"/>
    <w:uiPriority w:val="22"/>
    <w:qFormat/>
    <w:rsid w:val="00E14F3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C0E0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C0E0F"/>
    <w:rPr>
      <w:rFonts w:ascii="Segoe UI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semiHidden/>
    <w:unhideWhenUsed/>
    <w:rsid w:val="00C95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1-2019-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2-2020-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FB37-E2F0-477C-9979-86216F0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3082</Words>
  <Characters>1757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Vlasova-T-P</dc:creator>
  <cp:keywords/>
  <cp:lastModifiedBy>Бойченко Людмила Олександрівна</cp:lastModifiedBy>
  <cp:revision>12</cp:revision>
  <cp:lastPrinted>2025-02-18T14:23:00Z</cp:lastPrinted>
  <dcterms:created xsi:type="dcterms:W3CDTF">2025-02-20T13:06:00Z</dcterms:created>
  <dcterms:modified xsi:type="dcterms:W3CDTF">2025-02-20T15:31:00Z</dcterms:modified>
</cp:coreProperties>
</file>