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4C" w:rsidRPr="003E1FEF" w:rsidRDefault="00EF6968">
      <w:pPr>
        <w:pStyle w:val="a3"/>
        <w:ind w:left="4795"/>
        <w:rPr>
          <w:color w:val="000000" w:themeColor="text1"/>
          <w:sz w:val="20"/>
        </w:rPr>
      </w:pPr>
      <w:r w:rsidRPr="003E1FEF">
        <w:rPr>
          <w:noProof/>
          <w:color w:val="000000" w:themeColor="text1"/>
          <w:sz w:val="20"/>
          <w:lang w:eastAsia="uk-UA"/>
        </w:rPr>
        <w:drawing>
          <wp:inline distT="0" distB="0" distL="0" distR="0">
            <wp:extent cx="641350" cy="771525"/>
            <wp:effectExtent l="0" t="0" r="635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41870" cy="772151"/>
                    </a:xfrm>
                    <a:prstGeom prst="rect">
                      <a:avLst/>
                    </a:prstGeom>
                  </pic:spPr>
                </pic:pic>
              </a:graphicData>
            </a:graphic>
          </wp:inline>
        </w:drawing>
      </w:r>
    </w:p>
    <w:p w:rsidR="00957C4C" w:rsidRPr="003E1FEF" w:rsidRDefault="00957C4C">
      <w:pPr>
        <w:pStyle w:val="a3"/>
        <w:spacing w:before="10"/>
        <w:rPr>
          <w:color w:val="000000" w:themeColor="text1"/>
        </w:rPr>
      </w:pPr>
    </w:p>
    <w:p w:rsidR="00957C4C" w:rsidRPr="003E1FEF" w:rsidRDefault="00EF6968">
      <w:pPr>
        <w:pStyle w:val="1"/>
        <w:ind w:left="284"/>
        <w:jc w:val="center"/>
        <w:rPr>
          <w:color w:val="000000" w:themeColor="text1"/>
        </w:rPr>
      </w:pPr>
      <w:r w:rsidRPr="003E1FEF">
        <w:rPr>
          <w:color w:val="000000" w:themeColor="text1"/>
        </w:rPr>
        <w:t xml:space="preserve">МІНІСТЕРСТВО ФІНАНСІВ </w:t>
      </w:r>
      <w:r w:rsidRPr="003E1FEF">
        <w:rPr>
          <w:color w:val="000000" w:themeColor="text1"/>
          <w:spacing w:val="-2"/>
        </w:rPr>
        <w:t>УКРАЇНИ</w:t>
      </w:r>
    </w:p>
    <w:p w:rsidR="00957C4C" w:rsidRPr="003E1FEF" w:rsidRDefault="00957C4C">
      <w:pPr>
        <w:pStyle w:val="a3"/>
        <w:rPr>
          <w:b/>
          <w:color w:val="000000" w:themeColor="text1"/>
        </w:rPr>
      </w:pPr>
    </w:p>
    <w:p w:rsidR="00957C4C" w:rsidRPr="003E1FEF" w:rsidRDefault="00EF6968">
      <w:pPr>
        <w:pStyle w:val="a4"/>
        <w:rPr>
          <w:color w:val="000000" w:themeColor="text1"/>
          <w:spacing w:val="-2"/>
        </w:rPr>
      </w:pPr>
      <w:r w:rsidRPr="003E1FEF">
        <w:rPr>
          <w:color w:val="000000" w:themeColor="text1"/>
          <w:spacing w:val="-2"/>
        </w:rPr>
        <w:t>НАКАЗ</w:t>
      </w:r>
    </w:p>
    <w:p w:rsidR="00826D39" w:rsidRPr="003E1FEF" w:rsidRDefault="00826D39">
      <w:pPr>
        <w:pStyle w:val="a4"/>
        <w:rPr>
          <w:color w:val="000000" w:themeColor="text1"/>
          <w:spacing w:val="-2"/>
        </w:rPr>
      </w:pPr>
    </w:p>
    <w:p w:rsidR="00957C4C" w:rsidRPr="003E1FEF" w:rsidRDefault="00EF6968" w:rsidP="00523A12">
      <w:pPr>
        <w:pStyle w:val="a3"/>
        <w:tabs>
          <w:tab w:val="left" w:pos="2873"/>
          <w:tab w:val="left" w:pos="4962"/>
          <w:tab w:val="left" w:pos="7694"/>
          <w:tab w:val="left" w:pos="9497"/>
        </w:tabs>
        <w:ind w:left="426"/>
        <w:rPr>
          <w:color w:val="000000" w:themeColor="text1"/>
        </w:rPr>
      </w:pPr>
      <w:r w:rsidRPr="003E1FEF">
        <w:rPr>
          <w:color w:val="000000" w:themeColor="text1"/>
        </w:rPr>
        <w:t xml:space="preserve">від </w:t>
      </w:r>
      <w:r w:rsidRPr="003E1FEF">
        <w:rPr>
          <w:color w:val="000000" w:themeColor="text1"/>
          <w:u w:val="single"/>
        </w:rPr>
        <w:tab/>
      </w:r>
      <w:r w:rsidRPr="003E1FEF">
        <w:rPr>
          <w:color w:val="000000" w:themeColor="text1"/>
        </w:rPr>
        <w:tab/>
      </w:r>
      <w:r w:rsidRPr="003E1FEF">
        <w:rPr>
          <w:color w:val="000000" w:themeColor="text1"/>
          <w:spacing w:val="-4"/>
        </w:rPr>
        <w:t>Київ</w:t>
      </w:r>
      <w:r w:rsidRPr="003E1FEF">
        <w:rPr>
          <w:color w:val="000000" w:themeColor="text1"/>
        </w:rPr>
        <w:tab/>
        <w:t xml:space="preserve">№ </w:t>
      </w:r>
      <w:r w:rsidRPr="003E1FEF">
        <w:rPr>
          <w:color w:val="000000" w:themeColor="text1"/>
          <w:u w:val="single"/>
        </w:rPr>
        <w:tab/>
      </w:r>
    </w:p>
    <w:p w:rsidR="00957C4C" w:rsidRPr="003E1FEF" w:rsidRDefault="00957C4C">
      <w:pPr>
        <w:pStyle w:val="a3"/>
        <w:spacing w:before="230"/>
        <w:rPr>
          <w:color w:val="000000" w:themeColor="text1"/>
        </w:rPr>
      </w:pPr>
    </w:p>
    <w:p w:rsidR="00957C4C" w:rsidRPr="003E1FEF" w:rsidRDefault="00EF6968" w:rsidP="006B564F">
      <w:pPr>
        <w:pStyle w:val="1"/>
        <w:ind w:left="0" w:right="1"/>
        <w:jc w:val="both"/>
        <w:rPr>
          <w:color w:val="000000" w:themeColor="text1"/>
        </w:rPr>
      </w:pPr>
      <w:r w:rsidRPr="003E1FEF">
        <w:rPr>
          <w:color w:val="000000" w:themeColor="text1"/>
        </w:rPr>
        <w:t>Про затвердження Порядку надання дозволу на експлуатацію вільної митної зони і контролю за діяльністю підприємства, яке його отримало, форми заяви про надання дозволу на експлуатацію вільної митної зони та форми звіту про рух товарів у вільній митній зоні</w:t>
      </w:r>
    </w:p>
    <w:p w:rsidR="00957C4C" w:rsidRPr="003E1FEF" w:rsidRDefault="00957C4C" w:rsidP="006B564F">
      <w:pPr>
        <w:pStyle w:val="a3"/>
        <w:ind w:right="1"/>
        <w:rPr>
          <w:b/>
          <w:color w:val="000000" w:themeColor="text1"/>
        </w:rPr>
      </w:pPr>
    </w:p>
    <w:p w:rsidR="00957C4C" w:rsidRPr="003E1FEF" w:rsidRDefault="00957C4C" w:rsidP="006B564F">
      <w:pPr>
        <w:pStyle w:val="a3"/>
        <w:ind w:right="1"/>
        <w:rPr>
          <w:b/>
          <w:color w:val="000000" w:themeColor="text1"/>
        </w:rPr>
      </w:pPr>
    </w:p>
    <w:p w:rsidR="00957C4C" w:rsidRPr="003E1FEF" w:rsidRDefault="00E06ECD" w:rsidP="006B564F">
      <w:pPr>
        <w:pStyle w:val="a3"/>
        <w:ind w:right="1" w:firstLine="567"/>
        <w:jc w:val="both"/>
        <w:rPr>
          <w:color w:val="000000" w:themeColor="text1"/>
        </w:rPr>
      </w:pPr>
      <w:r w:rsidRPr="003E1FEF">
        <w:rPr>
          <w:color w:val="000000" w:themeColor="text1"/>
        </w:rPr>
        <w:t>Відповідно до статті 407</w:t>
      </w:r>
      <w:r w:rsidR="00E00746" w:rsidRPr="003E1FEF">
        <w:rPr>
          <w:color w:val="000000" w:themeColor="text1"/>
        </w:rPr>
        <w:t xml:space="preserve"> глави 58,</w:t>
      </w:r>
      <w:r w:rsidR="00EF6968" w:rsidRPr="003E1FEF">
        <w:rPr>
          <w:color w:val="000000" w:themeColor="text1"/>
        </w:rPr>
        <w:t xml:space="preserve"> частини другої статті 431</w:t>
      </w:r>
      <w:r w:rsidR="00E00746" w:rsidRPr="003E1FEF">
        <w:rPr>
          <w:color w:val="000000" w:themeColor="text1"/>
        </w:rPr>
        <w:t xml:space="preserve"> </w:t>
      </w:r>
      <w:r w:rsidR="00E00746" w:rsidRPr="003E1FEF">
        <w:rPr>
          <w:color w:val="000000" w:themeColor="text1"/>
          <w:spacing w:val="-6"/>
        </w:rPr>
        <w:t>глави 62</w:t>
      </w:r>
      <w:r w:rsidR="00EF6968" w:rsidRPr="003E1FEF">
        <w:rPr>
          <w:color w:val="000000" w:themeColor="text1"/>
        </w:rPr>
        <w:t xml:space="preserve">, частини першої статті 435 </w:t>
      </w:r>
      <w:r w:rsidR="00E00746" w:rsidRPr="003E1FEF">
        <w:rPr>
          <w:color w:val="000000" w:themeColor="text1"/>
          <w:spacing w:val="-6"/>
        </w:rPr>
        <w:t>глави 62 розділ</w:t>
      </w:r>
      <w:r w:rsidR="00C95ACD" w:rsidRPr="003E1FEF">
        <w:rPr>
          <w:color w:val="000000" w:themeColor="text1"/>
          <w:spacing w:val="-6"/>
        </w:rPr>
        <w:t>у</w:t>
      </w:r>
      <w:r w:rsidR="00E00746" w:rsidRPr="003E1FEF">
        <w:rPr>
          <w:color w:val="000000" w:themeColor="text1"/>
          <w:spacing w:val="-6"/>
        </w:rPr>
        <w:t xml:space="preserve"> XV</w:t>
      </w:r>
      <w:r w:rsidR="00E00746" w:rsidRPr="003E1FEF">
        <w:rPr>
          <w:color w:val="000000" w:themeColor="text1"/>
        </w:rPr>
        <w:t xml:space="preserve"> </w:t>
      </w:r>
      <w:r w:rsidR="00EF6968" w:rsidRPr="003E1FEF">
        <w:rPr>
          <w:color w:val="000000" w:themeColor="text1"/>
        </w:rPr>
        <w:t>Митного кодексу України, пункту 2 розділу</w:t>
      </w:r>
      <w:r w:rsidR="00EF6968" w:rsidRPr="003E1FEF">
        <w:rPr>
          <w:color w:val="000000" w:themeColor="text1"/>
          <w:spacing w:val="54"/>
        </w:rPr>
        <w:t xml:space="preserve"> </w:t>
      </w:r>
      <w:r w:rsidR="00EF6968" w:rsidRPr="003E1FEF">
        <w:rPr>
          <w:color w:val="000000" w:themeColor="text1"/>
        </w:rPr>
        <w:t>ІІ</w:t>
      </w:r>
      <w:r w:rsidR="00EF6968" w:rsidRPr="003E1FEF">
        <w:rPr>
          <w:color w:val="000000" w:themeColor="text1"/>
          <w:spacing w:val="54"/>
        </w:rPr>
        <w:t xml:space="preserve"> </w:t>
      </w:r>
      <w:r w:rsidR="00EF6968" w:rsidRPr="003E1FEF">
        <w:rPr>
          <w:color w:val="000000" w:themeColor="text1"/>
        </w:rPr>
        <w:t>«Прикінцеві</w:t>
      </w:r>
      <w:r w:rsidR="00EF6968" w:rsidRPr="003E1FEF">
        <w:rPr>
          <w:color w:val="000000" w:themeColor="text1"/>
          <w:spacing w:val="55"/>
        </w:rPr>
        <w:t xml:space="preserve"> </w:t>
      </w:r>
      <w:r w:rsidR="00EF6968" w:rsidRPr="003E1FEF">
        <w:rPr>
          <w:color w:val="000000" w:themeColor="text1"/>
        </w:rPr>
        <w:t>положення»</w:t>
      </w:r>
      <w:r w:rsidR="00EF6968" w:rsidRPr="003E1FEF">
        <w:rPr>
          <w:color w:val="000000" w:themeColor="text1"/>
          <w:spacing w:val="54"/>
        </w:rPr>
        <w:t xml:space="preserve"> </w:t>
      </w:r>
      <w:r w:rsidR="00EF6968" w:rsidRPr="003E1FEF">
        <w:rPr>
          <w:color w:val="000000" w:themeColor="text1"/>
        </w:rPr>
        <w:t>Закону</w:t>
      </w:r>
      <w:r w:rsidR="00EF6968" w:rsidRPr="003E1FEF">
        <w:rPr>
          <w:color w:val="000000" w:themeColor="text1"/>
          <w:spacing w:val="55"/>
        </w:rPr>
        <w:t xml:space="preserve"> </w:t>
      </w:r>
      <w:r w:rsidR="00EF6968" w:rsidRPr="003E1FEF">
        <w:rPr>
          <w:color w:val="000000" w:themeColor="text1"/>
        </w:rPr>
        <w:t>України</w:t>
      </w:r>
      <w:r w:rsidR="00EF6968" w:rsidRPr="003E1FEF">
        <w:rPr>
          <w:color w:val="000000" w:themeColor="text1"/>
          <w:spacing w:val="54"/>
        </w:rPr>
        <w:t xml:space="preserve"> </w:t>
      </w:r>
      <w:r w:rsidR="00EF6968" w:rsidRPr="003E1FEF">
        <w:rPr>
          <w:color w:val="000000" w:themeColor="text1"/>
        </w:rPr>
        <w:t>від</w:t>
      </w:r>
      <w:r w:rsidR="00EF6968" w:rsidRPr="003E1FEF">
        <w:rPr>
          <w:color w:val="000000" w:themeColor="text1"/>
          <w:spacing w:val="54"/>
        </w:rPr>
        <w:t xml:space="preserve"> </w:t>
      </w:r>
      <w:r w:rsidR="00EF6968" w:rsidRPr="003E1FEF">
        <w:rPr>
          <w:color w:val="000000" w:themeColor="text1"/>
        </w:rPr>
        <w:t>22</w:t>
      </w:r>
      <w:r w:rsidR="00EF6968" w:rsidRPr="003E1FEF">
        <w:rPr>
          <w:color w:val="000000" w:themeColor="text1"/>
          <w:spacing w:val="55"/>
        </w:rPr>
        <w:t xml:space="preserve"> </w:t>
      </w:r>
      <w:r w:rsidR="00EF6968" w:rsidRPr="003E1FEF">
        <w:rPr>
          <w:color w:val="000000" w:themeColor="text1"/>
        </w:rPr>
        <w:t>серпня</w:t>
      </w:r>
      <w:r w:rsidR="00EF6968" w:rsidRPr="003E1FEF">
        <w:rPr>
          <w:color w:val="000000" w:themeColor="text1"/>
          <w:spacing w:val="54"/>
        </w:rPr>
        <w:t xml:space="preserve"> </w:t>
      </w:r>
      <w:r w:rsidR="00EF6968" w:rsidRPr="003E1FEF">
        <w:rPr>
          <w:color w:val="000000" w:themeColor="text1"/>
        </w:rPr>
        <w:t>2024</w:t>
      </w:r>
      <w:r w:rsidR="00EF6968" w:rsidRPr="003E1FEF">
        <w:rPr>
          <w:color w:val="000000" w:themeColor="text1"/>
          <w:spacing w:val="55"/>
        </w:rPr>
        <w:t xml:space="preserve"> </w:t>
      </w:r>
      <w:r w:rsidR="00EF6968" w:rsidRPr="003E1FEF">
        <w:rPr>
          <w:color w:val="000000" w:themeColor="text1"/>
          <w:spacing w:val="-4"/>
        </w:rPr>
        <w:t>року</w:t>
      </w:r>
      <w:r w:rsidRPr="003E1FEF">
        <w:rPr>
          <w:color w:val="000000" w:themeColor="text1"/>
          <w:spacing w:val="-4"/>
        </w:rPr>
        <w:t xml:space="preserve"> </w:t>
      </w:r>
      <w:r w:rsidR="00EF6968" w:rsidRPr="003E1FEF">
        <w:rPr>
          <w:color w:val="000000" w:themeColor="text1"/>
        </w:rPr>
        <w:t>№</w:t>
      </w:r>
      <w:r w:rsidR="00EF6968" w:rsidRPr="003E1FEF">
        <w:rPr>
          <w:color w:val="000000" w:themeColor="text1"/>
          <w:spacing w:val="-2"/>
        </w:rPr>
        <w:t xml:space="preserve"> </w:t>
      </w:r>
      <w:r w:rsidR="00EF6968" w:rsidRPr="003E1FEF">
        <w:rPr>
          <w:color w:val="000000" w:themeColor="text1"/>
        </w:rPr>
        <w:t xml:space="preserve">3926-ІХ «Про внесення змін до Митного кодексу України щодо імплементації деяких положень Митного кодексу Європейського Союзу», </w:t>
      </w:r>
      <w:hyperlink r:id="rId9" w:anchor="n22">
        <w:r w:rsidR="00EF6968" w:rsidRPr="003E1FEF">
          <w:rPr>
            <w:color w:val="000000" w:themeColor="text1"/>
          </w:rPr>
          <w:t>підпункту 5</w:t>
        </w:r>
      </w:hyperlink>
      <w:r w:rsidR="00EF6968" w:rsidRPr="003E1FEF">
        <w:rPr>
          <w:color w:val="000000" w:themeColor="text1"/>
        </w:rPr>
        <w:t xml:space="preserve"> пункту 4 Положення про Міністерство фінансів України, затвердженого</w:t>
      </w:r>
      <w:r w:rsidR="00EF6968" w:rsidRPr="003E1FEF">
        <w:rPr>
          <w:color w:val="000000" w:themeColor="text1"/>
          <w:spacing w:val="4"/>
        </w:rPr>
        <w:t xml:space="preserve"> </w:t>
      </w:r>
      <w:r w:rsidR="00EF6968" w:rsidRPr="003E1FEF">
        <w:rPr>
          <w:color w:val="000000" w:themeColor="text1"/>
        </w:rPr>
        <w:t>постановою</w:t>
      </w:r>
      <w:r w:rsidR="00EF6968" w:rsidRPr="003E1FEF">
        <w:rPr>
          <w:color w:val="000000" w:themeColor="text1"/>
          <w:spacing w:val="4"/>
        </w:rPr>
        <w:t xml:space="preserve"> </w:t>
      </w:r>
      <w:r w:rsidR="00EF6968" w:rsidRPr="003E1FEF">
        <w:rPr>
          <w:color w:val="000000" w:themeColor="text1"/>
        </w:rPr>
        <w:t>Кабінету</w:t>
      </w:r>
      <w:r w:rsidR="00EF6968" w:rsidRPr="003E1FEF">
        <w:rPr>
          <w:color w:val="000000" w:themeColor="text1"/>
          <w:spacing w:val="4"/>
        </w:rPr>
        <w:t xml:space="preserve"> </w:t>
      </w:r>
      <w:r w:rsidR="00EF6968" w:rsidRPr="003E1FEF">
        <w:rPr>
          <w:color w:val="000000" w:themeColor="text1"/>
        </w:rPr>
        <w:t>Міністрів</w:t>
      </w:r>
      <w:r w:rsidR="00EF6968" w:rsidRPr="003E1FEF">
        <w:rPr>
          <w:color w:val="000000" w:themeColor="text1"/>
          <w:spacing w:val="4"/>
        </w:rPr>
        <w:t xml:space="preserve"> </w:t>
      </w:r>
      <w:r w:rsidR="00EF6968" w:rsidRPr="003E1FEF">
        <w:rPr>
          <w:color w:val="000000" w:themeColor="text1"/>
        </w:rPr>
        <w:t>України</w:t>
      </w:r>
      <w:r w:rsidR="00EF6968" w:rsidRPr="003E1FEF">
        <w:rPr>
          <w:color w:val="000000" w:themeColor="text1"/>
          <w:spacing w:val="4"/>
        </w:rPr>
        <w:t xml:space="preserve"> </w:t>
      </w:r>
      <w:r w:rsidR="00EF6968" w:rsidRPr="003E1FEF">
        <w:rPr>
          <w:color w:val="000000" w:themeColor="text1"/>
        </w:rPr>
        <w:t>від</w:t>
      </w:r>
      <w:r w:rsidR="00EF6968" w:rsidRPr="003E1FEF">
        <w:rPr>
          <w:color w:val="000000" w:themeColor="text1"/>
          <w:spacing w:val="4"/>
        </w:rPr>
        <w:t xml:space="preserve"> </w:t>
      </w:r>
      <w:r w:rsidR="00EF6968" w:rsidRPr="003E1FEF">
        <w:rPr>
          <w:color w:val="000000" w:themeColor="text1"/>
        </w:rPr>
        <w:t>20</w:t>
      </w:r>
      <w:r w:rsidR="00EF6968" w:rsidRPr="003E1FEF">
        <w:rPr>
          <w:color w:val="000000" w:themeColor="text1"/>
          <w:spacing w:val="4"/>
        </w:rPr>
        <w:t xml:space="preserve"> </w:t>
      </w:r>
      <w:r w:rsidR="00EF6968" w:rsidRPr="003E1FEF">
        <w:rPr>
          <w:color w:val="000000" w:themeColor="text1"/>
        </w:rPr>
        <w:t>серпня</w:t>
      </w:r>
      <w:r w:rsidR="00EF6968" w:rsidRPr="003E1FEF">
        <w:rPr>
          <w:color w:val="000000" w:themeColor="text1"/>
          <w:spacing w:val="4"/>
        </w:rPr>
        <w:t xml:space="preserve"> </w:t>
      </w:r>
      <w:r w:rsidR="00EF6968" w:rsidRPr="003E1FEF">
        <w:rPr>
          <w:color w:val="000000" w:themeColor="text1"/>
        </w:rPr>
        <w:t>2014</w:t>
      </w:r>
      <w:r w:rsidR="00EF6968" w:rsidRPr="003E1FEF">
        <w:rPr>
          <w:color w:val="000000" w:themeColor="text1"/>
          <w:spacing w:val="4"/>
        </w:rPr>
        <w:t xml:space="preserve"> </w:t>
      </w:r>
      <w:r w:rsidR="00EF6968" w:rsidRPr="003E1FEF">
        <w:rPr>
          <w:color w:val="000000" w:themeColor="text1"/>
          <w:spacing w:val="-4"/>
        </w:rPr>
        <w:t>року</w:t>
      </w:r>
      <w:r w:rsidRPr="003E1FEF">
        <w:rPr>
          <w:color w:val="000000" w:themeColor="text1"/>
          <w:spacing w:val="-4"/>
        </w:rPr>
        <w:t xml:space="preserve"> </w:t>
      </w:r>
      <w:r w:rsidR="00EF6968" w:rsidRPr="003E1FEF">
        <w:rPr>
          <w:color w:val="000000" w:themeColor="text1"/>
        </w:rPr>
        <w:t>№</w:t>
      </w:r>
      <w:r w:rsidR="00EF6968" w:rsidRPr="003E1FEF">
        <w:rPr>
          <w:color w:val="000000" w:themeColor="text1"/>
          <w:spacing w:val="-1"/>
        </w:rPr>
        <w:t xml:space="preserve"> </w:t>
      </w:r>
      <w:r w:rsidR="00EF6968" w:rsidRPr="003E1FEF">
        <w:rPr>
          <w:color w:val="000000" w:themeColor="text1"/>
          <w:spacing w:val="-4"/>
        </w:rPr>
        <w:t>375,</w:t>
      </w:r>
    </w:p>
    <w:p w:rsidR="00957C4C" w:rsidRPr="003E1FEF" w:rsidRDefault="00957C4C" w:rsidP="006B564F">
      <w:pPr>
        <w:pStyle w:val="a3"/>
        <w:ind w:right="1"/>
        <w:rPr>
          <w:color w:val="000000" w:themeColor="text1"/>
        </w:rPr>
      </w:pPr>
    </w:p>
    <w:p w:rsidR="00957C4C" w:rsidRPr="003E1FEF" w:rsidRDefault="00EF6968" w:rsidP="006B564F">
      <w:pPr>
        <w:pStyle w:val="1"/>
        <w:ind w:left="0" w:right="1"/>
        <w:rPr>
          <w:color w:val="000000" w:themeColor="text1"/>
        </w:rPr>
      </w:pPr>
      <w:r w:rsidRPr="003E1FEF">
        <w:rPr>
          <w:color w:val="000000" w:themeColor="text1"/>
          <w:spacing w:val="-2"/>
        </w:rPr>
        <w:t>НАКАЗУЮ:</w:t>
      </w:r>
    </w:p>
    <w:p w:rsidR="00826D39" w:rsidRPr="003E1FEF" w:rsidRDefault="00826D39" w:rsidP="006B564F">
      <w:pPr>
        <w:ind w:right="1"/>
        <w:jc w:val="both"/>
        <w:rPr>
          <w:color w:val="000000" w:themeColor="text1"/>
          <w:sz w:val="28"/>
          <w:szCs w:val="28"/>
        </w:rPr>
      </w:pPr>
      <w:r w:rsidRPr="003E1FEF">
        <w:rPr>
          <w:color w:val="000000" w:themeColor="text1"/>
          <w:sz w:val="28"/>
          <w:szCs w:val="28"/>
          <w:lang w:eastAsia="ru-RU"/>
        </w:rPr>
        <w:tab/>
      </w:r>
    </w:p>
    <w:p w:rsidR="00826D39" w:rsidRPr="003E1FEF" w:rsidRDefault="00826D39" w:rsidP="00EC4C02">
      <w:pPr>
        <w:ind w:firstLine="567"/>
        <w:jc w:val="both"/>
        <w:rPr>
          <w:color w:val="000000" w:themeColor="text1"/>
          <w:sz w:val="28"/>
          <w:szCs w:val="28"/>
          <w:lang w:eastAsia="ru-RU"/>
        </w:rPr>
      </w:pPr>
      <w:r w:rsidRPr="003E1FEF">
        <w:rPr>
          <w:color w:val="000000" w:themeColor="text1"/>
          <w:sz w:val="28"/>
          <w:szCs w:val="28"/>
          <w:lang w:eastAsia="ru-RU"/>
        </w:rPr>
        <w:t>1. Затвердити такі, що додаються:</w:t>
      </w:r>
    </w:p>
    <w:p w:rsidR="00826D39" w:rsidRPr="003E1FEF" w:rsidRDefault="00826D39" w:rsidP="00EC4C02">
      <w:pPr>
        <w:ind w:firstLine="567"/>
        <w:jc w:val="both"/>
        <w:rPr>
          <w:color w:val="000000" w:themeColor="text1"/>
          <w:sz w:val="28"/>
          <w:szCs w:val="28"/>
          <w:lang w:eastAsia="ru-RU"/>
        </w:rPr>
      </w:pPr>
      <w:r w:rsidRPr="003E1FEF">
        <w:rPr>
          <w:color w:val="000000" w:themeColor="text1"/>
          <w:sz w:val="28"/>
          <w:szCs w:val="28"/>
          <w:lang w:eastAsia="ru-RU"/>
        </w:rPr>
        <w:t>Порядок надання дозволу на експлуатацію вільної митної зони і контролю за діяльністю підприємства, яке його отримало;</w:t>
      </w:r>
    </w:p>
    <w:p w:rsidR="00826D39" w:rsidRPr="003E1FEF" w:rsidRDefault="00826D39" w:rsidP="00EC4C02">
      <w:pPr>
        <w:ind w:firstLine="567"/>
        <w:jc w:val="both"/>
        <w:rPr>
          <w:color w:val="000000" w:themeColor="text1"/>
          <w:sz w:val="28"/>
          <w:szCs w:val="28"/>
          <w:lang w:eastAsia="ru-RU"/>
        </w:rPr>
      </w:pPr>
      <w:r w:rsidRPr="003E1FEF">
        <w:rPr>
          <w:color w:val="000000" w:themeColor="text1"/>
          <w:sz w:val="28"/>
          <w:szCs w:val="28"/>
          <w:lang w:eastAsia="ru-RU"/>
        </w:rPr>
        <w:t>форму заяви про надання дозволу на експлуатацію вільної митної зони;</w:t>
      </w:r>
    </w:p>
    <w:p w:rsidR="00826D39" w:rsidRPr="003E1FEF" w:rsidRDefault="00826D39" w:rsidP="00EC4C02">
      <w:pPr>
        <w:ind w:firstLine="567"/>
        <w:jc w:val="both"/>
        <w:rPr>
          <w:color w:val="000000" w:themeColor="text1"/>
          <w:sz w:val="28"/>
          <w:szCs w:val="28"/>
          <w:lang w:eastAsia="ru-RU"/>
        </w:rPr>
      </w:pPr>
      <w:r w:rsidRPr="003E1FEF">
        <w:rPr>
          <w:color w:val="000000" w:themeColor="text1"/>
          <w:sz w:val="28"/>
          <w:szCs w:val="28"/>
          <w:lang w:eastAsia="ru-RU"/>
        </w:rPr>
        <w:t>форму звіту про рух товарів у вільній митній зоні.</w:t>
      </w:r>
    </w:p>
    <w:p w:rsidR="00826D39" w:rsidRPr="003E1FEF" w:rsidRDefault="00826D39" w:rsidP="00EC4C02">
      <w:pPr>
        <w:ind w:firstLine="567"/>
        <w:jc w:val="both"/>
        <w:rPr>
          <w:color w:val="000000" w:themeColor="text1"/>
          <w:sz w:val="28"/>
          <w:szCs w:val="28"/>
          <w:lang w:eastAsia="ru-RU"/>
        </w:rPr>
      </w:pPr>
    </w:p>
    <w:p w:rsidR="00F53100" w:rsidRPr="003E1FEF" w:rsidRDefault="00826D39" w:rsidP="00EC4C02">
      <w:pPr>
        <w:ind w:firstLine="567"/>
        <w:jc w:val="both"/>
        <w:rPr>
          <w:color w:val="000000" w:themeColor="text1"/>
          <w:sz w:val="28"/>
          <w:szCs w:val="28"/>
          <w:lang w:eastAsia="ru-RU"/>
        </w:rPr>
      </w:pPr>
      <w:r w:rsidRPr="003E1FEF">
        <w:rPr>
          <w:color w:val="000000" w:themeColor="text1"/>
          <w:sz w:val="28"/>
          <w:szCs w:val="28"/>
          <w:lang w:eastAsia="ru-RU"/>
        </w:rPr>
        <w:t>2. </w:t>
      </w:r>
      <w:r w:rsidR="00F53100" w:rsidRPr="003E1FEF">
        <w:rPr>
          <w:color w:val="000000" w:themeColor="text1"/>
          <w:sz w:val="28"/>
          <w:szCs w:val="28"/>
          <w:lang w:eastAsia="ru-RU"/>
        </w:rPr>
        <w:t>Установити, що діяльність підприємств відповідно до дозволів на відкриття та експлуатацію вільної митної зони комерційного або сервісного типу, які залишаються чинними та продовжують діяти протягом 12 місяців з дня набрання чинності Законом України від 22 серпня 2024 року № 3926-IX «Про внесення змін до Митного кодексу України щодо імплементації деяких положень Митного кодексу Європейського Союзу», здійснюється з урахуванням таких особливостей:</w:t>
      </w:r>
    </w:p>
    <w:p w:rsidR="00F53100" w:rsidRDefault="00556A19" w:rsidP="00EC4C02">
      <w:pPr>
        <w:ind w:firstLine="567"/>
        <w:jc w:val="both"/>
        <w:rPr>
          <w:color w:val="000000" w:themeColor="text1"/>
          <w:sz w:val="28"/>
          <w:szCs w:val="28"/>
          <w:lang w:eastAsia="ru-RU"/>
        </w:rPr>
      </w:pPr>
      <w:r w:rsidRPr="003E1FEF">
        <w:rPr>
          <w:color w:val="000000" w:themeColor="text1"/>
          <w:sz w:val="28"/>
          <w:szCs w:val="28"/>
          <w:lang w:eastAsia="ru-RU"/>
        </w:rPr>
        <w:t>к</w:t>
      </w:r>
      <w:r w:rsidR="00F53100" w:rsidRPr="003E1FEF">
        <w:rPr>
          <w:color w:val="000000" w:themeColor="text1"/>
          <w:sz w:val="28"/>
          <w:szCs w:val="28"/>
          <w:lang w:eastAsia="ru-RU"/>
        </w:rPr>
        <w:t>онтроль за дотриманням підприємством вимог щодо облаштування територій або складів, які використовуються при провадженні діяльності з відкриття та експлуатації вільної митної зони комерційного або сервісного типу</w:t>
      </w:r>
      <w:r w:rsidRPr="003E1FEF">
        <w:rPr>
          <w:color w:val="000000" w:themeColor="text1"/>
          <w:sz w:val="28"/>
          <w:szCs w:val="28"/>
          <w:lang w:eastAsia="ru-RU"/>
        </w:rPr>
        <w:t xml:space="preserve">, здійснюється відповідно до вимог, що діяли на </w:t>
      </w:r>
      <w:r w:rsidR="007169A9">
        <w:rPr>
          <w:color w:val="000000" w:themeColor="text1"/>
          <w:sz w:val="28"/>
          <w:szCs w:val="28"/>
          <w:lang w:eastAsia="ru-RU"/>
        </w:rPr>
        <w:t>дату</w:t>
      </w:r>
      <w:r w:rsidRPr="003E1FEF">
        <w:rPr>
          <w:color w:val="000000" w:themeColor="text1"/>
          <w:sz w:val="28"/>
          <w:szCs w:val="28"/>
          <w:lang w:eastAsia="ru-RU"/>
        </w:rPr>
        <w:t xml:space="preserve"> видачі таких дозволів;</w:t>
      </w:r>
    </w:p>
    <w:p w:rsidR="00EC4C02" w:rsidRPr="003E1FEF" w:rsidRDefault="00EC4C02" w:rsidP="00EC4C02">
      <w:pPr>
        <w:ind w:firstLine="567"/>
        <w:jc w:val="both"/>
        <w:rPr>
          <w:color w:val="000000" w:themeColor="text1"/>
          <w:sz w:val="28"/>
          <w:szCs w:val="28"/>
          <w:lang w:eastAsia="ru-RU"/>
        </w:rPr>
      </w:pPr>
    </w:p>
    <w:p w:rsidR="00400C6E" w:rsidRPr="003E1FEF" w:rsidRDefault="00556A19" w:rsidP="00EC4C02">
      <w:pPr>
        <w:ind w:firstLine="567"/>
        <w:jc w:val="both"/>
        <w:rPr>
          <w:color w:val="000000" w:themeColor="text1"/>
          <w:sz w:val="28"/>
          <w:szCs w:val="28"/>
          <w:lang w:eastAsia="ru-RU"/>
        </w:rPr>
      </w:pPr>
      <w:r w:rsidRPr="003E1FEF">
        <w:rPr>
          <w:color w:val="000000" w:themeColor="text1"/>
          <w:sz w:val="28"/>
          <w:szCs w:val="28"/>
          <w:lang w:eastAsia="ru-RU"/>
        </w:rPr>
        <w:lastRenderedPageBreak/>
        <w:t xml:space="preserve">митний контроль та митне оформлення товарів, що переміщуються через межі вільної митної зони комерційного або сервісного типу та знаходяться на території вільної митної зони комерційного або сервісного типу, ведення обліку товарів та подання до митного органу звітів про рух товарів у вільній митній зоні, </w:t>
      </w:r>
      <w:r w:rsidR="00A51A96" w:rsidRPr="003E1FEF">
        <w:rPr>
          <w:color w:val="000000" w:themeColor="text1"/>
          <w:sz w:val="28"/>
          <w:szCs w:val="28"/>
          <w:lang w:eastAsia="ru-RU"/>
        </w:rPr>
        <w:t>обов’язки</w:t>
      </w:r>
      <w:r w:rsidR="00C95ACD" w:rsidRPr="003E1FEF">
        <w:rPr>
          <w:color w:val="000000" w:themeColor="text1"/>
          <w:sz w:val="28"/>
          <w:szCs w:val="28"/>
          <w:lang w:eastAsia="ru-RU"/>
        </w:rPr>
        <w:t> </w:t>
      </w:r>
      <w:r w:rsidRPr="003E1FEF">
        <w:rPr>
          <w:color w:val="000000" w:themeColor="text1"/>
          <w:sz w:val="28"/>
          <w:szCs w:val="28"/>
          <w:lang w:eastAsia="ru-RU"/>
        </w:rPr>
        <w:t>/</w:t>
      </w:r>
      <w:r w:rsidR="00C95ACD" w:rsidRPr="003E1FEF">
        <w:rPr>
          <w:color w:val="000000" w:themeColor="text1"/>
          <w:sz w:val="28"/>
          <w:szCs w:val="28"/>
          <w:lang w:eastAsia="ru-RU"/>
        </w:rPr>
        <w:t> </w:t>
      </w:r>
      <w:r w:rsidR="00A51A96" w:rsidRPr="003E1FEF">
        <w:rPr>
          <w:color w:val="000000" w:themeColor="text1"/>
          <w:sz w:val="28"/>
          <w:szCs w:val="28"/>
          <w:lang w:eastAsia="ru-RU"/>
        </w:rPr>
        <w:t>зобов’язання</w:t>
      </w:r>
      <w:r w:rsidRPr="003E1FEF">
        <w:rPr>
          <w:color w:val="000000" w:themeColor="text1"/>
          <w:sz w:val="28"/>
          <w:szCs w:val="28"/>
          <w:lang w:eastAsia="ru-RU"/>
        </w:rPr>
        <w:t xml:space="preserve"> та відповідальність </w:t>
      </w:r>
      <w:r w:rsidR="00A51A96" w:rsidRPr="003E1FEF">
        <w:rPr>
          <w:color w:val="000000" w:themeColor="text1"/>
          <w:sz w:val="28"/>
          <w:szCs w:val="28"/>
          <w:lang w:eastAsia="ru-RU"/>
        </w:rPr>
        <w:t xml:space="preserve">утримувачів вільних митних зон комерційного або сервісного типу, що провадять свою діяльність за дозволами </w:t>
      </w:r>
      <w:r w:rsidR="00400C6E" w:rsidRPr="003E1FEF">
        <w:rPr>
          <w:color w:val="000000" w:themeColor="text1"/>
          <w:sz w:val="28"/>
          <w:szCs w:val="28"/>
          <w:lang w:eastAsia="ru-RU"/>
        </w:rPr>
        <w:t>на відкриття та експлуатацію вільної митної зони комерційного або сервісного типу</w:t>
      </w:r>
      <w:r w:rsidR="00ED4B91" w:rsidRPr="003E1FEF">
        <w:rPr>
          <w:color w:val="000000" w:themeColor="text1"/>
          <w:sz w:val="28"/>
          <w:szCs w:val="28"/>
          <w:lang w:eastAsia="ru-RU"/>
        </w:rPr>
        <w:t>, здійснюється відповідно до вимог Митного кодексу України</w:t>
      </w:r>
      <w:r w:rsidR="00400C6E" w:rsidRPr="003E1FEF">
        <w:rPr>
          <w:color w:val="000000" w:themeColor="text1"/>
          <w:sz w:val="28"/>
          <w:szCs w:val="28"/>
          <w:lang w:eastAsia="ru-RU"/>
        </w:rPr>
        <w:t>;</w:t>
      </w:r>
    </w:p>
    <w:p w:rsidR="00556A19" w:rsidRPr="003E1FEF" w:rsidRDefault="00400C6E" w:rsidP="00EC4C02">
      <w:pPr>
        <w:ind w:firstLine="567"/>
        <w:jc w:val="both"/>
        <w:rPr>
          <w:color w:val="000000" w:themeColor="text1"/>
          <w:sz w:val="28"/>
          <w:szCs w:val="28"/>
          <w:lang w:eastAsia="ru-RU"/>
        </w:rPr>
      </w:pPr>
      <w:r w:rsidRPr="003E1FEF">
        <w:rPr>
          <w:color w:val="000000" w:themeColor="text1"/>
          <w:sz w:val="28"/>
          <w:szCs w:val="28"/>
          <w:lang w:eastAsia="ru-RU"/>
        </w:rPr>
        <w:t xml:space="preserve">операції з товарами, що розміщуються у вільних митних зонах комерційного або сервісного типу, які здійснюються підприємствами відповідно до дозволів на відкриття та експлуатацію вільної митної зони комерційного або сервісного типу, провадяться в обсязі, який діяв на </w:t>
      </w:r>
      <w:r w:rsidR="007169A9">
        <w:rPr>
          <w:color w:val="000000" w:themeColor="text1"/>
          <w:sz w:val="28"/>
          <w:szCs w:val="28"/>
          <w:lang w:eastAsia="ru-RU"/>
        </w:rPr>
        <w:t>дату</w:t>
      </w:r>
      <w:r w:rsidRPr="003E1FEF">
        <w:rPr>
          <w:color w:val="000000" w:themeColor="text1"/>
          <w:sz w:val="28"/>
          <w:szCs w:val="28"/>
          <w:lang w:eastAsia="ru-RU"/>
        </w:rPr>
        <w:t xml:space="preserve"> отримання таких дозволів</w:t>
      </w:r>
      <w:bookmarkStart w:id="0" w:name="_GoBack"/>
      <w:bookmarkEnd w:id="0"/>
      <w:r w:rsidR="00562B4A" w:rsidRPr="003E1FEF">
        <w:rPr>
          <w:color w:val="000000" w:themeColor="text1"/>
          <w:sz w:val="28"/>
          <w:szCs w:val="28"/>
          <w:lang w:eastAsia="ru-RU"/>
        </w:rPr>
        <w:t>;</w:t>
      </w:r>
    </w:p>
    <w:p w:rsidR="00F53100" w:rsidRPr="003E1FEF" w:rsidRDefault="006C1EA7" w:rsidP="00EC4C02">
      <w:pPr>
        <w:ind w:firstLine="567"/>
        <w:jc w:val="both"/>
        <w:rPr>
          <w:color w:val="000000" w:themeColor="text1"/>
          <w:sz w:val="28"/>
          <w:szCs w:val="28"/>
          <w:lang w:eastAsia="ru-RU"/>
        </w:rPr>
      </w:pPr>
      <w:r w:rsidRPr="003E1FEF">
        <w:rPr>
          <w:color w:val="000000" w:themeColor="text1"/>
          <w:sz w:val="28"/>
          <w:szCs w:val="28"/>
          <w:lang w:eastAsia="ru-RU"/>
        </w:rPr>
        <w:t>дозві</w:t>
      </w:r>
      <w:r w:rsidR="00F53100" w:rsidRPr="003E1FEF">
        <w:rPr>
          <w:color w:val="000000" w:themeColor="text1"/>
          <w:sz w:val="28"/>
          <w:szCs w:val="28"/>
          <w:lang w:eastAsia="ru-RU"/>
        </w:rPr>
        <w:t>л на відкриття та на експлуатацію вільної митної зони комерційного або сервісного типу підляга</w:t>
      </w:r>
      <w:r w:rsidRPr="003E1FEF">
        <w:rPr>
          <w:color w:val="000000" w:themeColor="text1"/>
          <w:sz w:val="28"/>
          <w:szCs w:val="28"/>
          <w:lang w:eastAsia="ru-RU"/>
        </w:rPr>
        <w:t>є</w:t>
      </w:r>
      <w:r w:rsidR="00F53100" w:rsidRPr="003E1FEF">
        <w:rPr>
          <w:color w:val="000000" w:themeColor="text1"/>
          <w:sz w:val="28"/>
          <w:szCs w:val="28"/>
          <w:lang w:eastAsia="ru-RU"/>
        </w:rPr>
        <w:t xml:space="preserve"> скасуванню одночасно з отримання підприємством дозволу на експлуатацію вільної митної зони.</w:t>
      </w:r>
    </w:p>
    <w:p w:rsidR="00957C4C" w:rsidRPr="003E1FEF" w:rsidRDefault="00957C4C" w:rsidP="00EC4C02">
      <w:pPr>
        <w:pStyle w:val="a3"/>
        <w:rPr>
          <w:color w:val="000000" w:themeColor="text1"/>
        </w:rPr>
      </w:pP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rPr>
        <w:t>3. Визнати такими, що втратили чинність</w:t>
      </w:r>
      <w:bookmarkStart w:id="1" w:name="_Hlk113886377"/>
      <w:r w:rsidRPr="003E1FEF">
        <w:rPr>
          <w:color w:val="000000" w:themeColor="text1"/>
          <w:sz w:val="28"/>
          <w:szCs w:val="28"/>
        </w:rPr>
        <w:t>:</w:t>
      </w:r>
    </w:p>
    <w:bookmarkEnd w:id="1"/>
    <w:p w:rsidR="00826D39" w:rsidRPr="003E1FEF" w:rsidRDefault="00826D39" w:rsidP="00EC4C02">
      <w:pPr>
        <w:widowControl/>
        <w:tabs>
          <w:tab w:val="left" w:pos="851"/>
          <w:tab w:val="left" w:pos="993"/>
        </w:tabs>
        <w:adjustRightInd w:val="0"/>
        <w:ind w:firstLine="567"/>
        <w:jc w:val="both"/>
        <w:rPr>
          <w:color w:val="000000" w:themeColor="text1"/>
          <w:sz w:val="28"/>
          <w:szCs w:val="28"/>
          <w:lang w:eastAsia="ru-RU"/>
        </w:rPr>
      </w:pPr>
      <w:r w:rsidRPr="003E1FEF">
        <w:rPr>
          <w:color w:val="000000" w:themeColor="text1"/>
          <w:sz w:val="28"/>
          <w:szCs w:val="28"/>
          <w:lang w:eastAsia="ru-RU"/>
        </w:rPr>
        <w:t xml:space="preserve">наказ Міністерства фінансів України від 30 травня 2012 року № 633 </w:t>
      </w:r>
      <w:r w:rsidRPr="003E1FEF">
        <w:rPr>
          <w:color w:val="000000" w:themeColor="text1"/>
          <w:sz w:val="28"/>
          <w:szCs w:val="28"/>
          <w:lang w:eastAsia="ru-RU"/>
        </w:rPr>
        <w:br/>
        <w:t xml:space="preserve">«Про деякі питання відкриття та експлуатації вільної митної зони комерційного або сервісного типу», зареєстрований у Міністерстві юстиції України 25 червня </w:t>
      </w:r>
      <w:r w:rsidR="00C95ACD" w:rsidRPr="003E1FEF">
        <w:rPr>
          <w:color w:val="000000" w:themeColor="text1"/>
          <w:sz w:val="28"/>
          <w:szCs w:val="28"/>
          <w:lang w:eastAsia="ru-RU"/>
        </w:rPr>
        <w:br/>
      </w:r>
      <w:r w:rsidRPr="003E1FEF">
        <w:rPr>
          <w:color w:val="000000" w:themeColor="text1"/>
          <w:sz w:val="28"/>
          <w:szCs w:val="28"/>
          <w:lang w:eastAsia="ru-RU"/>
        </w:rPr>
        <w:t>2012 року за № 1048/21360;</w:t>
      </w: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lang w:eastAsia="ru-RU"/>
        </w:rPr>
        <w:t xml:space="preserve">наказ Міністерства фінансів України від 30 липня 2021 року № 434 </w:t>
      </w:r>
      <w:r w:rsidRPr="003E1FEF">
        <w:rPr>
          <w:color w:val="000000" w:themeColor="text1"/>
          <w:sz w:val="28"/>
          <w:szCs w:val="28"/>
          <w:lang w:eastAsia="ru-RU"/>
        </w:rPr>
        <w:br/>
        <w:t xml:space="preserve">«Про затвердження форми звіту про рух товарів у вільній митній зоні», зареєстрований у Міністерстві юстиції України 18 серпня 2021 року </w:t>
      </w:r>
      <w:r w:rsidR="00C95ACD" w:rsidRPr="003E1FEF">
        <w:rPr>
          <w:color w:val="000000" w:themeColor="text1"/>
          <w:sz w:val="28"/>
          <w:szCs w:val="28"/>
          <w:lang w:eastAsia="ru-RU"/>
        </w:rPr>
        <w:br/>
      </w:r>
      <w:r w:rsidRPr="003E1FEF">
        <w:rPr>
          <w:color w:val="000000" w:themeColor="text1"/>
          <w:sz w:val="28"/>
          <w:szCs w:val="28"/>
          <w:lang w:eastAsia="ru-RU"/>
        </w:rPr>
        <w:t>за № </w:t>
      </w:r>
      <w:r w:rsidRPr="003E1FEF">
        <w:rPr>
          <w:color w:val="000000" w:themeColor="text1"/>
          <w:sz w:val="28"/>
          <w:szCs w:val="28"/>
        </w:rPr>
        <w:t>1089/36711.</w:t>
      </w:r>
    </w:p>
    <w:p w:rsidR="00E06ECD" w:rsidRPr="003E1FEF" w:rsidRDefault="00E06ECD" w:rsidP="00EC4C02">
      <w:pPr>
        <w:pStyle w:val="a3"/>
        <w:rPr>
          <w:color w:val="000000" w:themeColor="text1"/>
        </w:rPr>
      </w:pPr>
    </w:p>
    <w:p w:rsidR="00826D39" w:rsidRPr="003E1FEF" w:rsidRDefault="00826D39" w:rsidP="00EC4C02">
      <w:pPr>
        <w:widowControl/>
        <w:autoSpaceDE/>
        <w:autoSpaceDN/>
        <w:ind w:firstLine="567"/>
        <w:jc w:val="both"/>
        <w:rPr>
          <w:color w:val="000000" w:themeColor="text1"/>
          <w:sz w:val="28"/>
          <w:szCs w:val="28"/>
        </w:rPr>
      </w:pPr>
      <w:bookmarkStart w:id="2" w:name="_Hlk119239872"/>
      <w:r w:rsidRPr="003E1FEF">
        <w:rPr>
          <w:color w:val="000000" w:themeColor="text1"/>
          <w:sz w:val="28"/>
          <w:szCs w:val="28"/>
        </w:rPr>
        <w:t>4.</w:t>
      </w:r>
      <w:bookmarkEnd w:id="2"/>
      <w:r w:rsidRPr="003E1FEF">
        <w:rPr>
          <w:color w:val="000000" w:themeColor="text1"/>
          <w:sz w:val="28"/>
          <w:szCs w:val="28"/>
        </w:rPr>
        <w:t xml:space="preserve"> Державній митній службі України протягом </w:t>
      </w:r>
      <w:r w:rsidR="00E00746" w:rsidRPr="003E1FEF">
        <w:rPr>
          <w:color w:val="000000" w:themeColor="text1"/>
          <w:sz w:val="28"/>
          <w:szCs w:val="28"/>
        </w:rPr>
        <w:t>6</w:t>
      </w:r>
      <w:r w:rsidRPr="003E1FEF">
        <w:rPr>
          <w:color w:val="000000" w:themeColor="text1"/>
          <w:sz w:val="28"/>
          <w:szCs w:val="28"/>
        </w:rPr>
        <w:t xml:space="preserve"> місяців з дня офіційного опублікування цього наказу доопрацювати програмне забезпечення щодо подачі та опрацювання документів та/або інформації, необхідних для прийняття рішень митним органом </w:t>
      </w:r>
      <w:r w:rsidR="007169A9">
        <w:rPr>
          <w:color w:val="000000" w:themeColor="text1"/>
          <w:sz w:val="28"/>
          <w:szCs w:val="28"/>
        </w:rPr>
        <w:t>про</w:t>
      </w:r>
      <w:r w:rsidRPr="003E1FEF">
        <w:rPr>
          <w:color w:val="000000" w:themeColor="text1"/>
          <w:sz w:val="28"/>
          <w:szCs w:val="28"/>
        </w:rPr>
        <w:t xml:space="preserve"> надання дозволів на експлуатацію вільної митної зони, про внесення змін до зазначених рішень, про їх перегляд, зупинення, поновлення, скасування чи анулювання.</w:t>
      </w:r>
    </w:p>
    <w:p w:rsidR="00E00746" w:rsidRPr="003E1FEF" w:rsidRDefault="00E00746" w:rsidP="00EC4C02">
      <w:pPr>
        <w:widowControl/>
        <w:autoSpaceDE/>
        <w:autoSpaceDN/>
        <w:ind w:firstLine="567"/>
        <w:jc w:val="both"/>
        <w:rPr>
          <w:color w:val="000000" w:themeColor="text1"/>
          <w:sz w:val="28"/>
          <w:szCs w:val="28"/>
        </w:rPr>
      </w:pP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rPr>
        <w:t>5. Департаменту митної політики Міністерства фінансів України в установленому порядку забезпечити:</w:t>
      </w: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rPr>
        <w:t>подання цього наказу на державну реєстрацію до Міністерства юстиції України;</w:t>
      </w: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rPr>
        <w:t>оприлюднення цього наказу.</w:t>
      </w:r>
    </w:p>
    <w:p w:rsidR="00826D39" w:rsidRPr="003E1FEF" w:rsidRDefault="00826D39" w:rsidP="00EC4C02">
      <w:pPr>
        <w:widowControl/>
        <w:autoSpaceDE/>
        <w:autoSpaceDN/>
        <w:ind w:firstLine="567"/>
        <w:jc w:val="both"/>
        <w:rPr>
          <w:color w:val="000000" w:themeColor="text1"/>
          <w:sz w:val="28"/>
          <w:szCs w:val="28"/>
        </w:rPr>
      </w:pP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rPr>
        <w:t xml:space="preserve">6. Цей наказ набирає чинності з дня його офіційного опублікування. </w:t>
      </w:r>
    </w:p>
    <w:p w:rsidR="00826D39" w:rsidRPr="003E1FEF" w:rsidRDefault="00826D39" w:rsidP="00EC4C02">
      <w:pPr>
        <w:widowControl/>
        <w:autoSpaceDE/>
        <w:autoSpaceDN/>
        <w:ind w:firstLine="567"/>
        <w:jc w:val="both"/>
        <w:rPr>
          <w:color w:val="000000" w:themeColor="text1"/>
          <w:sz w:val="28"/>
          <w:szCs w:val="28"/>
        </w:rPr>
      </w:pPr>
    </w:p>
    <w:p w:rsidR="00826D39" w:rsidRPr="003E1FEF" w:rsidRDefault="00826D39" w:rsidP="00EC4C02">
      <w:pPr>
        <w:widowControl/>
        <w:autoSpaceDE/>
        <w:autoSpaceDN/>
        <w:ind w:firstLine="567"/>
        <w:jc w:val="both"/>
        <w:rPr>
          <w:color w:val="000000" w:themeColor="text1"/>
          <w:sz w:val="28"/>
          <w:szCs w:val="28"/>
        </w:rPr>
      </w:pPr>
      <w:r w:rsidRPr="003E1FEF">
        <w:rPr>
          <w:color w:val="000000" w:themeColor="text1"/>
          <w:sz w:val="28"/>
          <w:szCs w:val="28"/>
        </w:rPr>
        <w:lastRenderedPageBreak/>
        <w:t xml:space="preserve">7. Контроль за виконанням цього наказу покласти на заступника Міністра фінансів України з питань європейської інтеграції </w:t>
      </w:r>
      <w:proofErr w:type="spellStart"/>
      <w:r w:rsidRPr="003E1FEF">
        <w:rPr>
          <w:color w:val="000000" w:themeColor="text1"/>
          <w:sz w:val="28"/>
          <w:szCs w:val="28"/>
        </w:rPr>
        <w:t>Драганчука</w:t>
      </w:r>
      <w:proofErr w:type="spellEnd"/>
      <w:r w:rsidRPr="003E1FEF">
        <w:rPr>
          <w:color w:val="000000" w:themeColor="text1"/>
          <w:sz w:val="28"/>
          <w:szCs w:val="28"/>
        </w:rPr>
        <w:t xml:space="preserve"> Ю. О. та Голову Державної митної служби України.</w:t>
      </w:r>
    </w:p>
    <w:p w:rsidR="00957C4C" w:rsidRPr="003E1FEF" w:rsidRDefault="00957C4C">
      <w:pPr>
        <w:pStyle w:val="a3"/>
        <w:rPr>
          <w:color w:val="000000" w:themeColor="text1"/>
        </w:rPr>
      </w:pPr>
    </w:p>
    <w:p w:rsidR="00826D39" w:rsidRPr="003E1FEF" w:rsidRDefault="00826D39">
      <w:pPr>
        <w:pStyle w:val="a3"/>
        <w:rPr>
          <w:color w:val="000000" w:themeColor="text1"/>
        </w:rPr>
      </w:pPr>
    </w:p>
    <w:p w:rsidR="00957C4C" w:rsidRPr="003E1FEF" w:rsidRDefault="00EF6968" w:rsidP="00826D39">
      <w:pPr>
        <w:tabs>
          <w:tab w:val="left" w:pos="7925"/>
        </w:tabs>
        <w:spacing w:before="1"/>
        <w:rPr>
          <w:b/>
          <w:color w:val="000000" w:themeColor="text1"/>
          <w:sz w:val="28"/>
        </w:rPr>
      </w:pPr>
      <w:r w:rsidRPr="003E1FEF">
        <w:rPr>
          <w:b/>
          <w:color w:val="000000" w:themeColor="text1"/>
          <w:sz w:val="28"/>
        </w:rPr>
        <w:t>Міністр</w:t>
      </w:r>
      <w:r w:rsidR="00E06ECD" w:rsidRPr="003E1FEF">
        <w:rPr>
          <w:b/>
          <w:color w:val="000000" w:themeColor="text1"/>
          <w:sz w:val="28"/>
        </w:rPr>
        <w:t xml:space="preserve">                                                                                       Сергій</w:t>
      </w:r>
      <w:r w:rsidRPr="003E1FEF">
        <w:rPr>
          <w:b/>
          <w:color w:val="000000" w:themeColor="text1"/>
          <w:spacing w:val="-2"/>
          <w:sz w:val="28"/>
        </w:rPr>
        <w:t xml:space="preserve"> </w:t>
      </w:r>
      <w:r w:rsidR="00E06ECD" w:rsidRPr="003E1FEF">
        <w:rPr>
          <w:b/>
          <w:color w:val="000000" w:themeColor="text1"/>
          <w:spacing w:val="-2"/>
          <w:sz w:val="28"/>
        </w:rPr>
        <w:t>МАРЧ</w:t>
      </w:r>
      <w:r w:rsidR="00C44082" w:rsidRPr="003E1FEF">
        <w:rPr>
          <w:b/>
          <w:color w:val="000000" w:themeColor="text1"/>
          <w:spacing w:val="-2"/>
          <w:sz w:val="28"/>
        </w:rPr>
        <w:t>Е</w:t>
      </w:r>
      <w:r w:rsidR="00E06ECD" w:rsidRPr="003E1FEF">
        <w:rPr>
          <w:b/>
          <w:color w:val="000000" w:themeColor="text1"/>
          <w:spacing w:val="-2"/>
          <w:sz w:val="28"/>
        </w:rPr>
        <w:t>НКО</w:t>
      </w:r>
    </w:p>
    <w:sectPr w:rsidR="00957C4C" w:rsidRPr="003E1FEF" w:rsidSect="00826D39">
      <w:headerReference w:type="default" r:id="rId10"/>
      <w:pgSz w:w="11910" w:h="16840"/>
      <w:pgMar w:top="620" w:right="711" w:bottom="1702" w:left="1275"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2EB" w:rsidRDefault="003452EB" w:rsidP="00E06ECD">
      <w:r>
        <w:separator/>
      </w:r>
    </w:p>
  </w:endnote>
  <w:endnote w:type="continuationSeparator" w:id="0">
    <w:p w:rsidR="003452EB" w:rsidRDefault="003452EB" w:rsidP="00E0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2EB" w:rsidRDefault="003452EB" w:rsidP="00E06ECD">
      <w:r>
        <w:separator/>
      </w:r>
    </w:p>
  </w:footnote>
  <w:footnote w:type="continuationSeparator" w:id="0">
    <w:p w:rsidR="003452EB" w:rsidRDefault="003452EB" w:rsidP="00E0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667603"/>
      <w:docPartObj>
        <w:docPartGallery w:val="Page Numbers (Top of Page)"/>
        <w:docPartUnique/>
      </w:docPartObj>
    </w:sdtPr>
    <w:sdtEndPr>
      <w:rPr>
        <w:sz w:val="24"/>
        <w:szCs w:val="24"/>
      </w:rPr>
    </w:sdtEndPr>
    <w:sdtContent>
      <w:p w:rsidR="00E06ECD" w:rsidRPr="006B564F" w:rsidRDefault="00E06ECD">
        <w:pPr>
          <w:pStyle w:val="a6"/>
          <w:jc w:val="center"/>
          <w:rPr>
            <w:sz w:val="24"/>
            <w:szCs w:val="24"/>
          </w:rPr>
        </w:pPr>
        <w:r w:rsidRPr="006B564F">
          <w:rPr>
            <w:sz w:val="24"/>
            <w:szCs w:val="24"/>
          </w:rPr>
          <w:fldChar w:fldCharType="begin"/>
        </w:r>
        <w:r w:rsidRPr="006B564F">
          <w:rPr>
            <w:sz w:val="24"/>
            <w:szCs w:val="24"/>
          </w:rPr>
          <w:instrText>PAGE   \* MERGEFORMAT</w:instrText>
        </w:r>
        <w:r w:rsidRPr="006B564F">
          <w:rPr>
            <w:sz w:val="24"/>
            <w:szCs w:val="24"/>
          </w:rPr>
          <w:fldChar w:fldCharType="separate"/>
        </w:r>
        <w:r w:rsidR="001236E1">
          <w:rPr>
            <w:noProof/>
            <w:sz w:val="24"/>
            <w:szCs w:val="24"/>
          </w:rPr>
          <w:t>3</w:t>
        </w:r>
        <w:r w:rsidRPr="006B564F">
          <w:rPr>
            <w:sz w:val="24"/>
            <w:szCs w:val="24"/>
          </w:rPr>
          <w:fldChar w:fldCharType="end"/>
        </w:r>
      </w:p>
    </w:sdtContent>
  </w:sdt>
  <w:p w:rsidR="00E06ECD" w:rsidRDefault="00E06E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F72B1"/>
    <w:multiLevelType w:val="hybridMultilevel"/>
    <w:tmpl w:val="7F429D6A"/>
    <w:lvl w:ilvl="0" w:tplc="7DB85B90">
      <w:start w:val="1"/>
      <w:numFmt w:val="decimal"/>
      <w:lvlText w:val="%1."/>
      <w:lvlJc w:val="left"/>
      <w:pPr>
        <w:ind w:left="1273"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2B42D75A">
      <w:numFmt w:val="bullet"/>
      <w:lvlText w:val="•"/>
      <w:lvlJc w:val="left"/>
      <w:pPr>
        <w:ind w:left="2172" w:hanging="280"/>
      </w:pPr>
      <w:rPr>
        <w:rFonts w:hint="default"/>
        <w:lang w:val="uk-UA" w:eastAsia="en-US" w:bidi="ar-SA"/>
      </w:rPr>
    </w:lvl>
    <w:lvl w:ilvl="2" w:tplc="1CCE5C12">
      <w:numFmt w:val="bullet"/>
      <w:lvlText w:val="•"/>
      <w:lvlJc w:val="left"/>
      <w:pPr>
        <w:ind w:left="3065" w:hanging="280"/>
      </w:pPr>
      <w:rPr>
        <w:rFonts w:hint="default"/>
        <w:lang w:val="uk-UA" w:eastAsia="en-US" w:bidi="ar-SA"/>
      </w:rPr>
    </w:lvl>
    <w:lvl w:ilvl="3" w:tplc="7250EEC0">
      <w:numFmt w:val="bullet"/>
      <w:lvlText w:val="•"/>
      <w:lvlJc w:val="left"/>
      <w:pPr>
        <w:ind w:left="3957" w:hanging="280"/>
      </w:pPr>
      <w:rPr>
        <w:rFonts w:hint="default"/>
        <w:lang w:val="uk-UA" w:eastAsia="en-US" w:bidi="ar-SA"/>
      </w:rPr>
    </w:lvl>
    <w:lvl w:ilvl="4" w:tplc="EA766038">
      <w:numFmt w:val="bullet"/>
      <w:lvlText w:val="•"/>
      <w:lvlJc w:val="left"/>
      <w:pPr>
        <w:ind w:left="4850" w:hanging="280"/>
      </w:pPr>
      <w:rPr>
        <w:rFonts w:hint="default"/>
        <w:lang w:val="uk-UA" w:eastAsia="en-US" w:bidi="ar-SA"/>
      </w:rPr>
    </w:lvl>
    <w:lvl w:ilvl="5" w:tplc="BB3A593C">
      <w:numFmt w:val="bullet"/>
      <w:lvlText w:val="•"/>
      <w:lvlJc w:val="left"/>
      <w:pPr>
        <w:ind w:left="5743" w:hanging="280"/>
      </w:pPr>
      <w:rPr>
        <w:rFonts w:hint="default"/>
        <w:lang w:val="uk-UA" w:eastAsia="en-US" w:bidi="ar-SA"/>
      </w:rPr>
    </w:lvl>
    <w:lvl w:ilvl="6" w:tplc="E5D246F6">
      <w:numFmt w:val="bullet"/>
      <w:lvlText w:val="•"/>
      <w:lvlJc w:val="left"/>
      <w:pPr>
        <w:ind w:left="6635" w:hanging="280"/>
      </w:pPr>
      <w:rPr>
        <w:rFonts w:hint="default"/>
        <w:lang w:val="uk-UA" w:eastAsia="en-US" w:bidi="ar-SA"/>
      </w:rPr>
    </w:lvl>
    <w:lvl w:ilvl="7" w:tplc="AB403B36">
      <w:numFmt w:val="bullet"/>
      <w:lvlText w:val="•"/>
      <w:lvlJc w:val="left"/>
      <w:pPr>
        <w:ind w:left="7528" w:hanging="280"/>
      </w:pPr>
      <w:rPr>
        <w:rFonts w:hint="default"/>
        <w:lang w:val="uk-UA" w:eastAsia="en-US" w:bidi="ar-SA"/>
      </w:rPr>
    </w:lvl>
    <w:lvl w:ilvl="8" w:tplc="19FEA3B4">
      <w:numFmt w:val="bullet"/>
      <w:lvlText w:val="•"/>
      <w:lvlJc w:val="left"/>
      <w:pPr>
        <w:ind w:left="8420" w:hanging="28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4C"/>
    <w:rsid w:val="000C7DB9"/>
    <w:rsid w:val="001236E1"/>
    <w:rsid w:val="001B3B2D"/>
    <w:rsid w:val="002806EC"/>
    <w:rsid w:val="002A1A9C"/>
    <w:rsid w:val="00331108"/>
    <w:rsid w:val="003452EB"/>
    <w:rsid w:val="0036022C"/>
    <w:rsid w:val="003E1FEF"/>
    <w:rsid w:val="00400C6E"/>
    <w:rsid w:val="00404523"/>
    <w:rsid w:val="00523A12"/>
    <w:rsid w:val="005455DD"/>
    <w:rsid w:val="00556A19"/>
    <w:rsid w:val="00562B4A"/>
    <w:rsid w:val="005E32A1"/>
    <w:rsid w:val="006420FC"/>
    <w:rsid w:val="00674672"/>
    <w:rsid w:val="006B564F"/>
    <w:rsid w:val="006C1EA7"/>
    <w:rsid w:val="007169A9"/>
    <w:rsid w:val="00743374"/>
    <w:rsid w:val="007E4BED"/>
    <w:rsid w:val="007F0D5B"/>
    <w:rsid w:val="00826D39"/>
    <w:rsid w:val="00957C4C"/>
    <w:rsid w:val="00A161F7"/>
    <w:rsid w:val="00A343A3"/>
    <w:rsid w:val="00A51A96"/>
    <w:rsid w:val="00B71842"/>
    <w:rsid w:val="00C44082"/>
    <w:rsid w:val="00C95ACD"/>
    <w:rsid w:val="00CE1646"/>
    <w:rsid w:val="00DB6869"/>
    <w:rsid w:val="00DD7FA4"/>
    <w:rsid w:val="00DE0F11"/>
    <w:rsid w:val="00E00746"/>
    <w:rsid w:val="00E06ECD"/>
    <w:rsid w:val="00EB0129"/>
    <w:rsid w:val="00EC4C02"/>
    <w:rsid w:val="00ED4B91"/>
    <w:rsid w:val="00EF6968"/>
    <w:rsid w:val="00F25CEB"/>
    <w:rsid w:val="00F36541"/>
    <w:rsid w:val="00F53100"/>
    <w:rsid w:val="00FC12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44A22-8973-4488-824A-207E9A9A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4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284"/>
      <w:jc w:val="center"/>
    </w:pPr>
    <w:rPr>
      <w:b/>
      <w:bCs/>
      <w:sz w:val="32"/>
      <w:szCs w:val="32"/>
    </w:rPr>
  </w:style>
  <w:style w:type="paragraph" w:styleId="a5">
    <w:name w:val="List Paragraph"/>
    <w:basedOn w:val="a"/>
    <w:uiPriority w:val="1"/>
    <w:qFormat/>
    <w:pPr>
      <w:ind w:left="1273" w:hanging="28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06ECD"/>
    <w:pPr>
      <w:tabs>
        <w:tab w:val="center" w:pos="4819"/>
        <w:tab w:val="right" w:pos="9639"/>
      </w:tabs>
    </w:pPr>
  </w:style>
  <w:style w:type="character" w:customStyle="1" w:styleId="a7">
    <w:name w:val="Верхній колонтитул Знак"/>
    <w:basedOn w:val="a0"/>
    <w:link w:val="a6"/>
    <w:uiPriority w:val="99"/>
    <w:rsid w:val="00E06ECD"/>
    <w:rPr>
      <w:rFonts w:ascii="Times New Roman" w:eastAsia="Times New Roman" w:hAnsi="Times New Roman" w:cs="Times New Roman"/>
      <w:lang w:val="uk-UA"/>
    </w:rPr>
  </w:style>
  <w:style w:type="paragraph" w:styleId="a8">
    <w:name w:val="footer"/>
    <w:basedOn w:val="a"/>
    <w:link w:val="a9"/>
    <w:uiPriority w:val="99"/>
    <w:unhideWhenUsed/>
    <w:rsid w:val="00E06ECD"/>
    <w:pPr>
      <w:tabs>
        <w:tab w:val="center" w:pos="4819"/>
        <w:tab w:val="right" w:pos="9639"/>
      </w:tabs>
    </w:pPr>
  </w:style>
  <w:style w:type="character" w:customStyle="1" w:styleId="a9">
    <w:name w:val="Нижній колонтитул Знак"/>
    <w:basedOn w:val="a0"/>
    <w:link w:val="a8"/>
    <w:uiPriority w:val="99"/>
    <w:rsid w:val="00E06ECD"/>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75-2014-%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EDC2-9C45-4DFF-95E3-CBBA6494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2864</Words>
  <Characters>1633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МАЛІНСЬКИЙ Віталій Миколайович</cp:lastModifiedBy>
  <cp:revision>12</cp:revision>
  <dcterms:created xsi:type="dcterms:W3CDTF">2025-07-17T07:03:00Z</dcterms:created>
  <dcterms:modified xsi:type="dcterms:W3CDTF">2025-11-27T15:10:00Z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2025-06-17T00:00:00Z</vt:filetime>
  </property>
  <property fmtid="{D5CDD505-2E9C-101B-9397-08002B2CF9AE}" pid="4" name="Producer">
    <vt:lpwstr>Aspose.Words for .NET 22.12.0</vt:lpwstr>
  </property>
</Properties>
</file>