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374" w:rsidRPr="00813DCA" w:rsidRDefault="00A26369" w:rsidP="00291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r w:rsidRPr="00813D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ПОЯСНЮВАЛЬНА ЗАПИСКА</w:t>
      </w:r>
    </w:p>
    <w:p w:rsidR="00B06166" w:rsidRPr="00813DCA" w:rsidRDefault="00B06166" w:rsidP="00291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26369" w:rsidRPr="00813DCA" w:rsidRDefault="00291374" w:rsidP="00434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3D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до </w:t>
      </w:r>
      <w:proofErr w:type="spellStart"/>
      <w:r w:rsidRPr="00813D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проєкту</w:t>
      </w:r>
      <w:proofErr w:type="spellEnd"/>
      <w:r w:rsidRPr="00813D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наказу Міністерства фінансів України «Про затвердження П</w:t>
      </w:r>
      <w:r w:rsidR="00766941" w:rsidRPr="00813D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орядку</w:t>
      </w:r>
      <w:r w:rsidRPr="00813D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оцінки фінансового стану </w:t>
      </w:r>
      <w:proofErr w:type="spellStart"/>
      <w:r w:rsidRPr="00813D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бенефіціара</w:t>
      </w:r>
      <w:proofErr w:type="spellEnd"/>
      <w:r w:rsidRPr="00813D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державної гарантії, кредиту (позики), визначення спроможності обслуговування кредиту (позики) та оцінки фінансової ефективності інвестиційного </w:t>
      </w:r>
      <w:proofErr w:type="spellStart"/>
      <w:r w:rsidRPr="00813D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</w:t>
      </w:r>
      <w:r w:rsidR="00DE4DE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є</w:t>
      </w:r>
      <w:r w:rsidRPr="00813D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кту</w:t>
      </w:r>
      <w:proofErr w:type="spellEnd"/>
      <w:r w:rsidRPr="00813D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:rsidR="00291374" w:rsidRPr="00813DCA" w:rsidRDefault="00291374" w:rsidP="00EE2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1" w:name="n3485"/>
      <w:bookmarkEnd w:id="1"/>
    </w:p>
    <w:p w:rsidR="00A26369" w:rsidRPr="00813DCA" w:rsidRDefault="00A26369" w:rsidP="00EE24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3D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</w:t>
      </w:r>
    </w:p>
    <w:p w:rsidR="00676F27" w:rsidRPr="00813DCA" w:rsidRDefault="00676F27" w:rsidP="00EE2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n3486"/>
      <w:bookmarkEnd w:id="2"/>
      <w:proofErr w:type="spellStart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«Про затвердження П</w:t>
      </w:r>
      <w:r w:rsidR="00766941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орядку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оцінки фінансового стану </w:t>
      </w:r>
      <w:proofErr w:type="spellStart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державної гарантії, кредиту (позики), визначення спроможності обслуговування кредиту (позики) та оцінки фінансової ефективності інвестиційного </w:t>
      </w:r>
      <w:proofErr w:type="spellStart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EE2466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кту</w:t>
      </w:r>
      <w:proofErr w:type="spellEnd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(далі – </w:t>
      </w:r>
      <w:proofErr w:type="spellStart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розроблено з метою запровадження єдиних методичних засад проведення Міністерством фінансів України оцінки фінансового стану </w:t>
      </w:r>
      <w:proofErr w:type="spellStart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отримує кредит (позику), залучену державою або під державну гарантію, визначення спроможності обслуговувати позику, проведення експертизи фінансової ефективності </w:t>
      </w:r>
      <w:proofErr w:type="spellStart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EE2466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кту</w:t>
      </w:r>
      <w:proofErr w:type="spellEnd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також визначення розміру забезпечення погашення кредиту (позики).</w:t>
      </w:r>
    </w:p>
    <w:p w:rsidR="00EE2466" w:rsidRPr="00813DCA" w:rsidRDefault="00EE2466" w:rsidP="00EE2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26369" w:rsidRPr="00813DCA" w:rsidRDefault="00A26369" w:rsidP="00EE2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3" w:name="n3487"/>
      <w:bookmarkEnd w:id="3"/>
      <w:r w:rsidRPr="00813D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Обґрунтування необхідності прийняття </w:t>
      </w:r>
      <w:proofErr w:type="spellStart"/>
      <w:r w:rsidRPr="00813D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акта</w:t>
      </w:r>
      <w:proofErr w:type="spellEnd"/>
    </w:p>
    <w:p w:rsidR="00612529" w:rsidRPr="00813DCA" w:rsidRDefault="00A75F20" w:rsidP="00EE2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n3488"/>
      <w:bookmarkEnd w:id="4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абзацу першого пункту 7 Порядку підготовки, реалізації, проведення моніторингу та завершення реалізації </w:t>
      </w:r>
      <w:proofErr w:type="spellStart"/>
      <w:r w:rsidR="00992DB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економічного </w:t>
      </w:r>
      <w:r w:rsidR="00EE2466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соціального розвитку України, що підтримуються міжнародними фінансовими організаціями, затвердженого постановою Кабінету Міністрів України </w:t>
      </w:r>
      <w:r w:rsidR="00EE2466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27 січня 2016 року №</w:t>
      </w:r>
      <w:r w:rsidR="00DE4DE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70</w:t>
      </w:r>
      <w:r w:rsidR="00BA566A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, пункту 1</w:t>
      </w:r>
      <w:r w:rsidR="00146F50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BA566A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Порядку підготовки публічних інвестиційних </w:t>
      </w:r>
      <w:proofErr w:type="spellStart"/>
      <w:r w:rsidR="00992DB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="00BA566A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="00BA566A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програм публічних інвестицій, затвердженого постановою Кабінету Міністрів України від 28 лютого 2025 р</w:t>
      </w:r>
      <w:r w:rsidR="00B3380E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оку</w:t>
      </w:r>
      <w:r w:rsidR="00BA566A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527</w:t>
      </w:r>
      <w:r w:rsidR="00B06166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A566A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57F77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пункту 2 Порядку визначення необхідності, розміру та виду майнового забезпечення під час надання кредитів (позик), залучених державою або під державні гарантії, затвердженого постановою Кабінету Міністрів України від 13 квітня 2011 року №</w:t>
      </w:r>
      <w:r w:rsidR="00DE4DE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157F77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460, </w:t>
      </w:r>
      <w:r w:rsidR="00BA566A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Міністерство фінансів України має здійснювати експертну оцінку відповідних </w:t>
      </w:r>
      <w:proofErr w:type="spellStart"/>
      <w:r w:rsidR="00BA566A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EE2466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BA566A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ктів</w:t>
      </w:r>
      <w:proofErr w:type="spellEnd"/>
      <w:r w:rsidR="00BA566A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програм у частині фінансового обґрунтування</w:t>
      </w:r>
      <w:r w:rsidR="00B51B98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зокрема фінансовий аналіз </w:t>
      </w:r>
      <w:proofErr w:type="spellStart"/>
      <w:r w:rsidR="00B51B98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EE2466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B51B98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ктів</w:t>
      </w:r>
      <w:proofErr w:type="spellEnd"/>
      <w:r w:rsidR="00B51B98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оцінку фінансового стану потенційного </w:t>
      </w:r>
      <w:proofErr w:type="spellStart"/>
      <w:r w:rsidR="00B51B98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B51B98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інвестиційного </w:t>
      </w:r>
      <w:proofErr w:type="spellStart"/>
      <w:r w:rsidR="00B51B98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EE2466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B51B98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кту</w:t>
      </w:r>
      <w:proofErr w:type="spellEnd"/>
      <w:r w:rsidR="008D3542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12529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12529" w:rsidRPr="00813DCA" w:rsidRDefault="00612529" w:rsidP="00EE2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рекомендаціями МВФ, які викладен</w:t>
      </w:r>
      <w:r w:rsidR="00EE2466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технічному звіті (</w:t>
      </w:r>
      <w:r w:rsidRPr="00813DC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TAR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813DCA">
        <w:rPr>
          <w:sz w:val="28"/>
          <w:szCs w:val="28"/>
        </w:rPr>
        <w:t xml:space="preserve"> 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UKRAINE </w:t>
      </w:r>
      <w:proofErr w:type="spellStart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Managing</w:t>
      </w:r>
      <w:proofErr w:type="spellEnd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Fiscal</w:t>
      </w:r>
      <w:proofErr w:type="spellEnd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Risks</w:t>
      </w:r>
      <w:proofErr w:type="spellEnd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from</w:t>
      </w:r>
      <w:proofErr w:type="spellEnd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Guarantees</w:t>
      </w:r>
      <w:proofErr w:type="spellEnd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від 2023 року, </w:t>
      </w:r>
      <w:r w:rsidR="00EE2466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чинний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Порядок проведення оцінки фінансового стану потенційного </w:t>
      </w:r>
      <w:proofErr w:type="spellStart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інвестиційного </w:t>
      </w:r>
      <w:proofErr w:type="spellStart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EE2466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кту</w:t>
      </w:r>
      <w:proofErr w:type="spellEnd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, реалізаці</w:t>
      </w:r>
      <w:r w:rsidR="00EE2466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якого передбач</w:t>
      </w:r>
      <w:r w:rsidR="00EE2466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ено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умовах фінансової самоокупності, а також визначення виду забезпечення для обслуговування </w:t>
      </w:r>
      <w:r w:rsidR="00EE2466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погашення позики, наданої за рахунок коштів міжнародних фінансових організацій, обслуговування якої здійснюватиметься за рахунок коштів </w:t>
      </w:r>
      <w:proofErr w:type="spellStart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(затверджений </w:t>
      </w:r>
      <w:r w:rsidR="00B277DD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аказом Мінфіну від 14.07.2016</w:t>
      </w:r>
      <w:r w:rsidR="00B277DD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616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потребує </w:t>
      </w:r>
      <w:r w:rsidR="00B816EB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оновлення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, зокрема</w:t>
      </w:r>
      <w:r w:rsidR="00B06166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частині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B816EB" w:rsidRPr="00813DCA" w:rsidRDefault="00B816EB" w:rsidP="0009612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вимог до документів, на основі яких проводиться оцінка фінансового стану </w:t>
      </w:r>
      <w:proofErr w:type="spellStart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інвестиційного </w:t>
      </w:r>
      <w:proofErr w:type="spellStart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B277DD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кту</w:t>
      </w:r>
      <w:proofErr w:type="spellEnd"/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B816EB" w:rsidRPr="00813DCA" w:rsidRDefault="00B816EB" w:rsidP="0009612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удосконал</w:t>
      </w:r>
      <w:r w:rsidR="00B06166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шкал</w:t>
      </w:r>
      <w:r w:rsidR="00B06166"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813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рейтингових класів за рівнем фінансового стану;</w:t>
      </w:r>
    </w:p>
    <w:p w:rsidR="00A75F20" w:rsidRPr="001C15A8" w:rsidRDefault="001C15A8" w:rsidP="0009612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 </w:t>
      </w:r>
      <w:r w:rsidR="007D1D28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</w:t>
      </w:r>
      <w:r w:rsidR="00B816EB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механізм</w:t>
      </w:r>
      <w:r w:rsidR="00B06166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816EB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 кредитних рейтингів міжнародних рейтингових агентств та розроб</w:t>
      </w:r>
      <w:r w:rsidR="007D1D28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лення</w:t>
      </w:r>
      <w:r w:rsidR="00B816EB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таблиц</w:t>
      </w:r>
      <w:r w:rsidR="007D1D28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B816EB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зіставлення із</w:t>
      </w:r>
      <w:r w:rsidR="00605757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рейтинговою шкалою Мінфіну; </w:t>
      </w:r>
    </w:p>
    <w:p w:rsidR="00626791" w:rsidRPr="001C15A8" w:rsidRDefault="00626791" w:rsidP="0009612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онов</w:t>
      </w:r>
      <w:r w:rsidR="00B06166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лення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перелік</w:t>
      </w:r>
      <w:r w:rsidR="00B06166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індикаторів фінансового стану та їх вагов</w:t>
      </w:r>
      <w:r w:rsidR="007D1D28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коефіцієнт</w:t>
      </w:r>
      <w:r w:rsidR="007D1D28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A309C6" w:rsidRPr="001C15A8" w:rsidRDefault="00A309C6" w:rsidP="0009612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онов</w:t>
      </w:r>
      <w:r w:rsidR="00B06166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лення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методологі</w:t>
      </w:r>
      <w:r w:rsidR="00B06166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визначення спроможності </w:t>
      </w:r>
      <w:proofErr w:type="spellStart"/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виконувати платежі з обслуговування боргу;</w:t>
      </w:r>
    </w:p>
    <w:p w:rsidR="00A309C6" w:rsidRPr="001C15A8" w:rsidRDefault="00A309C6" w:rsidP="0009612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конкретизувати процедури формування прогнозів руху грошових коштів</w:t>
      </w:r>
      <w:r w:rsidR="00E61A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розрахунку показника спроможності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обслуговування боргу</w:t>
      </w:r>
      <w:r w:rsidR="00E61A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оцінки фінансової ефективності </w:t>
      </w:r>
      <w:proofErr w:type="spellStart"/>
      <w:r w:rsidR="00E61A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B277D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E61A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кту</w:t>
      </w:r>
      <w:proofErr w:type="spellEnd"/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забезпечення їх реалістичності;</w:t>
      </w:r>
    </w:p>
    <w:p w:rsidR="00A309C6" w:rsidRPr="001C15A8" w:rsidRDefault="00A309C6" w:rsidP="0009612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онов</w:t>
      </w:r>
      <w:r w:rsidR="00B06166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лення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порядк</w:t>
      </w:r>
      <w:r w:rsidR="00B06166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оцінк</w:t>
      </w:r>
      <w:r w:rsidR="00B06166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фінансової ефективності інвестиційного </w:t>
      </w:r>
      <w:proofErr w:type="spellStart"/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B277D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кту</w:t>
      </w:r>
      <w:proofErr w:type="spellEnd"/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включ</w:t>
      </w:r>
      <w:r w:rsidR="00B277D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но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277D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процедур</w:t>
      </w:r>
      <w:r w:rsidR="00B277D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коригування прогнозів Міністерством фінансів </w:t>
      </w:r>
      <w:r w:rsidR="00B277D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розрахунок ставки дисконтування;</w:t>
      </w:r>
    </w:p>
    <w:p w:rsidR="00A309C6" w:rsidRPr="001C15A8" w:rsidRDefault="00A309C6" w:rsidP="0009612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удосконал</w:t>
      </w:r>
      <w:r w:rsidR="00B06166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методологі</w:t>
      </w:r>
      <w:r w:rsidR="00B06166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визначення необхідної суми забезпечення позики (кредиту);</w:t>
      </w:r>
    </w:p>
    <w:p w:rsidR="00A309C6" w:rsidRPr="001C15A8" w:rsidRDefault="00A309C6" w:rsidP="0009612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онов</w:t>
      </w:r>
      <w:r w:rsidR="00B06166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лення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13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</w:t>
      </w:r>
      <w:r w:rsidR="00B06166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113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формування в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иснов</w:t>
      </w:r>
      <w:r w:rsidR="00F113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ку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результатами оцінки фінансового стану </w:t>
      </w:r>
      <w:proofErr w:type="spellStart"/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його спроможності виконувати платежі </w:t>
      </w:r>
      <w:r w:rsidR="00B277D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обслуговування боргу та оцінки фінансової ефективності </w:t>
      </w:r>
      <w:proofErr w:type="spellStart"/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B277D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кту</w:t>
      </w:r>
      <w:proofErr w:type="spellEnd"/>
      <w:r w:rsidR="00F113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1139D" w:rsidRPr="001C15A8" w:rsidRDefault="0009612D" w:rsidP="0009612D">
      <w:pPr>
        <w:pStyle w:val="a3"/>
        <w:spacing w:after="0"/>
        <w:ind w:left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113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</w:t>
      </w:r>
      <w:r w:rsidR="00B06166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</w:t>
      </w:r>
      <w:r w:rsidR="00F113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положен</w:t>
      </w:r>
      <w:r w:rsidR="00B277D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="00F113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б ураховували вимоги щодо допустимої (недопустимої) державної допомоги суб’єктам господарювання, зокрема передбачити обмеження на видачу гарантій (</w:t>
      </w:r>
      <w:proofErr w:type="spellStart"/>
      <w:r w:rsidR="00F113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субкредитів</w:t>
      </w:r>
      <w:proofErr w:type="spellEnd"/>
      <w:r w:rsidR="00F113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позичальникам </w:t>
      </w:r>
      <w:r w:rsidR="00B277D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F113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з високим рівнем ризику.</w:t>
      </w:r>
    </w:p>
    <w:p w:rsidR="00F1139D" w:rsidRPr="001C15A8" w:rsidRDefault="00F1139D" w:rsidP="00EE24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Необхідність періодичного (кожн</w:t>
      </w:r>
      <w:r w:rsidR="007D1D28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три роки) оновлення</w:t>
      </w:r>
      <w:r w:rsidRPr="001C15A8">
        <w:rPr>
          <w:rFonts w:ascii="Times New Roman" w:hAnsi="Times New Roman" w:cs="Times New Roman"/>
          <w:sz w:val="28"/>
          <w:szCs w:val="28"/>
        </w:rPr>
        <w:t xml:space="preserve"> Порядку о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цінк</w:t>
      </w:r>
      <w:r w:rsidR="00B06166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фінансового стану потенційного </w:t>
      </w:r>
      <w:proofErr w:type="spellStart"/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передбачена також п</w:t>
      </w:r>
      <w:r w:rsidR="00B3380E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ункт</w:t>
      </w:r>
      <w:r w:rsidR="00B06166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B3380E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 розділу ІІ </w:t>
      </w:r>
      <w:r w:rsidR="00B277D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чинного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277D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E61A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аказу Мінфіну № 616. Відповідно до рекоменд</w:t>
      </w:r>
      <w:r w:rsidR="00B3380E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ацій</w:t>
      </w:r>
      <w:r w:rsidR="00E61A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МВФ Порядок необхідно регулярно оновлювати, зокрема в частині калібрування рейтингових класів, вагових коефіцієнтів, порогових значень та PD.</w:t>
      </w:r>
    </w:p>
    <w:p w:rsidR="0012605F" w:rsidRPr="001C15A8" w:rsidRDefault="00E61A9D" w:rsidP="00B277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B277D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кт</w:t>
      </w:r>
      <w:proofErr w:type="spellEnd"/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оновленого «П</w:t>
      </w:r>
      <w:r w:rsidR="00B3380E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орядку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оцінки фінансового стану </w:t>
      </w:r>
      <w:proofErr w:type="spellStart"/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державної гарантії, кредиту (позики), визначення спроможності обслуговування кредиту (позики) та оцінки фінансової ефективності інвестиційного </w:t>
      </w:r>
      <w:proofErr w:type="spellStart"/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DE4DEE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кту</w:t>
      </w:r>
      <w:proofErr w:type="spellEnd"/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в цілому враховує зазначені вимоги, положення та рекомендації МВФ. </w:t>
      </w:r>
    </w:p>
    <w:p w:rsidR="00B277DD" w:rsidRPr="001C15A8" w:rsidRDefault="00E61A9D" w:rsidP="00B277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Затвердження </w:t>
      </w:r>
      <w:r w:rsidR="007D1D28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аказу дозволить вирішити проблему якісної</w:t>
      </w:r>
      <w:r w:rsidR="0012605F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об’єктивної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2605F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оцінки фінансового стану </w:t>
      </w:r>
      <w:proofErr w:type="spellStart"/>
      <w:r w:rsidR="0012605F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12605F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державної гарантії, кредиту (позики), визначення спроможності обслуговування кредиту (позики) та оцінки фінансової ефективності інвестиційного </w:t>
      </w:r>
      <w:proofErr w:type="spellStart"/>
      <w:r w:rsidR="0012605F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B277D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12605F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кту</w:t>
      </w:r>
      <w:proofErr w:type="spellEnd"/>
      <w:r w:rsidR="0012605F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для:</w:t>
      </w:r>
    </w:p>
    <w:p w:rsidR="00E61A9D" w:rsidRPr="001C15A8" w:rsidRDefault="00B277DD" w:rsidP="00B277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– </w:t>
      </w:r>
      <w:r w:rsidR="00E61A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обґрунтування </w:t>
      </w:r>
      <w:r w:rsidR="009171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доцільності </w:t>
      </w:r>
      <w:r w:rsidR="009171BB" w:rsidRPr="009171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надання потенційним </w:t>
      </w:r>
      <w:proofErr w:type="spellStart"/>
      <w:r w:rsidR="009171BB" w:rsidRPr="009171BB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бенефіціарам</w:t>
      </w:r>
      <w:proofErr w:type="spellEnd"/>
      <w:r w:rsidR="009171BB" w:rsidRPr="009171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1A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кредитів (позик), залучених державою, або під державну гарантію для фінансування інвестиційних </w:t>
      </w:r>
      <w:proofErr w:type="spellStart"/>
      <w:r w:rsidR="00E61A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E61A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ктів</w:t>
      </w:r>
      <w:proofErr w:type="spellEnd"/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61A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зокрема публічних;</w:t>
      </w:r>
    </w:p>
    <w:p w:rsidR="00E61A9D" w:rsidRPr="001C15A8" w:rsidRDefault="00E61A9D" w:rsidP="00EE2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277D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умов надання державної гарантії чи кредиту (позики);</w:t>
      </w:r>
    </w:p>
    <w:p w:rsidR="00B277DD" w:rsidRPr="001C15A8" w:rsidRDefault="00E61A9D" w:rsidP="00B277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277D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раннього попередження фіскальних ризиків та виявлення </w:t>
      </w:r>
      <w:proofErr w:type="spellStart"/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бенефіціарів</w:t>
      </w:r>
      <w:proofErr w:type="spellEnd"/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потребують посиленого моніторингу;</w:t>
      </w:r>
    </w:p>
    <w:p w:rsidR="00E61A9D" w:rsidRPr="001C15A8" w:rsidRDefault="00B277DD" w:rsidP="00B277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– </w:t>
      </w:r>
      <w:r w:rsidR="00E61A9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 вимог щодо допустимої (недопустимої) державної допомоги суб’єктам господарювання;</w:t>
      </w:r>
    </w:p>
    <w:p w:rsidR="00E61A9D" w:rsidRPr="001C15A8" w:rsidRDefault="00E61A9D" w:rsidP="00EE2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–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277D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кількісної оцінки фіскальних ризиків, пов'язаних з діяльністю суб</w:t>
      </w:r>
      <w:r w:rsidR="00B277DD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єктів господарювання.</w:t>
      </w:r>
    </w:p>
    <w:p w:rsidR="00EE2466" w:rsidRPr="001C15A8" w:rsidRDefault="00EE2466" w:rsidP="00EE2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26369" w:rsidRPr="001C15A8" w:rsidRDefault="00A26369" w:rsidP="00EE2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5" w:name="n3490"/>
      <w:bookmarkEnd w:id="5"/>
      <w:r w:rsidRPr="001C15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Основні положення </w:t>
      </w:r>
      <w:proofErr w:type="spellStart"/>
      <w:r w:rsidRPr="001C15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</w:t>
      </w:r>
      <w:r w:rsidR="00903BBA" w:rsidRPr="001C15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є</w:t>
      </w:r>
      <w:r w:rsidRPr="001C15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кту</w:t>
      </w:r>
      <w:proofErr w:type="spellEnd"/>
      <w:r w:rsidRPr="001C15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C15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акта</w:t>
      </w:r>
      <w:proofErr w:type="spellEnd"/>
    </w:p>
    <w:p w:rsidR="008B76F0" w:rsidRPr="001C15A8" w:rsidRDefault="008B76F0" w:rsidP="00EE2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" w:name="n3491"/>
      <w:bookmarkEnd w:id="6"/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A26369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сновн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A26369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положен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r w:rsidR="00A26369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26369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7D1D28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A26369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кту</w:t>
      </w:r>
      <w:proofErr w:type="spellEnd"/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3BBA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аказу:</w:t>
      </w:r>
    </w:p>
    <w:p w:rsidR="008B76F0" w:rsidRPr="001C15A8" w:rsidRDefault="002A55E5" w:rsidP="002A55E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 </w:t>
      </w:r>
      <w:r w:rsidR="00B3380E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8B76F0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новлен</w:t>
      </w:r>
      <w:r w:rsidR="00B3380E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</w:t>
      </w:r>
      <w:r w:rsidR="008B76F0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перелік документів, які подає потенційний </w:t>
      </w:r>
      <w:proofErr w:type="spellStart"/>
      <w:r w:rsidR="008B76F0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</w:t>
      </w:r>
      <w:proofErr w:type="spellEnd"/>
      <w:r w:rsidR="008B76F0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3BBA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B76F0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Мінфіну для оцінки фінансового стану, спроможності обслуговувати кредит (позику), визначення фінансової ефективності інвестиційного </w:t>
      </w:r>
      <w:proofErr w:type="spellStart"/>
      <w:r w:rsidR="008B76F0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903BBA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8B76F0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кту</w:t>
      </w:r>
      <w:proofErr w:type="spellEnd"/>
      <w:r w:rsidR="008B76F0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розміру забезпечення погашення кредиту (позики), що наведено </w:t>
      </w:r>
      <w:r w:rsidR="00903BBA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8B76F0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="00B3380E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ункті </w:t>
      </w:r>
      <w:r w:rsidR="008B76F0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 </w:t>
      </w:r>
      <w:r w:rsidR="00903BBA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8B76F0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озділу І</w:t>
      </w:r>
      <w:r w:rsidR="00B3380E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B76F0" w:rsidRPr="001C15A8" w:rsidRDefault="002A55E5" w:rsidP="002A55E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 </w:t>
      </w:r>
      <w:r w:rsidR="00B3380E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8B76F0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новлено</w:t>
      </w:r>
      <w:r w:rsidR="00B30CEC" w:rsidRPr="001C15A8">
        <w:rPr>
          <w:rFonts w:ascii="Times New Roman" w:hAnsi="Times New Roman" w:cs="Times New Roman"/>
          <w:sz w:val="28"/>
          <w:szCs w:val="28"/>
        </w:rPr>
        <w:t xml:space="preserve"> методологію о</w:t>
      </w:r>
      <w:r w:rsidR="00B30CEC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цінки фінансового стану </w:t>
      </w:r>
      <w:proofErr w:type="spellStart"/>
      <w:r w:rsidR="00B30CEC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B30CEC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03BBA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B30CEC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озділ ІІ), зокрема, розроблено</w:t>
      </w:r>
      <w:r w:rsidR="008B76F0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моделі розрахунку інтегрального показника фінансового стану </w:t>
      </w:r>
      <w:proofErr w:type="spellStart"/>
      <w:r w:rsidR="008B76F0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8B76F0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(додаток 1)</w:t>
      </w:r>
      <w:r w:rsidR="00B30CEC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B76F0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перелік фінансових показників для визначення рейтингових класів </w:t>
      </w:r>
      <w:proofErr w:type="spellStart"/>
      <w:r w:rsidR="008B76F0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бенефіціарів</w:t>
      </w:r>
      <w:proofErr w:type="spellEnd"/>
      <w:r w:rsidR="008B76F0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(додаток 2)</w:t>
      </w:r>
      <w:r w:rsidR="00B30CEC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, в</w:t>
      </w:r>
      <w:r w:rsidR="008B76F0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изначено порогові значення фінансових коефіцієнтів (додаток 3)</w:t>
      </w:r>
      <w:r w:rsidR="00B30CEC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, розроблен</w:t>
      </w:r>
      <w:r w:rsidR="00903BBA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B30CEC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шкал</w:t>
      </w:r>
      <w:r w:rsidR="00903BBA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30CEC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рейтингових класів, що включає шість рейтингових класів залежно від показника ймовірності </w:t>
      </w:r>
      <w:proofErr w:type="spellStart"/>
      <w:r w:rsidR="00B30CEC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дистресу</w:t>
      </w:r>
      <w:proofErr w:type="spellEnd"/>
      <w:r w:rsidR="00B30CEC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(додатки 4 та 5)</w:t>
      </w:r>
      <w:r w:rsidR="00B3380E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983DFD" w:rsidRPr="002A55E5" w:rsidRDefault="002A55E5" w:rsidP="002A55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 </w:t>
      </w:r>
      <w:r w:rsidR="00B3380E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983DFD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апропоновано порядок використання (за наявності у </w:t>
      </w:r>
      <w:proofErr w:type="spellStart"/>
      <w:r w:rsidR="00983DFD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983DFD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) актуальних кредитних рейтингів міжнародних рейтингових агентств (п</w:t>
      </w:r>
      <w:r w:rsidR="00A872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ункт </w:t>
      </w:r>
      <w:r w:rsidR="00983DFD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 </w:t>
      </w:r>
      <w:r w:rsidR="00903BBA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983DFD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озділ</w:t>
      </w:r>
      <w:r w:rsidR="00903BBA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983DFD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ІІ) та розроблено таблицю трансформації кредитних рейтингів </w:t>
      </w:r>
      <w:r w:rsidR="00903BBA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983DFD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міжнародною шкалою у рейтингові класи, визначені Порядком Міністерства фінансів України</w:t>
      </w:r>
      <w:r w:rsidR="00B3380E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983DFD" w:rsidRPr="002A55E5" w:rsidRDefault="002A55E5" w:rsidP="002A55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 </w:t>
      </w:r>
      <w:r w:rsidR="00B3380E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0D6127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апропоновано методологію визначення спроможності </w:t>
      </w:r>
      <w:proofErr w:type="spellStart"/>
      <w:r w:rsidR="000D6127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0D6127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виконувати платежі з обслуговування боргу (</w:t>
      </w:r>
      <w:r w:rsidR="00903BBA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0D6127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 ІІІ), яка застосовується у разі реалізації значних за обсягом (масштабних) інвестиційних </w:t>
      </w:r>
      <w:proofErr w:type="spellStart"/>
      <w:r w:rsidR="000D6127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903BBA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0D6127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ктів</w:t>
      </w:r>
      <w:proofErr w:type="spellEnd"/>
      <w:r w:rsidR="000D6127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розроблено ЧЕК-ЛИСТ перевірки достовірності прогнозних показників, які використовуються для визначення спроможності позичальника обслуговувати борг та розрахунку NPV </w:t>
      </w:r>
      <w:proofErr w:type="spellStart"/>
      <w:r w:rsidR="000D6127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903BBA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0D6127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кту</w:t>
      </w:r>
      <w:proofErr w:type="spellEnd"/>
      <w:r w:rsidR="000D6127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(додаток 8)</w:t>
      </w:r>
      <w:r w:rsidR="00B3380E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D6127" w:rsidRPr="002A55E5" w:rsidRDefault="002A55E5" w:rsidP="002A55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 </w:t>
      </w:r>
      <w:r w:rsidR="00B3380E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0D6127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еталізован</w:t>
      </w:r>
      <w:r w:rsidR="00903BBA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0D6127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методик</w:t>
      </w:r>
      <w:r w:rsidR="00903BBA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0D6127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розрахунку грошових потоків, які генеруються інвестиційним </w:t>
      </w:r>
      <w:proofErr w:type="spellStart"/>
      <w:r w:rsidR="000D6127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903BBA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0D6127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ктом</w:t>
      </w:r>
      <w:proofErr w:type="spellEnd"/>
      <w:r w:rsidR="000D6127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різних варіантів генерування грошових потоків, порядок розрахунку ставки дисконтування, порядок розрахунку періоду дисконтування (</w:t>
      </w:r>
      <w:r w:rsidR="00903BBA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0D6127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 </w:t>
      </w:r>
      <w:r w:rsidR="000D6127" w:rsidRPr="002A55E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 w:rsidR="000D6127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3380E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911E8" w:rsidRPr="002A55E5" w:rsidRDefault="002A55E5" w:rsidP="002A55E5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3380E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372D16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новлено методологію визначення виду забезпечення повернення позики та його розміру (розділ </w:t>
      </w:r>
      <w:r w:rsidR="00372D16" w:rsidRPr="002A55E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="00372D16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) з урахуванням ринкової вартості та коефіцієнтів ліквідності (додаток 10)</w:t>
      </w:r>
      <w:r w:rsidR="00B3380E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372D16" w:rsidRPr="002A55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911E8" w:rsidRDefault="001E241E" w:rsidP="001E241E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3380E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7911E8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апропоновано порядок формулювання висновку за результатами оцінки фінансового стану </w:t>
      </w:r>
      <w:proofErr w:type="spellStart"/>
      <w:r w:rsidR="007911E8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7911E8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його спроможності виконувати платежі </w:t>
      </w:r>
      <w:r w:rsidR="00903BBA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7911E8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обслуговування боргу та оцінки фінансової ефективності </w:t>
      </w:r>
      <w:proofErr w:type="spellStart"/>
      <w:r w:rsidR="007911E8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903BBA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7911E8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кту</w:t>
      </w:r>
      <w:proofErr w:type="spellEnd"/>
      <w:r w:rsidR="007911E8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(розділ </w:t>
      </w:r>
      <w:r w:rsidR="007911E8" w:rsidRPr="001C15A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</w:t>
      </w:r>
      <w:r w:rsidR="007911E8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а також обґрунтовано виключення на період воєнного стану в Україні, протягом дванадцяти місяців після його припинення чи скасування для окремих категорій </w:t>
      </w:r>
      <w:proofErr w:type="spellStart"/>
      <w:r w:rsidR="007911E8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бенефіціарів</w:t>
      </w:r>
      <w:proofErr w:type="spellEnd"/>
      <w:r w:rsidR="007911E8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</w:t>
      </w:r>
      <w:proofErr w:type="spellStart"/>
      <w:r w:rsidR="007911E8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внесено</w:t>
      </w:r>
      <w:proofErr w:type="spellEnd"/>
      <w:r w:rsidR="007911E8" w:rsidRPr="001C15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Реєстру об’єктів критичної інфраструктури та </w:t>
      </w:r>
      <w:r w:rsidR="007911E8" w:rsidRPr="00903BB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віднесено до I категорії критичності відповідно до Закону України «Про критичну інфраструктуру</w:t>
      </w:r>
      <w:r w:rsidR="00A87287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7911E8" w:rsidRPr="00903BB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03BBA" w:rsidRPr="00903BBA" w:rsidRDefault="00903BBA" w:rsidP="00903BBA">
      <w:pPr>
        <w:pStyle w:val="a3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26369" w:rsidRDefault="00A26369" w:rsidP="00EE2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bookmarkStart w:id="7" w:name="n3492"/>
      <w:bookmarkEnd w:id="7"/>
      <w:r w:rsidRPr="00B338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4. Правові аспекти</w:t>
      </w:r>
    </w:p>
    <w:p w:rsidR="001F750C" w:rsidRPr="00B3380E" w:rsidRDefault="001F750C" w:rsidP="00EE2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" w:name="n3493"/>
      <w:bookmarkStart w:id="9" w:name="n3494"/>
      <w:bookmarkEnd w:id="8"/>
      <w:bookmarkEnd w:id="9"/>
      <w:r w:rsidRPr="00B338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Порядок підготовки, реалізації, проведення моніторингу та завершення реалізації </w:t>
      </w:r>
      <w:proofErr w:type="spellStart"/>
      <w:r w:rsidR="00992DB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Pr="00B3380E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Pr="00B338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економічного і соціального розвитку України, що підтримуються міжнародними фінансовими організаціями, затверджен</w:t>
      </w:r>
      <w:r w:rsidR="00B06166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Pr="00B338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Кабінету Міністрів України від 27 січня 2016 року № 70.</w:t>
      </w:r>
    </w:p>
    <w:p w:rsidR="001F750C" w:rsidRPr="00B3380E" w:rsidRDefault="001F750C" w:rsidP="00EE2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38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Порядок підготовки публічних інвестиційних </w:t>
      </w:r>
      <w:proofErr w:type="spellStart"/>
      <w:r w:rsidR="00992DB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Pr="00B3380E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Pr="00B338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програм публічних інвестицій, затверджен</w:t>
      </w:r>
      <w:r w:rsidR="00B06166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Pr="00B338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Кабінету Міністрів України </w:t>
      </w:r>
      <w:r w:rsidR="00903BB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B3380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28 лютого 2025 р</w:t>
      </w:r>
      <w:r w:rsidR="00B06166">
        <w:rPr>
          <w:rFonts w:ascii="Times New Roman" w:eastAsia="Times New Roman" w:hAnsi="Times New Roman" w:cs="Times New Roman"/>
          <w:sz w:val="28"/>
          <w:szCs w:val="28"/>
          <w:lang w:eastAsia="uk-UA"/>
        </w:rPr>
        <w:t>оку</w:t>
      </w:r>
      <w:r w:rsidRPr="00B338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527.</w:t>
      </w:r>
    </w:p>
    <w:p w:rsidR="001F750C" w:rsidRPr="00B3380E" w:rsidRDefault="001F750C" w:rsidP="00EE2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38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Порядок проведення оцінки фінансового стану потенційного </w:t>
      </w:r>
      <w:proofErr w:type="spellStart"/>
      <w:r w:rsidRPr="00B3380E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B338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інвестиційного </w:t>
      </w:r>
      <w:proofErr w:type="spellStart"/>
      <w:r w:rsidR="00992DB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Pr="00B3380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proofErr w:type="spellEnd"/>
      <w:r w:rsidRPr="00B338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реалізація якого передбачається на умовах фінансової самоокупності, а також визначення виду забезпечення для обслуговування та погашення позики, наданої за рахунок коштів міжнародних фінансових організацій, обслуговування якої здійснюватиметься за рахунок коштів </w:t>
      </w:r>
      <w:proofErr w:type="spellStart"/>
      <w:r w:rsidRPr="00B3380E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B3380E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</w:t>
      </w:r>
      <w:r w:rsidR="00B06166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Pr="00B338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Наказом Мінфіну від 14</w:t>
      </w:r>
      <w:r w:rsidR="00B061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липня </w:t>
      </w:r>
      <w:r w:rsidRPr="00B3380E">
        <w:rPr>
          <w:rFonts w:ascii="Times New Roman" w:eastAsia="Times New Roman" w:hAnsi="Times New Roman" w:cs="Times New Roman"/>
          <w:sz w:val="28"/>
          <w:szCs w:val="28"/>
          <w:lang w:eastAsia="uk-UA"/>
        </w:rPr>
        <w:t>2016</w:t>
      </w:r>
      <w:r w:rsidR="00B061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903B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3BBA" w:rsidRPr="00B3380E">
        <w:rPr>
          <w:rFonts w:ascii="Times New Roman" w:eastAsia="Times New Roman" w:hAnsi="Times New Roman" w:cs="Times New Roman"/>
          <w:sz w:val="28"/>
          <w:szCs w:val="28"/>
          <w:lang w:eastAsia="uk-UA"/>
        </w:rPr>
        <w:t>№ 616</w:t>
      </w:r>
      <w:r w:rsidR="00B0616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F750C" w:rsidRPr="001B27AD" w:rsidRDefault="000B78C3" w:rsidP="00EE2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27A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Порядок встановлення розміру плати за надання кредитів (позик), залучених державою, або державних гарантій</w:t>
      </w:r>
      <w:r w:rsidR="000E72D7" w:rsidRPr="001B27AD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</w:t>
      </w:r>
      <w:r w:rsidR="00903BBA" w:rsidRPr="001B27AD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0E72D7" w:rsidRPr="001B27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3BBA" w:rsidRPr="001B27AD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1B27AD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останов</w:t>
      </w:r>
      <w:r w:rsidR="000E72D7" w:rsidRPr="001B27AD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B27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Кабінету Міністрів України від 17 березня 2011 </w:t>
      </w:r>
      <w:r w:rsidR="00B06166" w:rsidRPr="001B27A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  <w:r w:rsidRPr="001B27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380E" w:rsidRPr="001B27AD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Pr="001B27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256</w:t>
      </w:r>
      <w:r w:rsidR="00B3380E" w:rsidRPr="001B27A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81D8F" w:rsidRPr="001B27AD" w:rsidRDefault="00B81D8F" w:rsidP="00EE2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26369" w:rsidRDefault="00A26369" w:rsidP="00EE2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3380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Фінансово-економічне обґрунтування</w:t>
      </w:r>
    </w:p>
    <w:p w:rsidR="000E72D7" w:rsidRDefault="000E72D7" w:rsidP="00EE2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0" w:name="n3495"/>
      <w:bookmarkStart w:id="11" w:name="n3496"/>
      <w:bookmarkEnd w:id="10"/>
      <w:bookmarkEnd w:id="11"/>
      <w:r w:rsidRPr="00B3380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Реалізація норм наказу не потребує додаткового фінансування з державного чи місцевих бюджетів.</w:t>
      </w:r>
    </w:p>
    <w:p w:rsidR="00EE2466" w:rsidRPr="00B3380E" w:rsidRDefault="00EE2466" w:rsidP="00EE2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2466" w:rsidRPr="007D1D28" w:rsidRDefault="00F158C5" w:rsidP="007D1D28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6. </w:t>
      </w:r>
      <w:r w:rsidRPr="00F158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Позиція заінтересованих сторін</w:t>
      </w:r>
    </w:p>
    <w:p w:rsidR="00F158C5" w:rsidRDefault="00F158C5" w:rsidP="00EE24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2" w:name="n230"/>
      <w:bookmarkEnd w:id="12"/>
      <w:proofErr w:type="spellStart"/>
      <w:r w:rsidRPr="00F078D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F078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 є регуляторним актом, що потребує відповідного висновку Державної регуляторної служби України.</w:t>
      </w:r>
    </w:p>
    <w:p w:rsidR="00A06409" w:rsidRPr="006741ED" w:rsidRDefault="00A06409" w:rsidP="00EE24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не</w:t>
      </w:r>
      <w:r w:rsidRPr="00A064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стосується питань інформатизації, електронного урядування, формування і використання національних електронних інформаційних ресурсів, розвитку інформаційного суспільства, електронної демократії, надання адміністративних послуг або цифрового розвитку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не потребує </w:t>
      </w:r>
      <w:r w:rsidRPr="00A06409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висновк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A064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06409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Мінцифри</w:t>
      </w:r>
      <w:proofErr w:type="spellEnd"/>
      <w:r w:rsidRPr="00A064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проведення цифрової експертизи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158C5" w:rsidRPr="006741ED" w:rsidRDefault="00F158C5" w:rsidP="00EE24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741E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6741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підлягає державній реєстрації в Міністерстві юстиції України.</w:t>
      </w:r>
    </w:p>
    <w:p w:rsidR="00F158C5" w:rsidRPr="006741ED" w:rsidRDefault="00F158C5" w:rsidP="00EE24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741E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6741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 та не потребує зазначення позицій відповідних заінтересованих сторін.</w:t>
      </w:r>
    </w:p>
    <w:p w:rsidR="00F158C5" w:rsidRPr="006741ED" w:rsidRDefault="00F158C5" w:rsidP="00EE24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741E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6741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не потребує  погодження Спільного представницького органу репрезентативних всеукраїнських об’єднань профспілок на національному рівні, Спільного представницького органу сторони роботодавців на національному рівні.</w:t>
      </w:r>
    </w:p>
    <w:p w:rsidR="00F158C5" w:rsidRPr="006741ED" w:rsidRDefault="00F158C5" w:rsidP="00EE24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741E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Проєкт</w:t>
      </w:r>
      <w:proofErr w:type="spellEnd"/>
      <w:r w:rsidRPr="006741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не стосується сфери наукової та науково-технічної діяльності і не потребує зазначення позиції Наукового комітету Національної ради України з питань розвитку науки і технологій.</w:t>
      </w:r>
    </w:p>
    <w:p w:rsidR="00F158C5" w:rsidRPr="004D42D8" w:rsidRDefault="00903BBA" w:rsidP="00EE24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F5AD0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F158C5" w:rsidRPr="005F5AD0">
        <w:rPr>
          <w:rFonts w:ascii="Times New Roman" w:eastAsia="Times New Roman" w:hAnsi="Times New Roman" w:cs="Times New Roman"/>
          <w:sz w:val="28"/>
          <w:szCs w:val="28"/>
          <w:lang w:eastAsia="uk-UA"/>
        </w:rPr>
        <w:t>роєкт</w:t>
      </w:r>
      <w:proofErr w:type="spellEnd"/>
      <w:r w:rsidR="00F158C5" w:rsidRPr="005F5A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</w:t>
      </w:r>
      <w:r w:rsidRPr="005F5A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містить </w:t>
      </w:r>
      <w:r w:rsidR="00F158C5" w:rsidRPr="005F5AD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</w:t>
      </w:r>
      <w:r w:rsidRPr="005F5AD0"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="00F158C5" w:rsidRPr="005F5A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відповідно до </w:t>
      </w:r>
      <w:hyperlink r:id="rId7" w:anchor="n30" w:tgtFrame="_blank" w:history="1">
        <w:r w:rsidR="00F158C5" w:rsidRPr="005F5AD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Порядку проведення консультацій з громадськістю з питань формування та реалізації державної політики</w:t>
        </w:r>
      </w:hyperlink>
      <w:r w:rsidR="00F158C5" w:rsidRPr="005F5A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затвердженого постановою Кабінету Міністрів України </w:t>
      </w:r>
      <w:r w:rsidR="00F158C5" w:rsidRPr="005F5AD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від 03.11.2010 № 996 «Про забезпечення участі громадськості у формуванні та реалізації державної політики», потребують обговорення з громадськістю</w:t>
      </w:r>
      <w:r w:rsidR="00F158C5" w:rsidRPr="004D42D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E72D7" w:rsidRDefault="000E72D7" w:rsidP="00EE2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87307A" w:rsidRPr="004D42D8" w:rsidRDefault="000B4105" w:rsidP="00EE2466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7. </w:t>
      </w:r>
      <w:r w:rsidR="0087307A" w:rsidRPr="004D42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Оцінка відповідності</w:t>
      </w:r>
    </w:p>
    <w:p w:rsidR="0087307A" w:rsidRPr="005F5AD0" w:rsidRDefault="0087307A" w:rsidP="00EE24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3" w:name="n234"/>
      <w:bookmarkEnd w:id="13"/>
      <w:r w:rsidRPr="005F5A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Pr="005F5AD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</w:t>
      </w:r>
      <w:proofErr w:type="spellEnd"/>
      <w:r w:rsidRPr="005F5A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</w:t>
      </w:r>
      <w:r w:rsidR="00631561" w:rsidRPr="005F5A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немає </w:t>
      </w:r>
      <w:r w:rsidRPr="005F5AD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</w:t>
      </w:r>
      <w:r w:rsidR="00631561" w:rsidRPr="005F5AD0"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5F5AD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що:</w:t>
      </w:r>
    </w:p>
    <w:p w:rsidR="0087307A" w:rsidRPr="005F5AD0" w:rsidRDefault="0087307A" w:rsidP="00EE24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AD0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стосуються зобов’язань України у сфері європейської інтеграції;</w:t>
      </w:r>
    </w:p>
    <w:p w:rsidR="0087307A" w:rsidRPr="005F5AD0" w:rsidRDefault="0087307A" w:rsidP="00EE24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AD0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стосуються прав та свобод, гарантованих Конвенцією про захист прав людини і основоположних свобод;</w:t>
      </w:r>
    </w:p>
    <w:p w:rsidR="0087307A" w:rsidRPr="005F5AD0" w:rsidRDefault="0087307A" w:rsidP="00EE24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AD0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впливають на забезпечення рівних прав та можливостей жінок і чоловіків;</w:t>
      </w:r>
    </w:p>
    <w:p w:rsidR="0087307A" w:rsidRPr="005F5AD0" w:rsidRDefault="0087307A" w:rsidP="00EE24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AD0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містять ризики вчинення корупційних правопорушень та правопорушень, пов’язаних із корупцією;</w:t>
      </w:r>
    </w:p>
    <w:p w:rsidR="0087307A" w:rsidRPr="005F5AD0" w:rsidRDefault="0087307A" w:rsidP="00EE24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AD0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створюють підстави для дискримінації.</w:t>
      </w:r>
    </w:p>
    <w:p w:rsidR="000B4105" w:rsidRPr="004D42D8" w:rsidRDefault="000B4105" w:rsidP="00EE24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B4105" w:rsidRDefault="000B4105" w:rsidP="00EE24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8. </w:t>
      </w:r>
      <w:r w:rsidRPr="000B41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Прогноз результатів</w:t>
      </w:r>
    </w:p>
    <w:p w:rsidR="000B4105" w:rsidRPr="00890CAD" w:rsidRDefault="000B4105" w:rsidP="00EE24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Прийняття </w:t>
      </w:r>
      <w:proofErr w:type="spellStart"/>
      <w:r w:rsidRPr="00890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89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забезпечить </w:t>
      </w:r>
      <w:r w:rsidR="00DC7687" w:rsidRPr="0089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запровадження </w:t>
      </w:r>
      <w:r w:rsidR="00DC7687" w:rsidRPr="00890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єдиних методичних засад проведення Міністерством фінансів України оцінки фінансового стану </w:t>
      </w:r>
      <w:proofErr w:type="spellStart"/>
      <w:r w:rsidR="00DC7687" w:rsidRPr="00890CA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DC7687" w:rsidRPr="00890CAD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отримує кредит (позику), залучену державою або під державну гарантію</w:t>
      </w:r>
      <w:r w:rsidRPr="00890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105" w:rsidRPr="00890CAD" w:rsidRDefault="000B4105" w:rsidP="00EE24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0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89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не має впливу на ринкове середовище, забезпечення захисту прав та інтересів суб’єктів господарювання, громадян і держави</w:t>
      </w:r>
      <w:r w:rsidR="00631561" w:rsidRPr="00890C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розвиток регіонів, підвищення чи зниження спроможності територіальних громад</w:t>
      </w:r>
      <w:r w:rsidR="00631561" w:rsidRPr="00890C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ринок праці, рівень зайнятості населення; громадське здоров’я, покращення чи погіршення стану здоров’я населення або його окремих груп</w:t>
      </w:r>
      <w:r w:rsidR="00631561" w:rsidRPr="00890C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екологію </w:t>
      </w:r>
      <w:r w:rsidR="00631561" w:rsidRPr="00890C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0C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:rsidR="000B4105" w:rsidRPr="004D42D8" w:rsidRDefault="000B4105" w:rsidP="00EE24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105" w:rsidRPr="004D42D8" w:rsidRDefault="000B4105" w:rsidP="000B4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B4105" w:rsidRPr="004D42D8" w:rsidRDefault="000B4105" w:rsidP="000B4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D42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Міністр фінансів України                                                    Сергій МАРЧЕНКО</w:t>
      </w:r>
    </w:p>
    <w:p w:rsidR="0087307A" w:rsidRDefault="0087307A" w:rsidP="00A2636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0B4105" w:rsidRPr="009E0DD2" w:rsidRDefault="00DF49D8" w:rsidP="00DF49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E0DD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«____»__________________ 2026</w:t>
      </w:r>
    </w:p>
    <w:p w:rsidR="000B4105" w:rsidRDefault="000B4105" w:rsidP="00A2636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sectPr w:rsidR="000B4105" w:rsidSect="00B277DD">
      <w:headerReference w:type="default" r:id="rId8"/>
      <w:pgSz w:w="11906" w:h="16838"/>
      <w:pgMar w:top="1134" w:right="624" w:bottom="1134" w:left="1701" w:header="709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8EB" w:rsidRDefault="00E608EB" w:rsidP="0043428A">
      <w:pPr>
        <w:spacing w:after="0" w:line="240" w:lineRule="auto"/>
      </w:pPr>
      <w:r>
        <w:separator/>
      </w:r>
    </w:p>
  </w:endnote>
  <w:endnote w:type="continuationSeparator" w:id="0">
    <w:p w:rsidR="00E608EB" w:rsidRDefault="00E608EB" w:rsidP="004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8EB" w:rsidRDefault="00E608EB" w:rsidP="0043428A">
      <w:pPr>
        <w:spacing w:after="0" w:line="240" w:lineRule="auto"/>
      </w:pPr>
      <w:r>
        <w:separator/>
      </w:r>
    </w:p>
  </w:footnote>
  <w:footnote w:type="continuationSeparator" w:id="0">
    <w:p w:rsidR="00E608EB" w:rsidRDefault="00E608EB" w:rsidP="0043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94761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3428A" w:rsidRPr="001C15A8" w:rsidRDefault="0043428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15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15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C15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55A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C15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3428A" w:rsidRDefault="004342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74A63"/>
    <w:multiLevelType w:val="hybridMultilevel"/>
    <w:tmpl w:val="20A00F3E"/>
    <w:lvl w:ilvl="0" w:tplc="129C5408">
      <w:start w:val="2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D786031"/>
    <w:multiLevelType w:val="hybridMultilevel"/>
    <w:tmpl w:val="F9086100"/>
    <w:lvl w:ilvl="0" w:tplc="6A76B616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60C0F44"/>
    <w:multiLevelType w:val="hybridMultilevel"/>
    <w:tmpl w:val="CDD06212"/>
    <w:lvl w:ilvl="0" w:tplc="F2705D1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4E27E1"/>
    <w:multiLevelType w:val="hybridMultilevel"/>
    <w:tmpl w:val="B62C5CC4"/>
    <w:lvl w:ilvl="0" w:tplc="5DC01C72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7D25754"/>
    <w:multiLevelType w:val="hybridMultilevel"/>
    <w:tmpl w:val="CC820B24"/>
    <w:lvl w:ilvl="0" w:tplc="EF981BDA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6760F0B"/>
    <w:multiLevelType w:val="hybridMultilevel"/>
    <w:tmpl w:val="E2824E78"/>
    <w:lvl w:ilvl="0" w:tplc="592E9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69"/>
    <w:rsid w:val="000755AD"/>
    <w:rsid w:val="00076335"/>
    <w:rsid w:val="0009612D"/>
    <w:rsid w:val="000B4105"/>
    <w:rsid w:val="000B78C3"/>
    <w:rsid w:val="000D6127"/>
    <w:rsid w:val="000E72D7"/>
    <w:rsid w:val="0012605F"/>
    <w:rsid w:val="00146F50"/>
    <w:rsid w:val="00157F77"/>
    <w:rsid w:val="001B27AD"/>
    <w:rsid w:val="001C15A8"/>
    <w:rsid w:val="001E241E"/>
    <w:rsid w:val="001F750C"/>
    <w:rsid w:val="00237536"/>
    <w:rsid w:val="00291374"/>
    <w:rsid w:val="002A55E5"/>
    <w:rsid w:val="002E7968"/>
    <w:rsid w:val="00372D16"/>
    <w:rsid w:val="0043428A"/>
    <w:rsid w:val="004E1034"/>
    <w:rsid w:val="00510C78"/>
    <w:rsid w:val="00521633"/>
    <w:rsid w:val="00542408"/>
    <w:rsid w:val="005F5AD0"/>
    <w:rsid w:val="00605757"/>
    <w:rsid w:val="00612529"/>
    <w:rsid w:val="00626791"/>
    <w:rsid w:val="00631561"/>
    <w:rsid w:val="0066401C"/>
    <w:rsid w:val="006741ED"/>
    <w:rsid w:val="00676F27"/>
    <w:rsid w:val="00766941"/>
    <w:rsid w:val="007911E8"/>
    <w:rsid w:val="007D1D28"/>
    <w:rsid w:val="00813DCA"/>
    <w:rsid w:val="00817229"/>
    <w:rsid w:val="0087307A"/>
    <w:rsid w:val="00890CAD"/>
    <w:rsid w:val="008B76F0"/>
    <w:rsid w:val="008D3542"/>
    <w:rsid w:val="00903BBA"/>
    <w:rsid w:val="009171BB"/>
    <w:rsid w:val="009212AB"/>
    <w:rsid w:val="00942A46"/>
    <w:rsid w:val="00983DFD"/>
    <w:rsid w:val="00992DB3"/>
    <w:rsid w:val="009B7C24"/>
    <w:rsid w:val="009E0DD2"/>
    <w:rsid w:val="009F616E"/>
    <w:rsid w:val="00A06409"/>
    <w:rsid w:val="00A26369"/>
    <w:rsid w:val="00A309C6"/>
    <w:rsid w:val="00A5410A"/>
    <w:rsid w:val="00A75F20"/>
    <w:rsid w:val="00A87287"/>
    <w:rsid w:val="00AB3E89"/>
    <w:rsid w:val="00AF5D68"/>
    <w:rsid w:val="00B06166"/>
    <w:rsid w:val="00B277DD"/>
    <w:rsid w:val="00B30CEC"/>
    <w:rsid w:val="00B33085"/>
    <w:rsid w:val="00B3380E"/>
    <w:rsid w:val="00B51B98"/>
    <w:rsid w:val="00B816EB"/>
    <w:rsid w:val="00B81D8F"/>
    <w:rsid w:val="00BA566A"/>
    <w:rsid w:val="00C34B9E"/>
    <w:rsid w:val="00C80C50"/>
    <w:rsid w:val="00CD1AC3"/>
    <w:rsid w:val="00D4703C"/>
    <w:rsid w:val="00DC7687"/>
    <w:rsid w:val="00DE4DEE"/>
    <w:rsid w:val="00DF49D8"/>
    <w:rsid w:val="00E608EB"/>
    <w:rsid w:val="00E61A9D"/>
    <w:rsid w:val="00EA2977"/>
    <w:rsid w:val="00EA685D"/>
    <w:rsid w:val="00EE2466"/>
    <w:rsid w:val="00F078D4"/>
    <w:rsid w:val="00F1139D"/>
    <w:rsid w:val="00F1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F0FD1-440B-4A8C-BC52-CBFA8E56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6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4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3428A"/>
  </w:style>
  <w:style w:type="paragraph" w:styleId="a6">
    <w:name w:val="footer"/>
    <w:basedOn w:val="a"/>
    <w:link w:val="a7"/>
    <w:uiPriority w:val="99"/>
    <w:unhideWhenUsed/>
    <w:rsid w:val="00434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3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6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7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6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96-2010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7742</Words>
  <Characters>4413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ДОРОШКОВА Наталія Олександрівна</dc:creator>
  <cp:keywords/>
  <dc:description/>
  <cp:lastModifiedBy>ДОРОШКОВА Наталія Олександрівна</cp:lastModifiedBy>
  <cp:revision>2</cp:revision>
  <dcterms:created xsi:type="dcterms:W3CDTF">2026-05-11T12:24:00Z</dcterms:created>
  <dcterms:modified xsi:type="dcterms:W3CDTF">2026-05-11T12:24:00Z</dcterms:modified>
</cp:coreProperties>
</file>