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C2" w:rsidRPr="0088782A" w:rsidRDefault="00A2350B" w:rsidP="000A7F59">
      <w:pPr>
        <w:jc w:val="center"/>
        <w:rPr>
          <w:b/>
          <w:spacing w:val="-10"/>
          <w:sz w:val="28"/>
          <w:szCs w:val="28"/>
          <w:lang w:val="uk-UA"/>
        </w:rPr>
      </w:pPr>
      <w:r w:rsidRPr="0088782A">
        <w:rPr>
          <w:b/>
          <w:spacing w:val="-10"/>
          <w:sz w:val="28"/>
          <w:szCs w:val="28"/>
          <w:lang w:val="uk-UA"/>
        </w:rPr>
        <w:t xml:space="preserve">Повідомлення про оприлюднення </w:t>
      </w:r>
    </w:p>
    <w:p w:rsidR="00470BE8" w:rsidRPr="0088782A" w:rsidRDefault="0088782A" w:rsidP="0088782A">
      <w:pPr>
        <w:spacing w:after="120"/>
        <w:ind w:firstLine="709"/>
        <w:jc w:val="center"/>
        <w:rPr>
          <w:b/>
          <w:spacing w:val="-10"/>
          <w:sz w:val="28"/>
          <w:szCs w:val="28"/>
          <w:lang w:val="uk-UA"/>
        </w:rPr>
      </w:pPr>
      <w:r w:rsidRPr="0088782A">
        <w:rPr>
          <w:b/>
          <w:spacing w:val="-10"/>
          <w:sz w:val="28"/>
          <w:szCs w:val="28"/>
          <w:lang w:val="uk-UA"/>
        </w:rPr>
        <w:t>проекту постанови Кабінету Міністрів України</w:t>
      </w:r>
      <w:r w:rsidR="00950DF7">
        <w:rPr>
          <w:b/>
          <w:spacing w:val="-10"/>
          <w:sz w:val="28"/>
          <w:szCs w:val="28"/>
          <w:lang w:val="uk-UA"/>
        </w:rPr>
        <w:t xml:space="preserve"> </w:t>
      </w:r>
      <w:r w:rsidRPr="0088782A">
        <w:rPr>
          <w:b/>
          <w:spacing w:val="-10"/>
          <w:sz w:val="28"/>
          <w:szCs w:val="28"/>
          <w:lang w:val="uk-UA"/>
        </w:rPr>
        <w:t>«Про затвердження Порядку добровільної сплати єдиного внеску на загальнообов’язкове державне соціальне страхування платниками єдиного внеску із місцезнаходженням (місцем проживання) на тимчасово окупованій території України»</w:t>
      </w:r>
    </w:p>
    <w:p w:rsidR="008A6EE7" w:rsidRPr="0088782A" w:rsidRDefault="00672BA9" w:rsidP="0088782A">
      <w:pPr>
        <w:ind w:firstLine="709"/>
        <w:jc w:val="both"/>
        <w:rPr>
          <w:spacing w:val="-10"/>
          <w:sz w:val="28"/>
          <w:szCs w:val="28"/>
          <w:lang w:val="uk-UA"/>
        </w:rPr>
      </w:pPr>
      <w:r w:rsidRPr="0088782A">
        <w:rPr>
          <w:spacing w:val="-10"/>
          <w:sz w:val="28"/>
          <w:szCs w:val="28"/>
          <w:lang w:val="uk-UA"/>
        </w:rPr>
        <w:t>Міністерство фінансів України відповідно</w:t>
      </w:r>
      <w:r w:rsidR="00965717" w:rsidRPr="00965717">
        <w:rPr>
          <w:spacing w:val="-10"/>
          <w:sz w:val="28"/>
          <w:szCs w:val="28"/>
          <w:lang w:val="uk-UA"/>
        </w:rPr>
        <w:t xml:space="preserve"> до вимог Закону України «Про доступ до публічної інформації» повідомляє про оприлюднення </w:t>
      </w:r>
      <w:r w:rsidR="0088782A" w:rsidRPr="0088782A">
        <w:rPr>
          <w:spacing w:val="-10"/>
          <w:sz w:val="28"/>
          <w:szCs w:val="28"/>
          <w:lang w:val="uk-UA"/>
        </w:rPr>
        <w:t>проекту постанови Кабінету Міністрів України «Про затвердження Порядку добровільної сплати єдиного внеску на загальнообов’язкове державне соціальне страхування платниками єдиного внеску із місцезнаходженням (місцем проживання) на тимчасово окупованій території України»</w:t>
      </w:r>
      <w:r w:rsidR="00DC2131" w:rsidRPr="0088782A">
        <w:rPr>
          <w:spacing w:val="-10"/>
          <w:sz w:val="28"/>
          <w:szCs w:val="28"/>
          <w:lang w:val="uk-UA"/>
        </w:rPr>
        <w:t xml:space="preserve"> (далі – проект </w:t>
      </w:r>
      <w:r w:rsidR="0088782A" w:rsidRPr="0088782A">
        <w:rPr>
          <w:spacing w:val="-10"/>
          <w:sz w:val="28"/>
          <w:szCs w:val="28"/>
          <w:lang w:val="uk-UA"/>
        </w:rPr>
        <w:t>акта</w:t>
      </w:r>
      <w:r w:rsidR="00DC2131" w:rsidRPr="0088782A">
        <w:rPr>
          <w:spacing w:val="-10"/>
          <w:sz w:val="28"/>
          <w:szCs w:val="28"/>
          <w:lang w:val="uk-UA"/>
        </w:rPr>
        <w:t>)</w:t>
      </w:r>
      <w:r w:rsidR="008A6EE7" w:rsidRPr="0088782A">
        <w:rPr>
          <w:spacing w:val="-10"/>
          <w:sz w:val="28"/>
          <w:szCs w:val="28"/>
          <w:lang w:val="uk-UA"/>
        </w:rPr>
        <w:t>.</w:t>
      </w:r>
      <w:r w:rsidR="00852A8D" w:rsidRPr="0088782A">
        <w:rPr>
          <w:spacing w:val="-10"/>
          <w:sz w:val="28"/>
          <w:szCs w:val="28"/>
          <w:lang w:val="uk-UA"/>
        </w:rPr>
        <w:t xml:space="preserve">  </w:t>
      </w:r>
      <w:r w:rsidR="00D12133" w:rsidRPr="0088782A">
        <w:rPr>
          <w:spacing w:val="-10"/>
          <w:sz w:val="28"/>
          <w:szCs w:val="28"/>
          <w:lang w:val="uk-UA"/>
        </w:rPr>
        <w:t xml:space="preserve"> </w:t>
      </w:r>
    </w:p>
    <w:p w:rsidR="008A6EE7" w:rsidRPr="0088782A" w:rsidRDefault="00E8094B" w:rsidP="008A6EE7">
      <w:pPr>
        <w:ind w:firstLine="567"/>
        <w:jc w:val="both"/>
        <w:rPr>
          <w:spacing w:val="-10"/>
          <w:sz w:val="28"/>
          <w:szCs w:val="28"/>
          <w:lang w:val="uk-UA"/>
        </w:rPr>
      </w:pPr>
      <w:r w:rsidRPr="0088782A">
        <w:rPr>
          <w:spacing w:val="-10"/>
          <w:sz w:val="28"/>
          <w:szCs w:val="28"/>
          <w:lang w:val="uk-UA"/>
        </w:rPr>
        <w:t xml:space="preserve">Проект </w:t>
      </w:r>
      <w:r w:rsidR="0088782A" w:rsidRPr="0088782A">
        <w:rPr>
          <w:spacing w:val="-10"/>
          <w:sz w:val="28"/>
          <w:szCs w:val="28"/>
          <w:lang w:val="uk-UA"/>
        </w:rPr>
        <w:t>акта</w:t>
      </w:r>
      <w:r w:rsidR="00311BE8" w:rsidRPr="0088782A">
        <w:rPr>
          <w:spacing w:val="-10"/>
          <w:sz w:val="28"/>
          <w:szCs w:val="28"/>
          <w:lang w:val="uk-UA"/>
        </w:rPr>
        <w:t xml:space="preserve"> </w:t>
      </w:r>
      <w:r w:rsidR="00F542ED" w:rsidRPr="0088782A">
        <w:rPr>
          <w:spacing w:val="-10"/>
          <w:sz w:val="28"/>
          <w:szCs w:val="28"/>
          <w:lang w:val="uk-UA"/>
        </w:rPr>
        <w:t>розроблен</w:t>
      </w:r>
      <w:r w:rsidR="00D12133" w:rsidRPr="0088782A">
        <w:rPr>
          <w:spacing w:val="-10"/>
          <w:sz w:val="28"/>
          <w:szCs w:val="28"/>
          <w:lang w:val="uk-UA"/>
        </w:rPr>
        <w:t>ий Мін</w:t>
      </w:r>
      <w:r w:rsidR="004B57DA" w:rsidRPr="0088782A">
        <w:rPr>
          <w:spacing w:val="-10"/>
          <w:sz w:val="28"/>
          <w:szCs w:val="28"/>
          <w:lang w:val="uk-UA"/>
        </w:rPr>
        <w:t>істерством фінансів</w:t>
      </w:r>
      <w:r w:rsidR="00FC0502" w:rsidRPr="0088782A">
        <w:rPr>
          <w:spacing w:val="-10"/>
          <w:sz w:val="28"/>
          <w:szCs w:val="28"/>
          <w:lang w:val="uk-UA"/>
        </w:rPr>
        <w:t xml:space="preserve"> України</w:t>
      </w:r>
      <w:r w:rsidR="004B57DA" w:rsidRPr="0088782A">
        <w:rPr>
          <w:spacing w:val="-10"/>
          <w:sz w:val="28"/>
          <w:szCs w:val="28"/>
          <w:lang w:val="uk-UA"/>
        </w:rPr>
        <w:t xml:space="preserve"> спільно </w:t>
      </w:r>
      <w:r w:rsidR="00F542ED" w:rsidRPr="0088782A">
        <w:rPr>
          <w:spacing w:val="-10"/>
          <w:sz w:val="28"/>
          <w:szCs w:val="28"/>
          <w:lang w:val="uk-UA"/>
        </w:rPr>
        <w:t xml:space="preserve">з Державною </w:t>
      </w:r>
      <w:r w:rsidR="004B57DA" w:rsidRPr="0088782A">
        <w:rPr>
          <w:spacing w:val="-10"/>
          <w:sz w:val="28"/>
          <w:szCs w:val="28"/>
          <w:lang w:val="uk-UA"/>
        </w:rPr>
        <w:t xml:space="preserve">податковою </w:t>
      </w:r>
      <w:r w:rsidR="00F542ED" w:rsidRPr="0088782A">
        <w:rPr>
          <w:spacing w:val="-10"/>
          <w:sz w:val="28"/>
          <w:szCs w:val="28"/>
          <w:lang w:val="uk-UA"/>
        </w:rPr>
        <w:t>службою</w:t>
      </w:r>
      <w:r w:rsidR="00FC0502" w:rsidRPr="0088782A">
        <w:rPr>
          <w:spacing w:val="-10"/>
          <w:sz w:val="28"/>
          <w:szCs w:val="28"/>
          <w:lang w:val="uk-UA"/>
        </w:rPr>
        <w:t xml:space="preserve"> України з</w:t>
      </w:r>
      <w:r w:rsidR="006B29D6" w:rsidRPr="0088782A">
        <w:rPr>
          <w:spacing w:val="-10"/>
          <w:sz w:val="28"/>
          <w:szCs w:val="28"/>
          <w:lang w:val="uk-UA"/>
        </w:rPr>
        <w:t xml:space="preserve"> метою </w:t>
      </w:r>
      <w:r w:rsidR="005A1A87" w:rsidRPr="0088782A">
        <w:rPr>
          <w:spacing w:val="-10"/>
          <w:sz w:val="28"/>
          <w:szCs w:val="28"/>
          <w:lang w:val="uk-UA"/>
        </w:rPr>
        <w:t xml:space="preserve">виконання </w:t>
      </w:r>
      <w:r w:rsidR="0088782A" w:rsidRPr="0088782A">
        <w:rPr>
          <w:color w:val="000000" w:themeColor="text1"/>
          <w:spacing w:val="-10"/>
          <w:sz w:val="28"/>
          <w:szCs w:val="28"/>
          <w:lang w:val="uk-UA" w:eastAsia="en-US"/>
        </w:rPr>
        <w:t>Закону України від 01.07.2021 №</w:t>
      </w:r>
      <w:r w:rsidR="0088782A" w:rsidRPr="0088782A">
        <w:rPr>
          <w:color w:val="000000" w:themeColor="text1"/>
          <w:spacing w:val="-10"/>
          <w:sz w:val="28"/>
          <w:szCs w:val="28"/>
          <w:lang w:eastAsia="en-US"/>
        </w:rPr>
        <w:t> </w:t>
      </w:r>
      <w:r w:rsidR="0088782A" w:rsidRPr="0088782A">
        <w:rPr>
          <w:color w:val="000000" w:themeColor="text1"/>
          <w:spacing w:val="-10"/>
          <w:sz w:val="28"/>
          <w:szCs w:val="28"/>
          <w:lang w:val="uk-UA" w:eastAsia="en-US"/>
        </w:rPr>
        <w:t>1617-ІХ «Про внесення змін до Податкового кодексу України та деяких інших законодавчих актів України щодо адміністрування податків і зборів на тимчасово окупованій території Автономної Республіки Крим та міста Севастополя»  (далі – Закон № 1617)</w:t>
      </w:r>
      <w:r w:rsidR="005A1A87" w:rsidRPr="0088782A">
        <w:rPr>
          <w:spacing w:val="-10"/>
          <w:sz w:val="28"/>
          <w:szCs w:val="28"/>
          <w:lang w:val="uk-UA"/>
        </w:rPr>
        <w:t>, яким</w:t>
      </w:r>
      <w:r w:rsidR="0088782A" w:rsidRPr="0088782A">
        <w:rPr>
          <w:spacing w:val="-10"/>
          <w:sz w:val="28"/>
          <w:szCs w:val="28"/>
          <w:lang w:val="uk-UA"/>
        </w:rPr>
        <w:t xml:space="preserve"> внесено зміни до пункту 9</w:t>
      </w:r>
      <w:r w:rsidR="0088782A" w:rsidRPr="0088782A">
        <w:rPr>
          <w:spacing w:val="-10"/>
          <w:sz w:val="28"/>
          <w:szCs w:val="28"/>
          <w:vertAlign w:val="superscript"/>
          <w:lang w:val="uk-UA"/>
        </w:rPr>
        <w:t>3</w:t>
      </w:r>
      <w:r w:rsidR="0088782A" w:rsidRPr="0088782A">
        <w:rPr>
          <w:spacing w:val="-10"/>
          <w:sz w:val="28"/>
          <w:szCs w:val="28"/>
          <w:lang w:val="uk-UA"/>
        </w:rPr>
        <w:t xml:space="preserve"> розділу VIII «Прикінцеві та перехідні положення» Закону України від 08 липня 2010 року № 2464 «Про збір та облік єдиного внеску на загальнообов’язкове державне соціальне страхування»</w:t>
      </w:r>
      <w:r w:rsidR="00DC2131" w:rsidRPr="0088782A">
        <w:rPr>
          <w:spacing w:val="-10"/>
          <w:sz w:val="28"/>
          <w:szCs w:val="28"/>
          <w:lang w:val="uk-UA"/>
        </w:rPr>
        <w:t>.</w:t>
      </w:r>
    </w:p>
    <w:p w:rsidR="0088782A" w:rsidRPr="0088782A" w:rsidRDefault="0088782A" w:rsidP="008A6EE7">
      <w:pPr>
        <w:ind w:firstLine="567"/>
        <w:jc w:val="both"/>
        <w:rPr>
          <w:spacing w:val="-10"/>
          <w:sz w:val="28"/>
          <w:szCs w:val="28"/>
          <w:lang w:val="uk-UA"/>
        </w:rPr>
      </w:pPr>
      <w:r w:rsidRPr="0088782A">
        <w:rPr>
          <w:spacing w:val="-10"/>
          <w:sz w:val="28"/>
          <w:szCs w:val="28"/>
          <w:lang w:val="uk-UA"/>
        </w:rPr>
        <w:t>Підпунктом 1 пункту 2 розділу ІІ «Прикінцеві положення» Закону № 1617 встановлено, що порядок добровільної сплати єдиного внеску платниками єдиного внеску із місцезнаходженням (місцем проживання) на тимчасово окупованій території визначається Кабінетом Міністрів України</w:t>
      </w:r>
    </w:p>
    <w:p w:rsidR="007E25EC" w:rsidRPr="007E25EC" w:rsidRDefault="007E25EC" w:rsidP="007E25EC">
      <w:pPr>
        <w:widowControl w:val="0"/>
        <w:ind w:firstLine="567"/>
        <w:jc w:val="both"/>
        <w:rPr>
          <w:color w:val="000000"/>
          <w:spacing w:val="-10"/>
          <w:sz w:val="28"/>
          <w:szCs w:val="28"/>
          <w:lang w:val="uk-UA"/>
        </w:rPr>
      </w:pPr>
      <w:r w:rsidRPr="007E25EC">
        <w:rPr>
          <w:color w:val="000000"/>
          <w:spacing w:val="-10"/>
          <w:sz w:val="28"/>
          <w:szCs w:val="28"/>
          <w:lang w:val="uk-UA"/>
        </w:rPr>
        <w:t>Проєктом акта передбачено затвердити порядок, яким визначається механізм добровільної сплати єдиного внеску на загальнообов’язкове державне соціальне страхування на території України:</w:t>
      </w:r>
    </w:p>
    <w:p w:rsidR="007E25EC" w:rsidRPr="007E25EC" w:rsidRDefault="007E25EC" w:rsidP="007E25EC">
      <w:pPr>
        <w:widowControl w:val="0"/>
        <w:ind w:firstLine="567"/>
        <w:jc w:val="both"/>
        <w:rPr>
          <w:color w:val="000000"/>
          <w:spacing w:val="-10"/>
          <w:sz w:val="28"/>
          <w:szCs w:val="28"/>
          <w:lang w:val="uk-UA"/>
        </w:rPr>
      </w:pPr>
      <w:r w:rsidRPr="007E25EC">
        <w:rPr>
          <w:color w:val="000000"/>
          <w:spacing w:val="-10"/>
          <w:sz w:val="28"/>
          <w:szCs w:val="28"/>
          <w:lang w:val="uk-UA"/>
        </w:rPr>
        <w:t xml:space="preserve"> платниками єдиного внеску із місцезнаходженням (місцем проживання) на тимчасово окупованій території України; </w:t>
      </w:r>
    </w:p>
    <w:p w:rsidR="0088782A" w:rsidRPr="0088782A" w:rsidRDefault="007E25EC" w:rsidP="007E25EC">
      <w:pPr>
        <w:widowControl w:val="0"/>
        <w:ind w:firstLine="567"/>
        <w:jc w:val="both"/>
        <w:rPr>
          <w:color w:val="000000"/>
          <w:spacing w:val="-10"/>
          <w:sz w:val="28"/>
          <w:szCs w:val="28"/>
          <w:lang w:val="uk-UA"/>
        </w:rPr>
      </w:pPr>
      <w:r w:rsidRPr="007E25EC">
        <w:rPr>
          <w:color w:val="000000"/>
          <w:spacing w:val="-10"/>
          <w:sz w:val="28"/>
          <w:szCs w:val="28"/>
          <w:lang w:val="uk-UA"/>
        </w:rPr>
        <w:t>громадянами України із місцем проживання на тимчасово окупованій території України.</w:t>
      </w:r>
    </w:p>
    <w:p w:rsidR="007E25EC" w:rsidRPr="007E25EC" w:rsidRDefault="007E25EC" w:rsidP="007E25EC">
      <w:pPr>
        <w:widowControl w:val="0"/>
        <w:ind w:firstLine="567"/>
        <w:jc w:val="both"/>
        <w:rPr>
          <w:spacing w:val="-10"/>
          <w:sz w:val="28"/>
          <w:szCs w:val="28"/>
          <w:lang w:val="uk-UA"/>
        </w:rPr>
      </w:pPr>
      <w:r w:rsidRPr="007E25EC">
        <w:rPr>
          <w:spacing w:val="-10"/>
          <w:sz w:val="28"/>
          <w:szCs w:val="28"/>
          <w:lang w:val="uk-UA"/>
        </w:rPr>
        <w:t>Проект акта оприлюднено на офіційній сторінці Міністерства фінансів України в мережі Інтернет (www.mof.gov.ua) у рубриці “Законодавство” у підрозділі “Проекти нормативно-правових актів у 2024 р.” розділу “Проекти нормативно-правових актів”.</w:t>
      </w:r>
    </w:p>
    <w:p w:rsidR="004337B4" w:rsidRPr="0088782A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  <w:lang w:val="uk-UA"/>
        </w:rPr>
      </w:pPr>
      <w:r w:rsidRPr="00D46834">
        <w:rPr>
          <w:color w:val="000000" w:themeColor="text1"/>
          <w:spacing w:val="-10"/>
          <w:sz w:val="28"/>
          <w:szCs w:val="28"/>
          <w:lang w:val="uk-UA"/>
        </w:rPr>
        <w:t xml:space="preserve">Зауваження та пропозиції стосовно змісту </w:t>
      </w:r>
      <w:r w:rsidR="00275259" w:rsidRPr="0088782A">
        <w:rPr>
          <w:spacing w:val="-10"/>
          <w:sz w:val="28"/>
          <w:szCs w:val="28"/>
          <w:lang w:val="uk-UA"/>
        </w:rPr>
        <w:t>проекту</w:t>
      </w:r>
      <w:r w:rsidRPr="0088782A">
        <w:rPr>
          <w:spacing w:val="-10"/>
          <w:sz w:val="28"/>
          <w:szCs w:val="28"/>
          <w:lang w:val="uk-UA"/>
        </w:rPr>
        <w:t xml:space="preserve"> </w:t>
      </w:r>
      <w:r w:rsidR="00965717">
        <w:rPr>
          <w:spacing w:val="-10"/>
          <w:sz w:val="28"/>
          <w:szCs w:val="28"/>
          <w:lang w:val="uk-UA"/>
        </w:rPr>
        <w:t>акта</w:t>
      </w:r>
      <w:r w:rsidRPr="0088782A">
        <w:rPr>
          <w:spacing w:val="-10"/>
          <w:sz w:val="28"/>
          <w:szCs w:val="28"/>
          <w:lang w:val="uk-UA"/>
        </w:rPr>
        <w:t xml:space="preserve"> </w:t>
      </w:r>
      <w:r w:rsidR="006B29D6" w:rsidRPr="0088782A">
        <w:rPr>
          <w:spacing w:val="-10"/>
          <w:sz w:val="28"/>
          <w:szCs w:val="28"/>
          <w:lang w:val="uk-UA"/>
        </w:rPr>
        <w:t xml:space="preserve">просимо </w:t>
      </w:r>
      <w:r w:rsidRPr="0088782A">
        <w:rPr>
          <w:spacing w:val="-10"/>
          <w:sz w:val="28"/>
          <w:szCs w:val="28"/>
          <w:lang w:val="uk-UA"/>
        </w:rPr>
        <w:t xml:space="preserve">надавати у письмовій </w:t>
      </w:r>
      <w:r w:rsidR="00965717" w:rsidRPr="00965717">
        <w:rPr>
          <w:spacing w:val="-10"/>
          <w:sz w:val="28"/>
          <w:szCs w:val="28"/>
          <w:lang w:val="uk-UA"/>
        </w:rPr>
        <w:t>та/або</w:t>
      </w:r>
      <w:r w:rsidRPr="0088782A">
        <w:rPr>
          <w:spacing w:val="-10"/>
          <w:sz w:val="28"/>
          <w:szCs w:val="28"/>
          <w:lang w:val="uk-UA"/>
        </w:rPr>
        <w:t xml:space="preserve"> електронній формі протягом </w:t>
      </w:r>
      <w:r w:rsidR="00965717">
        <w:rPr>
          <w:spacing w:val="-10"/>
          <w:sz w:val="28"/>
          <w:szCs w:val="28"/>
          <w:lang w:val="uk-UA"/>
        </w:rPr>
        <w:t xml:space="preserve">10 днів </w:t>
      </w:r>
      <w:r w:rsidRPr="0088782A">
        <w:rPr>
          <w:spacing w:val="-10"/>
          <w:sz w:val="28"/>
          <w:szCs w:val="28"/>
          <w:lang w:val="uk-UA"/>
        </w:rPr>
        <w:t xml:space="preserve"> з дня публікації цього оголошення за наступними адресами:</w:t>
      </w:r>
    </w:p>
    <w:p w:rsidR="000A7F59" w:rsidRPr="0088782A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  <w:lang w:val="uk-UA"/>
        </w:rPr>
      </w:pPr>
      <w:r w:rsidRPr="0088782A">
        <w:rPr>
          <w:spacing w:val="-10"/>
          <w:sz w:val="28"/>
          <w:szCs w:val="28"/>
          <w:lang w:val="uk-UA"/>
        </w:rPr>
        <w:t xml:space="preserve">Міністерство фінансів України, 01008, м. Київ-8, вул. Грушевського, 12/2, </w:t>
      </w:r>
      <w:r w:rsidR="00965717">
        <w:rPr>
          <w:spacing w:val="-10"/>
          <w:sz w:val="28"/>
          <w:szCs w:val="28"/>
          <w:lang w:val="uk-UA"/>
        </w:rPr>
        <w:br/>
      </w:r>
      <w:r w:rsidR="008372B1" w:rsidRPr="0088782A">
        <w:rPr>
          <w:spacing w:val="-10"/>
          <w:sz w:val="28"/>
          <w:szCs w:val="28"/>
          <w:lang w:val="uk-UA"/>
        </w:rPr>
        <w:t>Е</w:t>
      </w:r>
      <w:r w:rsidRPr="0088782A">
        <w:rPr>
          <w:spacing w:val="-10"/>
          <w:sz w:val="28"/>
          <w:szCs w:val="28"/>
          <w:lang w:val="uk-UA"/>
        </w:rPr>
        <w:t xml:space="preserve">-mail: </w:t>
      </w:r>
      <w:r w:rsidR="005A1A87" w:rsidRPr="0088782A">
        <w:rPr>
          <w:spacing w:val="-10"/>
          <w:sz w:val="28"/>
          <w:szCs w:val="28"/>
          <w:lang w:val="en-US"/>
        </w:rPr>
        <w:t>infomf</w:t>
      </w:r>
      <w:r w:rsidR="005A1A87" w:rsidRPr="0088782A">
        <w:rPr>
          <w:spacing w:val="-10"/>
          <w:sz w:val="28"/>
          <w:szCs w:val="28"/>
        </w:rPr>
        <w:t>@</w:t>
      </w:r>
      <w:r w:rsidR="005A1A87" w:rsidRPr="0088782A">
        <w:rPr>
          <w:spacing w:val="-10"/>
          <w:sz w:val="28"/>
          <w:szCs w:val="28"/>
          <w:lang w:val="en-US"/>
        </w:rPr>
        <w:t>minfin</w:t>
      </w:r>
      <w:r w:rsidR="005A1A87" w:rsidRPr="0088782A">
        <w:rPr>
          <w:spacing w:val="-10"/>
          <w:sz w:val="28"/>
          <w:szCs w:val="28"/>
        </w:rPr>
        <w:t>.</w:t>
      </w:r>
      <w:r w:rsidR="005A1A87" w:rsidRPr="0088782A">
        <w:rPr>
          <w:spacing w:val="-10"/>
          <w:sz w:val="28"/>
          <w:szCs w:val="28"/>
          <w:lang w:val="en-US"/>
        </w:rPr>
        <w:t>gov</w:t>
      </w:r>
      <w:r w:rsidR="005A1A87" w:rsidRPr="0088782A">
        <w:rPr>
          <w:spacing w:val="-10"/>
          <w:sz w:val="28"/>
          <w:szCs w:val="28"/>
        </w:rPr>
        <w:t>.</w:t>
      </w:r>
      <w:r w:rsidR="005A1A87" w:rsidRPr="0088782A">
        <w:rPr>
          <w:spacing w:val="-10"/>
          <w:sz w:val="28"/>
          <w:szCs w:val="28"/>
          <w:lang w:val="en-US"/>
        </w:rPr>
        <w:t>ua</w:t>
      </w:r>
      <w:r w:rsidR="005A1A87" w:rsidRPr="0088782A">
        <w:rPr>
          <w:spacing w:val="-10"/>
          <w:sz w:val="28"/>
          <w:szCs w:val="28"/>
          <w:lang w:val="uk-UA"/>
        </w:rPr>
        <w:t>.</w:t>
      </w:r>
      <w:r w:rsidR="008A6EE7" w:rsidRPr="0088782A">
        <w:rPr>
          <w:spacing w:val="-10"/>
          <w:sz w:val="28"/>
          <w:szCs w:val="28"/>
        </w:rPr>
        <w:t xml:space="preserve"> </w:t>
      </w:r>
    </w:p>
    <w:p w:rsidR="007E25EC" w:rsidRPr="00983877" w:rsidRDefault="007E25EC" w:rsidP="007E25EC">
      <w:pPr>
        <w:spacing w:after="60"/>
        <w:jc w:val="center"/>
        <w:rPr>
          <w:spacing w:val="-6"/>
          <w:sz w:val="28"/>
          <w:szCs w:val="28"/>
        </w:rPr>
      </w:pPr>
      <w:r w:rsidRPr="00983877">
        <w:rPr>
          <w:spacing w:val="-6"/>
          <w:sz w:val="28"/>
          <w:szCs w:val="28"/>
        </w:rPr>
        <w:t>_______________________________</w:t>
      </w:r>
    </w:p>
    <w:p w:rsidR="00965717" w:rsidRDefault="00965717" w:rsidP="007E25EC">
      <w:pPr>
        <w:tabs>
          <w:tab w:val="left" w:pos="7800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65717" w:rsidSect="00EE6688">
      <w:headerReference w:type="default" r:id="rId8"/>
      <w:pgSz w:w="11906" w:h="16838" w:code="9"/>
      <w:pgMar w:top="851" w:right="566" w:bottom="1985" w:left="1418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40" w:rsidRDefault="00EC6C40" w:rsidP="00250256">
      <w:r>
        <w:separator/>
      </w:r>
    </w:p>
  </w:endnote>
  <w:endnote w:type="continuationSeparator" w:id="0">
    <w:p w:rsidR="00EC6C40" w:rsidRDefault="00EC6C40" w:rsidP="002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40" w:rsidRDefault="00EC6C40" w:rsidP="00250256">
      <w:r>
        <w:separator/>
      </w:r>
    </w:p>
  </w:footnote>
  <w:footnote w:type="continuationSeparator" w:id="0">
    <w:p w:rsidR="00EC6C40" w:rsidRDefault="00EC6C40" w:rsidP="0025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56" w:rsidRDefault="002502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688">
      <w:rPr>
        <w:noProof/>
      </w:rPr>
      <w:t>2</w:t>
    </w:r>
    <w:r>
      <w:rPr>
        <w:noProof/>
      </w:rPr>
      <w:fldChar w:fldCharType="end"/>
    </w:r>
  </w:p>
  <w:p w:rsidR="00250256" w:rsidRDefault="00250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753"/>
    <w:multiLevelType w:val="hybridMultilevel"/>
    <w:tmpl w:val="EF624746"/>
    <w:lvl w:ilvl="0" w:tplc="B55067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F635E44"/>
    <w:multiLevelType w:val="hybridMultilevel"/>
    <w:tmpl w:val="8648FEC6"/>
    <w:lvl w:ilvl="0" w:tplc="FF1EEFFE">
      <w:start w:val="3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35"/>
    <w:rsid w:val="000038D3"/>
    <w:rsid w:val="00020039"/>
    <w:rsid w:val="00052D3F"/>
    <w:rsid w:val="00056FB1"/>
    <w:rsid w:val="00062490"/>
    <w:rsid w:val="000645B3"/>
    <w:rsid w:val="00074931"/>
    <w:rsid w:val="0007744B"/>
    <w:rsid w:val="00096D14"/>
    <w:rsid w:val="000A4B3A"/>
    <w:rsid w:val="000A7F59"/>
    <w:rsid w:val="000B0FF1"/>
    <w:rsid w:val="000E5428"/>
    <w:rsid w:val="00121ADA"/>
    <w:rsid w:val="00131599"/>
    <w:rsid w:val="00136B8D"/>
    <w:rsid w:val="001648BC"/>
    <w:rsid w:val="00165A9E"/>
    <w:rsid w:val="00167AAD"/>
    <w:rsid w:val="00181886"/>
    <w:rsid w:val="00207302"/>
    <w:rsid w:val="00250256"/>
    <w:rsid w:val="0026063D"/>
    <w:rsid w:val="00275259"/>
    <w:rsid w:val="00283D7E"/>
    <w:rsid w:val="002878C4"/>
    <w:rsid w:val="002A7F34"/>
    <w:rsid w:val="002B0637"/>
    <w:rsid w:val="002B76F5"/>
    <w:rsid w:val="002C66C2"/>
    <w:rsid w:val="002C7AF9"/>
    <w:rsid w:val="002E3BA9"/>
    <w:rsid w:val="00304A70"/>
    <w:rsid w:val="00311BE8"/>
    <w:rsid w:val="0033464B"/>
    <w:rsid w:val="003360F2"/>
    <w:rsid w:val="00353945"/>
    <w:rsid w:val="00371CBB"/>
    <w:rsid w:val="003A0B81"/>
    <w:rsid w:val="003B1B81"/>
    <w:rsid w:val="003B2DDD"/>
    <w:rsid w:val="003B4D3D"/>
    <w:rsid w:val="003F3B95"/>
    <w:rsid w:val="003F79A4"/>
    <w:rsid w:val="00425BEE"/>
    <w:rsid w:val="004337B4"/>
    <w:rsid w:val="00470BE8"/>
    <w:rsid w:val="00476FA1"/>
    <w:rsid w:val="00491729"/>
    <w:rsid w:val="004B57DA"/>
    <w:rsid w:val="004B7771"/>
    <w:rsid w:val="0052748E"/>
    <w:rsid w:val="00547553"/>
    <w:rsid w:val="0056497F"/>
    <w:rsid w:val="005720B4"/>
    <w:rsid w:val="00594A0D"/>
    <w:rsid w:val="005A1A87"/>
    <w:rsid w:val="005A31C4"/>
    <w:rsid w:val="005B2928"/>
    <w:rsid w:val="005C2116"/>
    <w:rsid w:val="005C5635"/>
    <w:rsid w:val="005D59EA"/>
    <w:rsid w:val="005F7141"/>
    <w:rsid w:val="00672BA9"/>
    <w:rsid w:val="006B29D6"/>
    <w:rsid w:val="007042DB"/>
    <w:rsid w:val="00740C50"/>
    <w:rsid w:val="00744A23"/>
    <w:rsid w:val="00746F2E"/>
    <w:rsid w:val="00770341"/>
    <w:rsid w:val="0077767B"/>
    <w:rsid w:val="007C0533"/>
    <w:rsid w:val="007C0A29"/>
    <w:rsid w:val="007E25EC"/>
    <w:rsid w:val="007F2370"/>
    <w:rsid w:val="007F56D8"/>
    <w:rsid w:val="00805E04"/>
    <w:rsid w:val="00807691"/>
    <w:rsid w:val="008150DC"/>
    <w:rsid w:val="008357EB"/>
    <w:rsid w:val="008372B1"/>
    <w:rsid w:val="0084068A"/>
    <w:rsid w:val="00852A8D"/>
    <w:rsid w:val="00875E74"/>
    <w:rsid w:val="0088782A"/>
    <w:rsid w:val="008A6EE7"/>
    <w:rsid w:val="008A7B02"/>
    <w:rsid w:val="008D6250"/>
    <w:rsid w:val="008E2E9F"/>
    <w:rsid w:val="00950DF7"/>
    <w:rsid w:val="00957277"/>
    <w:rsid w:val="0096419D"/>
    <w:rsid w:val="00965717"/>
    <w:rsid w:val="0099134C"/>
    <w:rsid w:val="009A3EA1"/>
    <w:rsid w:val="009B6107"/>
    <w:rsid w:val="00A2350B"/>
    <w:rsid w:val="00A33EE1"/>
    <w:rsid w:val="00A42F19"/>
    <w:rsid w:val="00A81B15"/>
    <w:rsid w:val="00A92233"/>
    <w:rsid w:val="00AE7674"/>
    <w:rsid w:val="00B15F92"/>
    <w:rsid w:val="00B80611"/>
    <w:rsid w:val="00BD0E16"/>
    <w:rsid w:val="00BF5E26"/>
    <w:rsid w:val="00C1404F"/>
    <w:rsid w:val="00C6092A"/>
    <w:rsid w:val="00C654D1"/>
    <w:rsid w:val="00C71F2E"/>
    <w:rsid w:val="00C808B8"/>
    <w:rsid w:val="00C84112"/>
    <w:rsid w:val="00CD057C"/>
    <w:rsid w:val="00CD6CBE"/>
    <w:rsid w:val="00D12133"/>
    <w:rsid w:val="00D36ACE"/>
    <w:rsid w:val="00D46834"/>
    <w:rsid w:val="00D63FCF"/>
    <w:rsid w:val="00D746D3"/>
    <w:rsid w:val="00D864FA"/>
    <w:rsid w:val="00D93342"/>
    <w:rsid w:val="00DA3577"/>
    <w:rsid w:val="00DC2131"/>
    <w:rsid w:val="00DF5A68"/>
    <w:rsid w:val="00E01E35"/>
    <w:rsid w:val="00E23918"/>
    <w:rsid w:val="00E460CC"/>
    <w:rsid w:val="00E5743F"/>
    <w:rsid w:val="00E735B9"/>
    <w:rsid w:val="00E75B72"/>
    <w:rsid w:val="00E8094B"/>
    <w:rsid w:val="00E9108F"/>
    <w:rsid w:val="00E9120A"/>
    <w:rsid w:val="00E93C8B"/>
    <w:rsid w:val="00E96A4E"/>
    <w:rsid w:val="00EB7083"/>
    <w:rsid w:val="00EC6C40"/>
    <w:rsid w:val="00EE6688"/>
    <w:rsid w:val="00EE6B1E"/>
    <w:rsid w:val="00F02F5D"/>
    <w:rsid w:val="00F11121"/>
    <w:rsid w:val="00F24A45"/>
    <w:rsid w:val="00F2538E"/>
    <w:rsid w:val="00F455A1"/>
    <w:rsid w:val="00F542ED"/>
    <w:rsid w:val="00F70A04"/>
    <w:rsid w:val="00FA0F05"/>
    <w:rsid w:val="00FC0502"/>
    <w:rsid w:val="00FC6C07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E81A"/>
  <w15:chartTrackingRefBased/>
  <w15:docId w15:val="{64D094B5-4DB1-4349-992E-91F07F5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852A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50B"/>
    <w:rPr>
      <w:color w:val="0000FF"/>
      <w:u w:val="single"/>
    </w:rPr>
  </w:style>
  <w:style w:type="paragraph" w:styleId="a4">
    <w:name w:val="Balloon Text"/>
    <w:basedOn w:val="a"/>
    <w:link w:val="a5"/>
    <w:rsid w:val="005D59E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5D59EA"/>
    <w:rPr>
      <w:rFonts w:ascii="Tahoma" w:hAnsi="Tahoma" w:cs="Tahoma"/>
      <w:sz w:val="16"/>
      <w:szCs w:val="16"/>
      <w:lang w:val="ru-RU" w:eastAsia="ru-RU"/>
    </w:rPr>
  </w:style>
  <w:style w:type="character" w:customStyle="1" w:styleId="spelle">
    <w:name w:val="spelle"/>
    <w:rsid w:val="00672BA9"/>
  </w:style>
  <w:style w:type="paragraph" w:customStyle="1" w:styleId="Iniiaieeoaeno">
    <w:name w:val="Iniiaiee oaeno"/>
    <w:uiPriority w:val="99"/>
    <w:rsid w:val="008D6250"/>
    <w:pPr>
      <w:ind w:firstLine="709"/>
      <w:jc w:val="both"/>
    </w:pPr>
    <w:rPr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25025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250256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25025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50256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84068A"/>
    <w:pPr>
      <w:ind w:left="720"/>
      <w:contextualSpacing/>
    </w:pPr>
    <w:rPr>
      <w:sz w:val="20"/>
      <w:szCs w:val="20"/>
      <w:lang w:val="en-US"/>
    </w:rPr>
  </w:style>
  <w:style w:type="character" w:styleId="ab">
    <w:name w:val="Strong"/>
    <w:uiPriority w:val="22"/>
    <w:qFormat/>
    <w:rsid w:val="00F24A45"/>
    <w:rPr>
      <w:b/>
      <w:bCs/>
    </w:rPr>
  </w:style>
  <w:style w:type="paragraph" w:styleId="21">
    <w:name w:val="Body Text 2"/>
    <w:basedOn w:val="a"/>
    <w:link w:val="22"/>
    <w:uiPriority w:val="99"/>
    <w:unhideWhenUsed/>
    <w:rsid w:val="00C71F2E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ий текст 2 Знак"/>
    <w:link w:val="21"/>
    <w:uiPriority w:val="99"/>
    <w:rsid w:val="00C71F2E"/>
    <w:rPr>
      <w:lang w:eastAsia="x-none"/>
    </w:rPr>
  </w:style>
  <w:style w:type="paragraph" w:styleId="ac">
    <w:name w:val="Normal (Web)"/>
    <w:basedOn w:val="a"/>
    <w:uiPriority w:val="99"/>
    <w:unhideWhenUsed/>
    <w:rsid w:val="00470BE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52A8D"/>
    <w:rPr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0E52-49AD-4110-B68D-33169A8F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 про оприлюднення проекту наказу Міністерства фінансів України</vt:lpstr>
      <vt:lpstr>Повідомлення про оприлюднення проекту наказу Міністерства фінансів України</vt:lpstr>
    </vt:vector>
  </TitlesOfParts>
  <Company>Міністерство фінансів України</Company>
  <LinksUpToDate>false</LinksUpToDate>
  <CharactersWithSpaces>2551</CharactersWithSpaces>
  <SharedDoc>false</SharedDoc>
  <HLinks>
    <vt:vector size="24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mailto:pres@dkrp.gov.ua</vt:lpwstr>
      </vt:variant>
      <vt:variant>
        <vt:lpwstr/>
      </vt:variant>
      <vt:variant>
        <vt:i4>2097247</vt:i4>
      </vt:variant>
      <vt:variant>
        <vt:i4>6</vt:i4>
      </vt:variant>
      <vt:variant>
        <vt:i4>0</vt:i4>
      </vt:variant>
      <vt:variant>
        <vt:i4>5</vt:i4>
      </vt:variant>
      <vt:variant>
        <vt:lpwstr>mailto:inform@dkrp.gov.ua</vt:lpwstr>
      </vt:variant>
      <vt:variant>
        <vt:lpwstr/>
      </vt:variant>
      <vt:variant>
        <vt:i4>3342383</vt:i4>
      </vt:variant>
      <vt:variant>
        <vt:i4>3</vt:i4>
      </vt:variant>
      <vt:variant>
        <vt:i4>0</vt:i4>
      </vt:variant>
      <vt:variant>
        <vt:i4>5</vt:i4>
      </vt:variant>
      <vt:variant>
        <vt:lpwstr>http://www.dkrp.gov.ua/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наказу Міністерства фінансів України</dc:title>
  <dc:subject/>
  <dc:creator>Администратор</dc:creator>
  <cp:keywords/>
  <cp:lastModifiedBy>Апар Олена Миколаївна</cp:lastModifiedBy>
  <cp:revision>8</cp:revision>
  <cp:lastPrinted>2017-03-22T09:41:00Z</cp:lastPrinted>
  <dcterms:created xsi:type="dcterms:W3CDTF">2021-11-17T15:09:00Z</dcterms:created>
  <dcterms:modified xsi:type="dcterms:W3CDTF">2024-07-29T11:35:00Z</dcterms:modified>
</cp:coreProperties>
</file>