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2"/>
        <w:tblW w:w="0" w:type="auto"/>
        <w:tblInd w:w="-5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</w:tblBorders>
        <w:tblLook w:val="04A0"/>
      </w:tblPr>
      <w:tblGrid/>
      <w:tr>
        <w:tc>
          <w:tcPr>
            <w:tcW w:w="9632" w:type="dxa"/>
          </w:tcPr>
          <w:p>
            <w:pPr>
              <w:jc w:val="center"/>
              <w:rPr>
                <w:b w:val="1"/>
                <w:sz w:val="32"/>
                <w:szCs w:val="32"/>
              </w:rPr>
            </w:pPr>
            <w:r>
              <w:rPr>
                <w:b w:val="1"/>
                <w:sz w:val="32"/>
                <w:szCs w:val="32"/>
              </w:rPr>
              <w:t>Інформація про стан виконання</w:t>
            </w:r>
          </w:p>
          <w:p>
            <w:pPr>
              <w:jc w:val="center"/>
              <w:rPr>
                <w:b w:val="1"/>
                <w:sz w:val="32"/>
                <w:szCs w:val="32"/>
              </w:rPr>
            </w:pPr>
            <w:r>
              <w:rPr>
                <w:b w:val="1"/>
                <w:sz w:val="32"/>
                <w:szCs w:val="32"/>
              </w:rPr>
              <w:t>Зведеного та Державного бюджетів України</w:t>
            </w:r>
          </w:p>
          <w:p>
            <w:pPr>
              <w:jc w:val="center"/>
              <w:rPr>
                <w:b w:val="1"/>
                <w:sz w:val="32"/>
                <w:szCs w:val="32"/>
              </w:rPr>
            </w:pPr>
            <w:r>
              <w:rPr>
                <w:b w:val="1"/>
                <w:sz w:val="32"/>
                <w:szCs w:val="32"/>
              </w:rPr>
              <w:t>за січень</w:t>
            </w:r>
            <w:r>
              <w:rPr>
                <w:b w:val="1"/>
                <w:sz w:val="32"/>
                <w:szCs w:val="32"/>
                <w:lang w:val="en-US"/>
              </w:rPr>
              <w:t> – </w:t>
            </w:r>
            <w:r>
              <w:rPr>
                <w:b w:val="1"/>
                <w:sz w:val="32"/>
                <w:szCs w:val="32"/>
              </w:rPr>
              <w:t>квітень 2024-202</w:t>
            </w:r>
            <w:r>
              <w:rPr>
                <w:b w:val="1"/>
                <w:sz w:val="32"/>
                <w:szCs w:val="32"/>
                <w:lang w:val="en-US"/>
              </w:rPr>
              <w:t>5</w:t>
            </w:r>
            <w:r>
              <w:rPr>
                <w:b w:val="1"/>
                <w:sz w:val="32"/>
                <w:szCs w:val="32"/>
              </w:rPr>
              <w:t xml:space="preserve"> років</w:t>
            </w:r>
          </w:p>
        </w:tc>
      </w:tr>
    </w:tbl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>(за даними місячного звіту Державної казначейської служби України</w: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>від 2</w:t>
      </w:r>
      <w:r>
        <w:rPr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3</w:t>
      </w:r>
      <w:r>
        <w:rPr>
          <w:sz w:val="24"/>
          <w:szCs w:val="28"/>
        </w:rPr>
        <w:t>.05.2025)</w:t>
      </w:r>
    </w:p>
    <w:p>
      <w:pPr>
        <w:jc w:val="center"/>
        <w:rPr>
          <w:sz w:val="28"/>
          <w:szCs w:val="28"/>
        </w:rPr>
      </w:pPr>
    </w:p>
    <w:p>
      <w:pPr>
        <w:spacing w:after="120" w:beforeAutospacing="0" w:afterAutospacing="0"/>
        <w:jc w:val="center"/>
        <w:rPr>
          <w:b w:val="1"/>
          <w:sz w:val="28"/>
          <w:szCs w:val="28"/>
          <w:u w:val="single"/>
        </w:rPr>
      </w:pPr>
      <w:r>
        <w:rPr>
          <w:b w:val="1"/>
          <w:sz w:val="28"/>
          <w:szCs w:val="28"/>
          <w:u w:val="single"/>
        </w:rPr>
        <w:t xml:space="preserve">Основні показники Зведеного та Державного бюджету України </w:t>
      </w:r>
    </w:p>
    <w:p>
      <w:pPr>
        <w:spacing w:after="240" w:beforeAutospacing="0" w:afterAutospacing="0"/>
        <w:jc w:val="center"/>
        <w:rPr>
          <w:b w:val="1"/>
          <w:sz w:val="28"/>
          <w:szCs w:val="28"/>
          <w:u w:val="single"/>
        </w:rPr>
      </w:pPr>
      <w:r>
        <w:rPr>
          <w:b w:val="1"/>
          <w:sz w:val="28"/>
          <w:szCs w:val="28"/>
          <w:u w:val="single"/>
        </w:rPr>
        <w:t>за січень – квітень 2024-2025 років</w:t>
      </w:r>
    </w:p>
    <w:p>
      <w:pPr>
        <w:pStyle w:val="P9"/>
        <w:spacing w:after="120" w:beforeAutospacing="0" w:afterAutospacing="0"/>
        <w:ind w:firstLine="0"/>
        <w:jc w:val="left"/>
        <w:outlineLvl w:val="0"/>
        <w:rPr>
          <w:b w:val="1"/>
          <w:sz w:val="32"/>
          <w:szCs w:val="32"/>
          <w:u w:val="single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6119495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9"/>
        <w:spacing w:before="240" w:after="120" w:beforeAutospacing="0" w:afterAutospacing="0"/>
        <w:ind w:firstLine="567"/>
        <w:jc w:val="left"/>
        <w:outlineLvl w:val="0"/>
        <w:rPr>
          <w:b w:val="1"/>
          <w:sz w:val="32"/>
          <w:szCs w:val="32"/>
          <w:u w:val="single"/>
        </w:rPr>
      </w:pPr>
      <w:r>
        <w:rPr>
          <w:b w:val="1"/>
          <w:sz w:val="32"/>
          <w:szCs w:val="32"/>
          <w:u w:val="single"/>
        </w:rPr>
        <w:t>ДОХОДИ</w:t>
      </w:r>
    </w:p>
    <w:p>
      <w:pPr>
        <w:spacing w:after="120" w:beforeAutospacing="0" w:afterAutospacing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Загальна сума </w:t>
      </w:r>
      <w:r>
        <w:rPr>
          <w:b w:val="1"/>
          <w:sz w:val="28"/>
          <w:szCs w:val="26"/>
        </w:rPr>
        <w:t xml:space="preserve">доходів Зведеного бюджету України </w:t>
      </w:r>
      <w:r>
        <w:rPr>
          <w:sz w:val="28"/>
          <w:szCs w:val="26"/>
        </w:rPr>
        <w:t>за січень – квітень 2025 року</w:t>
      </w:r>
      <w:r>
        <w:rPr>
          <w:i w:val="1"/>
          <w:bCs w:val="1"/>
          <w:sz w:val="28"/>
          <w:szCs w:val="26"/>
        </w:rPr>
        <w:t xml:space="preserve"> </w:t>
      </w:r>
      <w:r>
        <w:rPr>
          <w:sz w:val="28"/>
          <w:szCs w:val="26"/>
        </w:rPr>
        <w:t xml:space="preserve">становила </w:t>
      </w:r>
      <w:r>
        <w:rPr>
          <w:b w:val="1"/>
          <w:sz w:val="28"/>
          <w:szCs w:val="26"/>
        </w:rPr>
        <w:t xml:space="preserve">1 424,1 </w:t>
      </w:r>
      <w:r>
        <w:rPr>
          <w:sz w:val="28"/>
          <w:szCs w:val="26"/>
        </w:rPr>
        <w:t xml:space="preserve">млрд грн, що на </w:t>
      </w:r>
      <w:r>
        <w:rPr>
          <w:b w:val="1"/>
          <w:sz w:val="28"/>
          <w:szCs w:val="26"/>
        </w:rPr>
        <w:t>437,1 </w:t>
      </w:r>
      <w:r>
        <w:rPr>
          <w:sz w:val="28"/>
          <w:szCs w:val="26"/>
        </w:rPr>
        <w:t xml:space="preserve">млрд грн, або на </w:t>
      </w:r>
      <w:r>
        <w:rPr>
          <w:b w:val="1"/>
          <w:sz w:val="28"/>
          <w:szCs w:val="26"/>
        </w:rPr>
        <w:t>44,3 </w:t>
      </w:r>
      <w:r>
        <w:rPr>
          <w:sz w:val="28"/>
          <w:szCs w:val="26"/>
        </w:rPr>
        <w:t xml:space="preserve">відсотка більше ніж за аналогічний період 2024 року. </w:t>
      </w:r>
    </w:p>
    <w:p>
      <w:pPr>
        <w:spacing w:after="120" w:beforeAutospacing="0" w:afterAutospacing="0"/>
        <w:ind w:firstLine="567"/>
        <w:jc w:val="both"/>
        <w:rPr>
          <w:sz w:val="28"/>
          <w:szCs w:val="26"/>
        </w:rPr>
      </w:pPr>
      <w:r>
        <w:rPr>
          <w:b w:val="1"/>
          <w:sz w:val="28"/>
          <w:szCs w:val="26"/>
        </w:rPr>
        <w:t>Питома вага</w:t>
      </w:r>
      <w:r>
        <w:rPr>
          <w:sz w:val="28"/>
          <w:szCs w:val="26"/>
        </w:rPr>
        <w:t xml:space="preserve"> </w:t>
      </w:r>
      <w:r>
        <w:rPr>
          <w:b w:val="1"/>
          <w:sz w:val="28"/>
          <w:szCs w:val="26"/>
        </w:rPr>
        <w:t>податкових надходжень</w:t>
      </w:r>
      <w:r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 w:val="1"/>
          <w:sz w:val="28"/>
          <w:szCs w:val="26"/>
        </w:rPr>
        <w:t>56,1 </w:t>
      </w:r>
      <w:r>
        <w:rPr>
          <w:sz w:val="28"/>
          <w:szCs w:val="26"/>
        </w:rPr>
        <w:t xml:space="preserve">відсотка, </w:t>
      </w:r>
      <w:r>
        <w:rPr>
          <w:b w:val="1"/>
          <w:sz w:val="28"/>
          <w:szCs w:val="26"/>
        </w:rPr>
        <w:t>неподаткових надходжень </w:t>
      </w:r>
      <w:r>
        <w:rPr>
          <w:sz w:val="28"/>
          <w:szCs w:val="26"/>
        </w:rPr>
        <w:t xml:space="preserve">– </w:t>
      </w:r>
      <w:r>
        <w:rPr>
          <w:b w:val="1"/>
          <w:sz w:val="28"/>
          <w:szCs w:val="26"/>
        </w:rPr>
        <w:t>31,9 </w:t>
      </w:r>
      <w:r>
        <w:rPr>
          <w:sz w:val="28"/>
          <w:szCs w:val="26"/>
        </w:rPr>
        <w:t xml:space="preserve">відсотка, </w:t>
      </w:r>
      <w:r>
        <w:rPr>
          <w:b w:val="1"/>
          <w:bCs w:val="1"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>
        <w:rPr>
          <w:sz w:val="28"/>
          <w:szCs w:val="26"/>
        </w:rPr>
        <w:t xml:space="preserve"> – </w:t>
      </w:r>
      <w:r>
        <w:rPr>
          <w:b w:val="1"/>
          <w:sz w:val="28"/>
          <w:szCs w:val="26"/>
        </w:rPr>
        <w:t xml:space="preserve">11,9 </w:t>
      </w:r>
      <w:r>
        <w:rPr>
          <w:sz w:val="28"/>
          <w:szCs w:val="26"/>
        </w:rPr>
        <w:t>відсотка.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власні надходження бюджетних установ – </w:t>
      </w:r>
      <w:r>
        <w:rPr>
          <w:b w:val="1"/>
          <w:sz w:val="28"/>
          <w:szCs w:val="26"/>
        </w:rPr>
        <w:t>24,6</w:t>
      </w:r>
      <w:r>
        <w:rPr>
          <w:sz w:val="28"/>
          <w:szCs w:val="26"/>
        </w:rPr>
        <w:t xml:space="preserve"> відсотка;</w:t>
      </w:r>
    </w:p>
    <w:p>
      <w:pPr>
        <w:pStyle w:val="P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– </w:t>
      </w:r>
      <w:r>
        <w:rPr>
          <w:b w:val="1"/>
          <w:bCs w:val="1"/>
          <w:sz w:val="28"/>
          <w:szCs w:val="28"/>
        </w:rPr>
        <w:t>19,1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податок та збір на доходи фізичних осіб</w:t>
      </w:r>
      <w:r>
        <w:rPr>
          <w:b w:val="1"/>
          <w:sz w:val="28"/>
          <w:szCs w:val="28"/>
        </w:rPr>
        <w:t xml:space="preserve"> – 16,4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податок на прибуток підприємств – </w:t>
      </w:r>
      <w:r>
        <w:rPr>
          <w:b w:val="1"/>
          <w:sz w:val="28"/>
          <w:szCs w:val="28"/>
        </w:rPr>
        <w:t xml:space="preserve">8,2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акцизний податок </w:t>
      </w:r>
      <w:r>
        <w:rPr>
          <w:sz w:val="28"/>
          <w:szCs w:val="28"/>
        </w:rPr>
        <w:t>–</w:t>
      </w:r>
      <w:r>
        <w:rPr>
          <w:b w:val="1"/>
          <w:bCs w:val="1"/>
          <w:sz w:val="28"/>
          <w:szCs w:val="28"/>
        </w:rPr>
        <w:t xml:space="preserve"> 6,7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прибуток НБУ – </w:t>
      </w:r>
      <w:r>
        <w:rPr>
          <w:b w:val="1"/>
          <w:sz w:val="28"/>
          <w:szCs w:val="28"/>
        </w:rPr>
        <w:t>4,5</w:t>
      </w:r>
      <w:r>
        <w:rPr>
          <w:sz w:val="28"/>
          <w:szCs w:val="28"/>
        </w:rPr>
        <w:t xml:space="preserve"> 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6"/>
        </w:rPr>
        <w:t xml:space="preserve">місцеві податки та збори – </w:t>
      </w:r>
      <w:r>
        <w:rPr>
          <w:b w:val="1"/>
          <w:sz w:val="28"/>
          <w:szCs w:val="26"/>
        </w:rPr>
        <w:t xml:space="preserve">3,3 </w:t>
      </w:r>
      <w:r>
        <w:rPr>
          <w:sz w:val="28"/>
          <w:szCs w:val="28"/>
        </w:rPr>
        <w:t>відсотка.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За січень – квітень 2025 року </w:t>
      </w:r>
      <w:r>
        <w:rPr>
          <w:b w:val="1"/>
          <w:sz w:val="28"/>
          <w:szCs w:val="26"/>
        </w:rPr>
        <w:t>Державний бюджет України</w:t>
      </w:r>
      <w:r>
        <w:rPr>
          <w:sz w:val="28"/>
          <w:szCs w:val="26"/>
        </w:rPr>
        <w:t xml:space="preserve"> отримав </w:t>
      </w:r>
      <w:r>
        <w:rPr>
          <w:b w:val="1"/>
          <w:sz w:val="28"/>
          <w:szCs w:val="26"/>
        </w:rPr>
        <w:t>1 266,5 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420,7 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49,8 </w:t>
      </w:r>
      <w:r>
        <w:rPr>
          <w:sz w:val="28"/>
          <w:szCs w:val="28"/>
        </w:rPr>
        <w:t>відсотка більше ніж за аналогічний період 2024 року, що обумовлене серед іншого: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sz w:val="28"/>
          <w:szCs w:val="28"/>
        </w:rPr>
        <w:t>власними надходженнями</w:t>
      </w:r>
      <w:r>
        <w:rPr>
          <w:i w:val="1"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b w:val="1"/>
          <w:sz w:val="28"/>
          <w:szCs w:val="28"/>
        </w:rPr>
        <w:t>+172,9</w:t>
      </w:r>
      <w:r>
        <w:rPr>
          <w:sz w:val="28"/>
          <w:szCs w:val="28"/>
        </w:rPr>
        <w:t>» млрд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від ЄС, урядів іноземних держав, міжнародних організацій, донорських установ – «</w:t>
      </w:r>
      <w:r>
        <w:rPr>
          <w:rStyle w:val="C13"/>
          <w:b w:val="1"/>
          <w:sz w:val="28"/>
          <w:szCs w:val="28"/>
        </w:rPr>
        <w:t>+128,2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податком та збором на доходи фізичних осіб – «+</w:t>
      </w:r>
      <w:r>
        <w:rPr>
          <w:rStyle w:val="C13"/>
          <w:b w:val="1"/>
          <w:sz w:val="28"/>
          <w:szCs w:val="28"/>
          <w:lang w:val="ru-RU"/>
        </w:rPr>
        <w:t>53,6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податок на додану вартість – «</w:t>
      </w:r>
      <w:r>
        <w:rPr>
          <w:rStyle w:val="C13"/>
          <w:b w:val="1"/>
          <w:sz w:val="28"/>
          <w:szCs w:val="28"/>
        </w:rPr>
        <w:t>+31,7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акцизним податком – «</w:t>
      </w:r>
      <w:r>
        <w:rPr>
          <w:rStyle w:val="C13"/>
          <w:b w:val="1"/>
          <w:sz w:val="28"/>
          <w:szCs w:val="28"/>
        </w:rPr>
        <w:t>+27,6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sz w:val="28"/>
          <w:szCs w:val="28"/>
        </w:rPr>
        <w:t>коштами, що перераховуються НБУ відповідно до Закону України «Про Національний банк України»</w:t>
      </w:r>
      <w:r>
        <w:rPr>
          <w:i w:val="1"/>
          <w:sz w:val="28"/>
          <w:szCs w:val="28"/>
        </w:rPr>
        <w:t xml:space="preserve"> </w:t>
      </w:r>
      <w:r>
        <w:rPr>
          <w:rStyle w:val="C13"/>
          <w:sz w:val="28"/>
          <w:szCs w:val="28"/>
        </w:rPr>
        <w:t>– «</w:t>
      </w:r>
      <w:r>
        <w:rPr>
          <w:rStyle w:val="C13"/>
          <w:b w:val="1"/>
          <w:sz w:val="28"/>
          <w:szCs w:val="28"/>
        </w:rPr>
        <w:t>+25,3</w:t>
      </w:r>
      <w:r>
        <w:rPr>
          <w:rStyle w:val="C13"/>
          <w:sz w:val="28"/>
          <w:szCs w:val="28"/>
        </w:rPr>
        <w:t>» млрд 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надходження, отримані у зв'язку з виконанням Закону України «Про санкції» – </w:t>
      </w:r>
      <w:r>
        <w:rPr>
          <w:sz w:val="28"/>
          <w:szCs w:val="28"/>
        </w:rPr>
        <w:t>«</w:t>
      </w:r>
      <w:r>
        <w:rPr>
          <w:b w:val="1"/>
          <w:sz w:val="28"/>
          <w:szCs w:val="28"/>
        </w:rPr>
        <w:t>+5,6</w:t>
      </w:r>
      <w:r>
        <w:rPr>
          <w:sz w:val="28"/>
          <w:szCs w:val="28"/>
        </w:rPr>
        <w:t xml:space="preserve">» млрд </w:t>
      </w:r>
      <w:r>
        <w:rPr>
          <w:rStyle w:val="C13"/>
          <w:sz w:val="28"/>
          <w:szCs w:val="28"/>
        </w:rPr>
        <w:t>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реверсною дотацією – «</w:t>
      </w:r>
      <w:r>
        <w:rPr>
          <w:rStyle w:val="C13"/>
          <w:b w:val="1"/>
          <w:sz w:val="28"/>
          <w:szCs w:val="28"/>
        </w:rPr>
        <w:t>+5,1</w:t>
      </w:r>
      <w:r>
        <w:rPr>
          <w:rStyle w:val="C13"/>
          <w:sz w:val="28"/>
          <w:szCs w:val="28"/>
        </w:rPr>
        <w:t>» млрд</w:t>
      </w:r>
      <w:r>
        <w:rPr>
          <w:sz w:val="28"/>
          <w:szCs w:val="28"/>
        </w:rPr>
        <w:t xml:space="preserve">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податком на прибуток підприємств </w:t>
      </w:r>
      <w:r>
        <w:rPr>
          <w:rStyle w:val="C13"/>
          <w:sz w:val="28"/>
          <w:szCs w:val="28"/>
        </w:rPr>
        <w:t>– «</w:t>
      </w:r>
      <w:r>
        <w:rPr>
          <w:rStyle w:val="C13"/>
          <w:b w:val="1"/>
          <w:sz w:val="28"/>
          <w:szCs w:val="28"/>
        </w:rPr>
        <w:t>+5,1</w:t>
      </w:r>
      <w:r>
        <w:rPr>
          <w:rStyle w:val="C13"/>
          <w:sz w:val="28"/>
          <w:szCs w:val="28"/>
        </w:rPr>
        <w:t xml:space="preserve">» млрд </w:t>
      </w:r>
      <w:r>
        <w:rPr>
          <w:sz w:val="28"/>
          <w:szCs w:val="28"/>
        </w:rPr>
        <w:t>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дивіденди (дохід), нараховані на акції (частки) господарських товариств, у статутних капіталах яких є державна власність – «</w:t>
      </w:r>
      <w:r>
        <w:rPr>
          <w:rStyle w:val="C13"/>
          <w:b w:val="1"/>
          <w:sz w:val="28"/>
          <w:szCs w:val="28"/>
        </w:rPr>
        <w:t>-32,3</w:t>
      </w:r>
      <w:r>
        <w:rPr>
          <w:rStyle w:val="C13"/>
          <w:sz w:val="28"/>
          <w:szCs w:val="28"/>
        </w:rPr>
        <w:t>» млрд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коштами, що перераховуються Фондом соціального страхування на випадок безробіття </w:t>
      </w:r>
      <w:r>
        <w:rPr>
          <w:i w:val="1"/>
          <w:sz w:val="28"/>
          <w:szCs w:val="28"/>
        </w:rPr>
        <w:t>– «</w:t>
      </w:r>
      <w:r>
        <w:rPr>
          <w:b w:val="1"/>
          <w:sz w:val="28"/>
          <w:szCs w:val="28"/>
        </w:rPr>
        <w:t>-5</w:t>
      </w:r>
      <w:r>
        <w:rPr>
          <w:i w:val="1"/>
          <w:sz w:val="28"/>
          <w:szCs w:val="28"/>
        </w:rPr>
        <w:t>» </w:t>
      </w:r>
      <w:r>
        <w:rPr>
          <w:sz w:val="28"/>
          <w:szCs w:val="28"/>
        </w:rPr>
        <w:t>млрд грн;</w:t>
      </w:r>
    </w:p>
    <w:p>
      <w:pPr>
        <w:pStyle w:val="P12"/>
        <w:numPr>
          <w:ilvl w:val="1"/>
          <w:numId w:val="5"/>
        </w:numPr>
        <w:ind w:hanging="426" w:left="993"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рентною платою за користування надрами загальнодержавного значення – «</w:t>
      </w:r>
      <w:r>
        <w:rPr>
          <w:rStyle w:val="C13"/>
          <w:b w:val="1"/>
          <w:sz w:val="28"/>
          <w:szCs w:val="28"/>
        </w:rPr>
        <w:t>-</w:t>
      </w:r>
      <w:r>
        <w:rPr>
          <w:rStyle w:val="C13"/>
          <w:b w:val="1"/>
          <w:sz w:val="28"/>
          <w:szCs w:val="28"/>
          <w:lang w:val="ru-RU"/>
        </w:rPr>
        <w:t>3,3</w:t>
      </w:r>
      <w:r>
        <w:rPr>
          <w:rStyle w:val="C13"/>
          <w:sz w:val="28"/>
          <w:szCs w:val="28"/>
        </w:rPr>
        <w:t>» млрд гривень.</w:t>
      </w:r>
    </w:p>
    <w:p>
      <w:pPr>
        <w:ind w:left="1559"/>
        <w:jc w:val="both"/>
        <w:rPr>
          <w:i w:val="1"/>
          <w:sz w:val="10"/>
          <w:szCs w:val="10"/>
          <w:lang w:val="ru-RU"/>
        </w:rPr>
      </w:pPr>
    </w:p>
    <w:p>
      <w:pPr>
        <w:ind w:firstLine="567"/>
        <w:jc w:val="both"/>
      </w:pPr>
      <w:r>
        <w:rPr>
          <w:sz w:val="28"/>
          <w:szCs w:val="28"/>
        </w:rPr>
        <w:t xml:space="preserve">Найбільшу </w:t>
      </w:r>
      <w:r>
        <w:rPr>
          <w:b w:val="1"/>
          <w:sz w:val="28"/>
          <w:szCs w:val="28"/>
        </w:rPr>
        <w:t>питому вагу</w:t>
      </w:r>
      <w:r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>
        <w:rPr>
          <w:b w:val="1"/>
          <w:sz w:val="28"/>
          <w:szCs w:val="28"/>
        </w:rPr>
        <w:t>податкові надходження</w:t>
      </w:r>
      <w:r>
        <w:rPr>
          <w:sz w:val="28"/>
          <w:szCs w:val="28"/>
        </w:rPr>
        <w:t xml:space="preserve"> </w:t>
      </w:r>
      <w:r>
        <w:rPr>
          <w:b w:val="1"/>
          <w:sz w:val="28"/>
          <w:szCs w:val="28"/>
        </w:rPr>
        <w:t xml:space="preserve">50,5 </w:t>
      </w:r>
      <w:r>
        <w:rPr>
          <w:sz w:val="28"/>
          <w:szCs w:val="28"/>
        </w:rPr>
        <w:t xml:space="preserve">відсотка, з них: 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податок на додану вартість – </w:t>
      </w:r>
      <w:r>
        <w:rPr>
          <w:b w:val="1"/>
          <w:sz w:val="28"/>
          <w:szCs w:val="28"/>
        </w:rPr>
        <w:t>21,5</w:t>
      </w:r>
      <w:r>
        <w:rPr>
          <w:i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  <w:r>
        <w:rPr>
          <w:i w:val="1"/>
          <w:sz w:val="28"/>
          <w:szCs w:val="28"/>
        </w:rPr>
        <w:t xml:space="preserve"> 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податок та збір на доходи фізичних осіб – </w:t>
      </w:r>
      <w:r>
        <w:rPr>
          <w:b w:val="1"/>
          <w:sz w:val="28"/>
          <w:szCs w:val="28"/>
        </w:rPr>
        <w:t>11,6</w:t>
      </w:r>
      <w:r>
        <w:rPr>
          <w:i w:val="1"/>
          <w:sz w:val="28"/>
          <w:szCs w:val="28"/>
        </w:rPr>
        <w:t xml:space="preserve">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>податок на прибуток підприємств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8,3</w:t>
      </w:r>
      <w:r>
        <w:rPr>
          <w:sz w:val="28"/>
          <w:szCs w:val="28"/>
        </w:rPr>
        <w:t xml:space="preserve"> відсотка;</w:t>
      </w:r>
      <w:r>
        <w:rPr>
          <w:i w:val="1"/>
          <w:sz w:val="28"/>
          <w:szCs w:val="28"/>
        </w:rPr>
        <w:t xml:space="preserve"> </w:t>
      </w:r>
    </w:p>
    <w:p>
      <w:pPr>
        <w:pStyle w:val="P1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акцизний податок – </w:t>
      </w:r>
      <w:r>
        <w:rPr>
          <w:b w:val="1"/>
          <w:sz w:val="28"/>
          <w:szCs w:val="28"/>
        </w:rPr>
        <w:t>6,6</w:t>
      </w:r>
      <w:r>
        <w:rPr>
          <w:sz w:val="28"/>
          <w:szCs w:val="28"/>
        </w:rPr>
        <w:t xml:space="preserve"> відсотка.</w:t>
      </w:r>
    </w:p>
    <w:p>
      <w:pPr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Неподаткові надходження</w:t>
      </w:r>
      <w:r>
        <w:rPr>
          <w:sz w:val="28"/>
          <w:szCs w:val="28"/>
        </w:rPr>
        <w:t xml:space="preserve"> становили </w:t>
      </w:r>
      <w:r>
        <w:rPr>
          <w:b w:val="1"/>
          <w:sz w:val="28"/>
          <w:szCs w:val="28"/>
        </w:rPr>
        <w:t>34,8 </w:t>
      </w:r>
      <w:r>
        <w:rPr>
          <w:sz w:val="28"/>
          <w:szCs w:val="28"/>
        </w:rPr>
        <w:t>відсотка від загальної суми доходів державного бюджету, серед яких: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власні надходження бюджетних установ – </w:t>
      </w:r>
      <w:r>
        <w:rPr>
          <w:b w:val="1"/>
          <w:i w:val="1"/>
          <w:sz w:val="28"/>
          <w:szCs w:val="28"/>
        </w:rPr>
        <w:t>26,9</w:t>
      </w:r>
      <w:r>
        <w:rPr>
          <w:i w:val="1"/>
          <w:sz w:val="28"/>
          <w:szCs w:val="28"/>
        </w:rPr>
        <w:t> відсотка;</w:t>
      </w:r>
    </w:p>
    <w:p>
      <w:pPr>
        <w:pStyle w:val="P12"/>
        <w:numPr>
          <w:ilvl w:val="0"/>
          <w:numId w:val="1"/>
        </w:numPr>
        <w:jc w:val="both"/>
        <w:rPr>
          <w:i w:val="1"/>
          <w:sz w:val="28"/>
          <w:szCs w:val="28"/>
        </w:rPr>
      </w:pPr>
      <w:r>
        <w:rPr>
          <w:i w:val="1"/>
          <w:sz w:val="28"/>
          <w:szCs w:val="28"/>
        </w:rPr>
        <w:t xml:space="preserve">кошти, що перераховуються Національним банком України відповідно до Закону України «Про Національний банк України» – </w:t>
      </w:r>
      <w:r>
        <w:rPr>
          <w:b w:val="1"/>
          <w:i w:val="1"/>
          <w:sz w:val="28"/>
          <w:szCs w:val="28"/>
        </w:rPr>
        <w:t>5</w:t>
      </w:r>
      <w:r>
        <w:rPr>
          <w:i w:val="1"/>
          <w:sz w:val="28"/>
          <w:szCs w:val="28"/>
        </w:rPr>
        <w:t> відсотків.</w:t>
      </w:r>
    </w:p>
    <w:p>
      <w:pPr>
        <w:ind w:firstLine="567"/>
        <w:jc w:val="both"/>
        <w:rPr>
          <w:i w:val="1"/>
          <w:sz w:val="28"/>
          <w:szCs w:val="28"/>
        </w:rPr>
      </w:pPr>
      <w:r>
        <w:rPr>
          <w:rStyle w:val="C13"/>
          <w:b w:val="1"/>
          <w:bCs w:val="1"/>
          <w:sz w:val="28"/>
          <w:szCs w:val="28"/>
        </w:rPr>
        <w:t>Офіційні трансферти</w:t>
      </w:r>
      <w:r>
        <w:rPr>
          <w:rStyle w:val="C13"/>
          <w:b w:val="1"/>
          <w:iCs w:val="1"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>
        <w:rPr>
          <w:rStyle w:val="C13"/>
          <w:i w:val="1"/>
          <w:iCs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становили </w:t>
      </w:r>
      <w:r>
        <w:rPr>
          <w:b w:val="1"/>
          <w:sz w:val="28"/>
          <w:szCs w:val="28"/>
          <w:lang w:val="ru-RU"/>
        </w:rPr>
        <w:t>13,3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>відсотка від загальної суми доходів державного бюджету.</w:t>
      </w:r>
    </w:p>
    <w:p>
      <w:pPr>
        <w:ind w:firstLine="567"/>
        <w:jc w:val="both"/>
        <w:rPr>
          <w:i w:val="1"/>
          <w:sz w:val="28"/>
          <w:szCs w:val="28"/>
        </w:rPr>
      </w:pPr>
      <w:r>
        <w:rPr>
          <w:sz w:val="28"/>
          <w:szCs w:val="28"/>
          <w:spacing w:val="-8"/>
        </w:rPr>
        <w:t>До загального фонду державного бюджету за січень – квітень 2025</w:t>
      </w:r>
      <w:r>
        <w:rPr>
          <w:sz w:val="28"/>
          <w:szCs w:val="28"/>
          <w:spacing w:val="-8"/>
          <w:lang w:val="ru-RU"/>
        </w:rPr>
        <w:t> </w:t>
      </w:r>
      <w:r>
        <w:rPr>
          <w:sz w:val="28"/>
          <w:szCs w:val="28"/>
          <w:spacing w:val="-8"/>
        </w:rPr>
        <w:t xml:space="preserve">року надійшло </w:t>
      </w:r>
      <w:r>
        <w:rPr>
          <w:b w:val="1"/>
          <w:sz w:val="28"/>
          <w:szCs w:val="28"/>
        </w:rPr>
        <w:t>856,3 </w:t>
      </w:r>
      <w:r>
        <w:rPr>
          <w:sz w:val="28"/>
          <w:szCs w:val="28"/>
          <w:spacing w:val="-8"/>
        </w:rPr>
        <w:t xml:space="preserve">млрд грн, що на </w:t>
      </w:r>
      <w:r>
        <w:rPr>
          <w:b w:val="1"/>
          <w:bCs w:val="1"/>
          <w:sz w:val="28"/>
          <w:szCs w:val="28"/>
          <w:spacing w:val="-8"/>
        </w:rPr>
        <w:t>232,7 </w:t>
      </w:r>
      <w:r>
        <w:rPr>
          <w:sz w:val="28"/>
          <w:szCs w:val="28"/>
          <w:spacing w:val="-8"/>
        </w:rPr>
        <w:t xml:space="preserve">млрд грн, або на </w:t>
      </w:r>
      <w:r>
        <w:rPr>
          <w:b w:val="1"/>
          <w:sz w:val="28"/>
          <w:szCs w:val="28"/>
          <w:spacing w:val="-8"/>
        </w:rPr>
        <w:t xml:space="preserve">37,3 </w:t>
      </w:r>
      <w:r>
        <w:rPr>
          <w:sz w:val="28"/>
          <w:szCs w:val="28"/>
          <w:spacing w:val="-8"/>
        </w:rPr>
        <w:t xml:space="preserve">відсотка більше, ніж за аналогічний період 2024 року. </w:t>
      </w:r>
    </w:p>
    <w:p>
      <w:pPr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 xml:space="preserve">Найбільші надходження до загального фонду </w:t>
      </w:r>
      <w:r>
        <w:rPr>
          <w:sz w:val="28"/>
          <w:szCs w:val="28"/>
        </w:rPr>
        <w:t>державного бюджету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у січні – квітні 2025 року становили:</w:t>
      </w:r>
    </w:p>
    <w:p>
      <w:pPr>
        <w:pStyle w:val="P12"/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 w:val="1"/>
          <w:sz w:val="28"/>
          <w:szCs w:val="28"/>
        </w:rPr>
        <w:t>112,7 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20,5 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22,3</w:t>
      </w:r>
      <w:r>
        <w:rPr>
          <w:sz w:val="28"/>
          <w:szCs w:val="28"/>
        </w:rPr>
        <w:t xml:space="preserve"> 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 за аналогічний період 2024 року; </w:t>
      </w:r>
    </w:p>
    <w:p>
      <w:pPr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i w:val="1"/>
          <w:sz w:val="28"/>
          <w:szCs w:val="28"/>
        </w:rPr>
        <w:t xml:space="preserve">ПДВ із ввезених товарів – </w:t>
      </w:r>
      <w:r>
        <w:rPr>
          <w:b w:val="1"/>
          <w:sz w:val="28"/>
          <w:szCs w:val="28"/>
          <w:lang w:val="ru-RU"/>
        </w:rPr>
        <w:t>159,5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  <w:lang w:val="ru-RU"/>
        </w:rPr>
        <w:t>11,2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7,5</w:t>
      </w:r>
      <w:r>
        <w:rPr>
          <w:sz w:val="28"/>
          <w:szCs w:val="28"/>
        </w:rPr>
        <w:t xml:space="preserve"> 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sz w:val="28"/>
          <w:szCs w:val="28"/>
        </w:rPr>
        <w:t xml:space="preserve"> ніж за аналогічний період 2024 року.</w:t>
      </w:r>
    </w:p>
    <w:p>
      <w:pPr>
        <w:tabs>
          <w:tab w:val="left" w:pos="851" w:leader="none"/>
        </w:tabs>
        <w:ind w:firstLine="567"/>
        <w:jc w:val="both"/>
        <w:rPr>
          <w:b w:val="1"/>
          <w:i w:val="1"/>
          <w:bCs w:val="1"/>
          <w:iCs w:val="1"/>
          <w:sz w:val="28"/>
          <w:szCs w:val="28"/>
        </w:rPr>
      </w:pPr>
      <w:r>
        <w:rPr>
          <w:rStyle w:val="C13"/>
          <w:i w:val="1"/>
          <w:sz w:val="28"/>
          <w:szCs w:val="28"/>
        </w:rPr>
        <w:t>Довідково: за січень – квітень 2025 року</w:t>
      </w:r>
      <w:r>
        <w:rPr>
          <w:b w:val="1"/>
          <w:i w:val="1"/>
          <w:sz w:val="28"/>
          <w:szCs w:val="28"/>
        </w:rPr>
        <w:t xml:space="preserve"> відшкодовано ПДВ </w:t>
      </w:r>
      <w:r>
        <w:rPr>
          <w:rStyle w:val="C13"/>
          <w:i w:val="1"/>
          <w:sz w:val="28"/>
          <w:szCs w:val="28"/>
        </w:rPr>
        <w:t xml:space="preserve">у сумі </w:t>
      </w:r>
      <w:r>
        <w:rPr>
          <w:b w:val="1"/>
          <w:i w:val="1"/>
          <w:bCs w:val="1"/>
          <w:iCs w:val="1"/>
          <w:sz w:val="28"/>
          <w:szCs w:val="28"/>
        </w:rPr>
        <w:t>55,5 </w:t>
      </w:r>
      <w:r>
        <w:rPr>
          <w:rStyle w:val="C13"/>
          <w:i w:val="1"/>
          <w:sz w:val="28"/>
          <w:szCs w:val="28"/>
        </w:rPr>
        <w:t xml:space="preserve">млрд грн, що на </w:t>
      </w:r>
      <w:r>
        <w:rPr>
          <w:rStyle w:val="C13"/>
          <w:b w:val="1"/>
          <w:i w:val="1"/>
          <w:sz w:val="28"/>
          <w:szCs w:val="28"/>
        </w:rPr>
        <w:t>10,8</w:t>
      </w:r>
      <w:r>
        <w:rPr>
          <w:rStyle w:val="C13"/>
          <w:i w:val="1"/>
          <w:sz w:val="28"/>
          <w:szCs w:val="28"/>
        </w:rPr>
        <w:t xml:space="preserve"> млрд грн, або на </w:t>
      </w:r>
      <w:r>
        <w:rPr>
          <w:rStyle w:val="C13"/>
          <w:b w:val="1"/>
          <w:i w:val="1"/>
          <w:sz w:val="28"/>
          <w:szCs w:val="28"/>
          <w:lang w:val="ru-RU"/>
        </w:rPr>
        <w:t>24,2</w:t>
      </w:r>
      <w:r>
        <w:rPr>
          <w:rStyle w:val="C13"/>
          <w:i w:val="1"/>
          <w:sz w:val="28"/>
          <w:szCs w:val="28"/>
        </w:rPr>
        <w:t xml:space="preserve"> відсотка, </w:t>
      </w:r>
      <w:r>
        <w:rPr>
          <w:rStyle w:val="C13"/>
          <w:i w:val="1"/>
          <w:sz w:val="28"/>
          <w:szCs w:val="28"/>
          <w:u w:val="single"/>
        </w:rPr>
        <w:t>більше</w:t>
      </w:r>
      <w:r>
        <w:rPr>
          <w:rStyle w:val="C13"/>
          <w:i w:val="1"/>
          <w:sz w:val="28"/>
          <w:szCs w:val="28"/>
        </w:rPr>
        <w:t xml:space="preserve"> ніж за </w:t>
      </w:r>
      <w:r>
        <w:rPr>
          <w:i w:val="1"/>
          <w:sz w:val="28"/>
          <w:szCs w:val="28"/>
        </w:rPr>
        <w:t>аналогічний період 2024 року</w:t>
      </w:r>
      <w:r>
        <w:rPr>
          <w:rStyle w:val="C13"/>
          <w:i w:val="1"/>
          <w:sz w:val="28"/>
          <w:szCs w:val="28"/>
        </w:rPr>
        <w:t>;</w:t>
      </w:r>
    </w:p>
    <w:p>
      <w:pPr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податок на прибуток підприємств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105,1</w:t>
      </w:r>
      <w:r>
        <w:rPr>
          <w:sz w:val="28"/>
          <w:szCs w:val="28"/>
        </w:rPr>
        <w:t xml:space="preserve"> млрд грн, що на </w:t>
      </w:r>
      <w:r>
        <w:rPr>
          <w:b w:val="1"/>
          <w:sz w:val="28"/>
          <w:szCs w:val="28"/>
        </w:rPr>
        <w:t>5,1 </w:t>
      </w:r>
      <w:r>
        <w:rPr>
          <w:sz w:val="28"/>
          <w:szCs w:val="28"/>
        </w:rPr>
        <w:t>мл</w:t>
      </w:r>
      <w:r>
        <w:rPr>
          <w:sz w:val="28"/>
          <w:szCs w:val="28"/>
          <w:lang w:val="ru-RU"/>
        </w:rPr>
        <w:t>рд</w:t>
      </w:r>
      <w:r>
        <w:rPr>
          <w:sz w:val="28"/>
          <w:szCs w:val="28"/>
        </w:rPr>
        <w:t xml:space="preserve"> грн, або на </w:t>
      </w:r>
      <w:r>
        <w:rPr>
          <w:b w:val="1"/>
          <w:sz w:val="28"/>
          <w:szCs w:val="28"/>
        </w:rPr>
        <w:t>5,1 </w:t>
      </w:r>
      <w:r>
        <w:rPr>
          <w:sz w:val="28"/>
          <w:szCs w:val="28"/>
        </w:rPr>
        <w:t xml:space="preserve">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ніж за аналогічний період 2024 року;</w:t>
      </w:r>
    </w:p>
    <w:p>
      <w:pPr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податок та збір на доходи фізичних осіб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>107,2 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45,5 </w:t>
      </w:r>
      <w:r>
        <w:rPr>
          <w:sz w:val="28"/>
          <w:szCs w:val="28"/>
        </w:rPr>
        <w:t xml:space="preserve">млрд грн, або на </w:t>
      </w:r>
      <w:r>
        <w:rPr>
          <w:b w:val="1"/>
          <w:bCs w:val="1"/>
          <w:sz w:val="28"/>
          <w:szCs w:val="28"/>
        </w:rPr>
        <w:t>73,8 </w:t>
      </w:r>
      <w:r>
        <w:rPr>
          <w:sz w:val="28"/>
          <w:szCs w:val="28"/>
        </w:rPr>
        <w:t xml:space="preserve">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з аналогічним періодом 2024 року;</w:t>
      </w:r>
      <w:r>
        <w:rPr>
          <w:i w:val="1"/>
          <w:sz w:val="28"/>
          <w:szCs w:val="28"/>
        </w:rPr>
        <w:t xml:space="preserve"> </w:t>
      </w:r>
    </w:p>
    <w:p>
      <w:pPr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акцизний податок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84,2</w:t>
      </w:r>
      <w:r>
        <w:rPr>
          <w:b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млрд грн, що на </w:t>
      </w:r>
      <w:r>
        <w:rPr>
          <w:b w:val="1"/>
          <w:sz w:val="28"/>
          <w:szCs w:val="28"/>
        </w:rPr>
        <w:t xml:space="preserve">27,6 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48,9 </w:t>
      </w:r>
      <w:r>
        <w:rPr>
          <w:sz w:val="28"/>
          <w:szCs w:val="28"/>
        </w:rPr>
        <w:t xml:space="preserve">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з аналогічним періодом 2024 року;</w:t>
      </w:r>
    </w:p>
    <w:p>
      <w:pPr>
        <w:numPr>
          <w:ilvl w:val="0"/>
          <w:numId w:val="48"/>
        </w:numPr>
        <w:ind w:firstLine="567" w:left="0"/>
        <w:jc w:val="both"/>
        <w:rPr>
          <w:sz w:val="28"/>
          <w:szCs w:val="28"/>
        </w:rPr>
      </w:pPr>
      <w:r>
        <w:rPr>
          <w:rStyle w:val="C13"/>
          <w:i w:val="1"/>
          <w:sz w:val="28"/>
          <w:szCs w:val="28"/>
        </w:rPr>
        <w:t>кошти, що перераховуються НБУ відповідно до Закону України «Про Національний банк України»,</w:t>
      </w:r>
      <w:r>
        <w:rPr>
          <w:rStyle w:val="C1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>63,9 </w:t>
      </w:r>
      <w:r>
        <w:rPr>
          <w:sz w:val="28"/>
          <w:szCs w:val="28"/>
        </w:rPr>
        <w:t xml:space="preserve">млрд грн, що на </w:t>
      </w:r>
      <w:r>
        <w:rPr>
          <w:b w:val="1"/>
          <w:sz w:val="28"/>
          <w:szCs w:val="28"/>
        </w:rPr>
        <w:t>25,3 </w:t>
      </w:r>
      <w:r>
        <w:rPr>
          <w:sz w:val="28"/>
          <w:szCs w:val="28"/>
        </w:rPr>
        <w:t xml:space="preserve">млрд грн, або на </w:t>
      </w:r>
      <w:r>
        <w:rPr>
          <w:b w:val="1"/>
          <w:bCs w:val="1"/>
          <w:sz w:val="28"/>
          <w:szCs w:val="28"/>
        </w:rPr>
        <w:t>65,4</w:t>
      </w:r>
      <w:r>
        <w:rPr>
          <w:sz w:val="28"/>
          <w:szCs w:val="28"/>
        </w:rPr>
        <w:t xml:space="preserve"> 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sz w:val="28"/>
          <w:szCs w:val="28"/>
        </w:rPr>
        <w:t xml:space="preserve"> порівняно з аналогічним періодом 2024 року;</w:t>
      </w:r>
    </w:p>
    <w:p>
      <w:pPr>
        <w:numPr>
          <w:ilvl w:val="0"/>
          <w:numId w:val="48"/>
        </w:numPr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ввізне мито</w:t>
      </w:r>
      <w:r>
        <w:rPr>
          <w:sz w:val="28"/>
          <w:szCs w:val="28"/>
        </w:rPr>
        <w:t xml:space="preserve"> – </w:t>
      </w:r>
      <w:r>
        <w:rPr>
          <w:b w:val="1"/>
          <w:sz w:val="28"/>
          <w:szCs w:val="28"/>
        </w:rPr>
        <w:t>16,4 </w:t>
      </w:r>
      <w:r>
        <w:rPr>
          <w:sz w:val="28"/>
          <w:szCs w:val="28"/>
        </w:rPr>
        <w:t xml:space="preserve">млрд грн, що на </w:t>
      </w:r>
      <w:r>
        <w:rPr>
          <w:b w:val="1"/>
          <w:sz w:val="28"/>
          <w:szCs w:val="28"/>
        </w:rPr>
        <w:t xml:space="preserve">0,3 </w:t>
      </w:r>
      <w:r>
        <w:rPr>
          <w:sz w:val="28"/>
          <w:szCs w:val="28"/>
        </w:rPr>
        <w:t>млрд грн, або на</w:t>
      </w:r>
      <w:r>
        <w:rPr>
          <w:b w:val="1"/>
          <w:sz w:val="28"/>
          <w:szCs w:val="28"/>
        </w:rPr>
        <w:t xml:space="preserve"> 1,6 </w:t>
      </w:r>
      <w:r>
        <w:rPr>
          <w:sz w:val="28"/>
          <w:szCs w:val="28"/>
        </w:rPr>
        <w:t xml:space="preserve">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ніж за аналогічний період 2024 року.</w:t>
      </w:r>
    </w:p>
    <w:p>
      <w:pPr>
        <w:shd w:val="clear" w:fill="FFFFFF"/>
        <w:ind w:left="851"/>
        <w:jc w:val="both"/>
        <w:rPr>
          <w:b w:val="1"/>
          <w:i w:val="1"/>
          <w:bCs w:val="1"/>
          <w:iCs w:val="1"/>
          <w:sz w:val="28"/>
          <w:szCs w:val="28"/>
        </w:rPr>
      </w:pPr>
    </w:p>
    <w:p>
      <w:pPr>
        <w:widowControl w:val="0"/>
        <w:shd w:val="clear" w:fill="FFFFFF"/>
        <w:ind w:firstLine="567"/>
        <w:jc w:val="both"/>
        <w:rPr>
          <w:bCs w:val="1"/>
          <w:sz w:val="28"/>
          <w:szCs w:val="28"/>
        </w:rPr>
      </w:pPr>
      <w:r>
        <w:rPr>
          <w:sz w:val="28"/>
          <w:szCs w:val="28"/>
        </w:rPr>
        <w:t>У січні – квітні 2025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року до загального фонду державного бюджету надійшло </w:t>
      </w:r>
      <w:r>
        <w:rPr>
          <w:rStyle w:val="C13"/>
          <w:b w:val="1"/>
          <w:i w:val="1"/>
          <w:iCs w:val="1"/>
          <w:sz w:val="28"/>
          <w:szCs w:val="28"/>
        </w:rPr>
        <w:t>від ЄС, урядів іноземних держав, міжнародних організацій, донорських установ</w:t>
      </w:r>
      <w:r>
        <w:rPr>
          <w:b w:val="1"/>
          <w:bCs w:val="1"/>
          <w:sz w:val="28"/>
          <w:szCs w:val="28"/>
        </w:rPr>
        <w:t xml:space="preserve"> 167 </w:t>
      </w:r>
      <w:r>
        <w:rPr>
          <w:sz w:val="28"/>
          <w:szCs w:val="28"/>
        </w:rPr>
        <w:t xml:space="preserve">млрд грн, що становить </w:t>
      </w:r>
      <w:r>
        <w:rPr>
          <w:b w:val="1"/>
          <w:bCs w:val="1"/>
          <w:sz w:val="28"/>
          <w:szCs w:val="28"/>
        </w:rPr>
        <w:t xml:space="preserve">19,5 </w:t>
      </w:r>
      <w:r>
        <w:rPr>
          <w:sz w:val="28"/>
          <w:szCs w:val="28"/>
        </w:rPr>
        <w:t xml:space="preserve">відсотка всіх доходів загального фонду державного бюджету. Проти аналогічного періоду 2024 року надходження зросли у </w:t>
      </w:r>
      <w:r>
        <w:rPr>
          <w:b w:val="1"/>
          <w:sz w:val="28"/>
          <w:szCs w:val="28"/>
        </w:rPr>
        <w:t>4,1</w:t>
      </w:r>
      <w:r>
        <w:rPr>
          <w:sz w:val="28"/>
          <w:szCs w:val="28"/>
        </w:rPr>
        <w:t xml:space="preserve"> раза, або на </w:t>
      </w:r>
      <w:r>
        <w:rPr>
          <w:b w:val="1"/>
          <w:sz w:val="28"/>
          <w:szCs w:val="28"/>
        </w:rPr>
        <w:t xml:space="preserve">126,8 </w:t>
      </w:r>
      <w:r>
        <w:rPr>
          <w:sz w:val="28"/>
          <w:szCs w:val="28"/>
        </w:rPr>
        <w:t>млрд гривень.</w:t>
      </w:r>
    </w:p>
    <w:p>
      <w:pPr>
        <w:widowControl w:val="0"/>
        <w:shd w:val="clear" w:fill="FFFFFF"/>
        <w:ind w:firstLine="567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Доходи спеціального фонду</w:t>
      </w:r>
      <w:r>
        <w:rPr>
          <w:sz w:val="28"/>
          <w:szCs w:val="28"/>
        </w:rPr>
        <w:t xml:space="preserve"> державного бюджету за січень – квітень 2025 року становили </w:t>
      </w:r>
      <w:r>
        <w:rPr>
          <w:b w:val="1"/>
          <w:sz w:val="28"/>
          <w:szCs w:val="28"/>
        </w:rPr>
        <w:t>410,2 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188 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84,6 </w:t>
      </w:r>
      <w:r>
        <w:rPr>
          <w:sz w:val="28"/>
          <w:szCs w:val="28"/>
        </w:rPr>
        <w:t xml:space="preserve">відсотка, </w:t>
      </w:r>
      <w:r>
        <w:rPr>
          <w:b w:val="1"/>
          <w:sz w:val="28"/>
          <w:szCs w:val="28"/>
          <w:u w:val="single"/>
        </w:rPr>
        <w:t>більше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порівняно з аналогічним періодом 2024 року.</w:t>
      </w:r>
    </w:p>
    <w:p>
      <w:pPr>
        <w:pStyle w:val="P12"/>
        <w:widowControl w:val="0"/>
        <w:tabs>
          <w:tab w:val="left" w:pos="851" w:leader="none"/>
        </w:tabs>
        <w:ind w:firstLine="567" w:left="0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Власні надходження</w:t>
      </w:r>
      <w:r>
        <w:rPr>
          <w:sz w:val="28"/>
          <w:szCs w:val="28"/>
        </w:rPr>
        <w:t xml:space="preserve"> бюджетних установ зросли проти аналогічного періоду 2024 року на </w:t>
      </w:r>
      <w:r>
        <w:rPr>
          <w:b w:val="1"/>
          <w:sz w:val="28"/>
          <w:szCs w:val="28"/>
          <w:lang w:val="ru-RU"/>
        </w:rPr>
        <w:t>172,9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або у </w:t>
      </w:r>
      <w:r>
        <w:rPr>
          <w:b w:val="1"/>
          <w:sz w:val="28"/>
          <w:szCs w:val="28"/>
        </w:rPr>
        <w:t xml:space="preserve">2 </w:t>
      </w:r>
      <w:r>
        <w:rPr>
          <w:sz w:val="28"/>
          <w:szCs w:val="28"/>
        </w:rPr>
        <w:t xml:space="preserve">рази, до </w:t>
      </w:r>
      <w:r>
        <w:rPr>
          <w:b w:val="1"/>
          <w:sz w:val="28"/>
          <w:szCs w:val="28"/>
        </w:rPr>
        <w:t>341,1 </w:t>
      </w:r>
      <w:r>
        <w:rPr>
          <w:sz w:val="28"/>
          <w:szCs w:val="28"/>
        </w:rPr>
        <w:t>млрд гривень.</w:t>
      </w:r>
    </w:p>
    <w:p>
      <w:pPr>
        <w:pStyle w:val="P9"/>
        <w:spacing w:before="240" w:after="120" w:beforeAutospacing="0" w:afterAutospacing="0"/>
        <w:ind w:firstLine="567"/>
        <w:jc w:val="left"/>
        <w:rPr>
          <w:b w:val="1"/>
          <w:sz w:val="32"/>
          <w:szCs w:val="32"/>
          <w:u w:val="single"/>
          <w:lang w:val="ru-RU"/>
        </w:rPr>
      </w:pPr>
      <w:r>
        <w:rPr>
          <w:b w:val="1"/>
          <w:sz w:val="32"/>
          <w:szCs w:val="32"/>
          <w:u w:val="single"/>
        </w:rPr>
        <w:t>ВИДАТКИ ТА КРЕДИТУВАННЯ</w:t>
      </w:r>
    </w:p>
    <w:p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Загальна сума касових </w:t>
      </w:r>
      <w:r>
        <w:rPr>
          <w:b w:val="1"/>
          <w:sz w:val="28"/>
          <w:szCs w:val="26"/>
        </w:rPr>
        <w:t xml:space="preserve">видатків Зведеного бюджету України </w:t>
      </w:r>
      <w:r>
        <w:rPr>
          <w:sz w:val="28"/>
          <w:szCs w:val="26"/>
        </w:rPr>
        <w:t xml:space="preserve">за січень – квітень 2025 року становила </w:t>
      </w:r>
      <w:r>
        <w:rPr>
          <w:b w:val="1"/>
          <w:bCs w:val="1"/>
          <w:sz w:val="28"/>
          <w:szCs w:val="28"/>
          <w:lang w:val="ru-RU" w:eastAsia="uk-UA"/>
        </w:rPr>
        <w:t>1 679,8</w:t>
      </w:r>
      <w:r>
        <w:rPr>
          <w:b w:val="1"/>
          <w:bCs w:val="1"/>
          <w:sz w:val="28"/>
          <w:szCs w:val="28"/>
          <w:lang w:val="en-US" w:eastAsia="uk-UA"/>
        </w:rPr>
        <w:t> </w:t>
      </w:r>
      <w:r>
        <w:rPr>
          <w:sz w:val="28"/>
          <w:szCs w:val="28"/>
        </w:rPr>
        <w:t xml:space="preserve">млрд грн, що на </w:t>
      </w:r>
      <w:r>
        <w:rPr>
          <w:b w:val="1"/>
          <w:sz w:val="28"/>
          <w:szCs w:val="28"/>
        </w:rPr>
        <w:t>34,2 </w:t>
      </w:r>
      <w:r>
        <w:rPr>
          <w:sz w:val="28"/>
          <w:szCs w:val="26"/>
        </w:rPr>
        <w:t xml:space="preserve">відсотка, або на </w:t>
      </w:r>
      <w:r>
        <w:rPr>
          <w:b w:val="1"/>
          <w:sz w:val="28"/>
          <w:szCs w:val="26"/>
        </w:rPr>
        <w:t>427,9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6"/>
        </w:rPr>
        <w:t>млрд грн більше ніж за січень – квітень 2024 року.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У структурі видатків </w:t>
      </w:r>
      <w:r>
        <w:rPr>
          <w:b w:val="1"/>
          <w:sz w:val="28"/>
          <w:szCs w:val="26"/>
        </w:rPr>
        <w:t xml:space="preserve">Зведеного бюджету України </w:t>
      </w:r>
      <w:r>
        <w:rPr>
          <w:sz w:val="28"/>
          <w:szCs w:val="28"/>
        </w:rPr>
        <w:t>найбільші частки припадають на:</w:t>
      </w:r>
    </w:p>
    <w:p>
      <w:pPr>
        <w:pStyle w:val="P12"/>
        <w:numPr>
          <w:ilvl w:val="0"/>
          <w:numId w:val="40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оборону – </w:t>
      </w:r>
      <w:r>
        <w:rPr>
          <w:b w:val="1"/>
          <w:sz w:val="28"/>
          <w:szCs w:val="28"/>
          <w:lang w:val="ru-RU"/>
        </w:rPr>
        <w:t>53,5</w:t>
      </w:r>
      <w:r>
        <w:rPr>
          <w:sz w:val="28"/>
          <w:szCs w:val="28"/>
        </w:rPr>
        <w:t> відсотка;</w:t>
      </w:r>
    </w:p>
    <w:p>
      <w:pPr>
        <w:pStyle w:val="P12"/>
        <w:numPr>
          <w:ilvl w:val="0"/>
          <w:numId w:val="40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громадський порядок, безпеку та судову владу – </w:t>
      </w:r>
      <w:r>
        <w:rPr>
          <w:b w:val="1"/>
          <w:sz w:val="28"/>
          <w:szCs w:val="28"/>
        </w:rPr>
        <w:t xml:space="preserve">13,8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40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соціальний захист та соціальне забезпечення – </w:t>
      </w:r>
      <w:r>
        <w:rPr>
          <w:b w:val="1"/>
          <w:sz w:val="28"/>
          <w:szCs w:val="28"/>
        </w:rPr>
        <w:t>9,2 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40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освіту – </w:t>
      </w:r>
      <w:r>
        <w:rPr>
          <w:b w:val="1"/>
          <w:sz w:val="28"/>
          <w:szCs w:val="28"/>
        </w:rPr>
        <w:t>6,6 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40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боргу та виплати за деривативами – </w:t>
      </w:r>
      <w:r>
        <w:rPr>
          <w:b w:val="1"/>
          <w:sz w:val="28"/>
          <w:szCs w:val="28"/>
        </w:rPr>
        <w:t>5,5</w:t>
      </w:r>
      <w:r>
        <w:rPr>
          <w:sz w:val="28"/>
          <w:szCs w:val="28"/>
        </w:rPr>
        <w:t> відсотка.</w:t>
      </w:r>
    </w:p>
    <w:p>
      <w:pPr>
        <w:pStyle w:val="P12"/>
        <w:ind w:firstLine="709" w:left="0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Касові видатки Державного бюджету України</w:t>
      </w:r>
      <w:r>
        <w:rPr>
          <w:sz w:val="28"/>
          <w:szCs w:val="28"/>
        </w:rPr>
        <w:t xml:space="preserve"> за січень – квітень 2025 року становили </w:t>
      </w:r>
      <w:r>
        <w:rPr>
          <w:b w:val="1"/>
          <w:sz w:val="28"/>
          <w:szCs w:val="28"/>
          <w:lang w:val="ru-RU"/>
        </w:rPr>
        <w:t>1 555,5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>млрд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грн, що на </w:t>
      </w:r>
      <w:r>
        <w:rPr>
          <w:b w:val="1"/>
          <w:sz w:val="28"/>
          <w:szCs w:val="28"/>
        </w:rPr>
        <w:t>34,6 </w:t>
      </w:r>
      <w:r>
        <w:rPr>
          <w:sz w:val="28"/>
          <w:szCs w:val="28"/>
        </w:rPr>
        <w:t xml:space="preserve">відсотка, або на </w:t>
      </w:r>
      <w:r>
        <w:rPr>
          <w:b w:val="1"/>
          <w:sz w:val="28"/>
          <w:szCs w:val="28"/>
        </w:rPr>
        <w:t>400,1 </w:t>
      </w:r>
      <w:r>
        <w:rPr>
          <w:sz w:val="28"/>
          <w:szCs w:val="28"/>
        </w:rPr>
        <w:t>млрд грн більше ніж за аналогічний період 2024 року.</w:t>
      </w:r>
    </w:p>
    <w:p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Найбільшу питому вагу серед видатків в загальному обсязі </w:t>
      </w:r>
      <w:r>
        <w:rPr>
          <w:b w:val="1"/>
          <w:sz w:val="28"/>
          <w:szCs w:val="28"/>
        </w:rPr>
        <w:t>Державного бюджету України</w:t>
      </w:r>
      <w:r>
        <w:rPr>
          <w:sz w:val="28"/>
          <w:szCs w:val="28"/>
        </w:rPr>
        <w:t xml:space="preserve"> становили такі:</w:t>
      </w:r>
    </w:p>
    <w:p>
      <w:pPr>
        <w:pStyle w:val="P12"/>
        <w:numPr>
          <w:ilvl w:val="0"/>
          <w:numId w:val="3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>оборона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 w:val="1"/>
          <w:sz w:val="28"/>
          <w:szCs w:val="28"/>
        </w:rPr>
        <w:t xml:space="preserve">57,8 </w:t>
      </w:r>
      <w:r>
        <w:rPr>
          <w:sz w:val="28"/>
          <w:szCs w:val="28"/>
        </w:rPr>
        <w:t xml:space="preserve">відсотка; </w:t>
      </w:r>
    </w:p>
    <w:p>
      <w:pPr>
        <w:pStyle w:val="P12"/>
        <w:numPr>
          <w:ilvl w:val="0"/>
          <w:numId w:val="3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громадський порядок, безпека та судова влада – </w:t>
      </w:r>
      <w:r>
        <w:rPr>
          <w:b w:val="1"/>
          <w:sz w:val="28"/>
          <w:szCs w:val="28"/>
        </w:rPr>
        <w:t xml:space="preserve">14,6 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3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соціальний захист та соціальне забезпечення – </w:t>
      </w:r>
      <w:r>
        <w:rPr>
          <w:b w:val="1"/>
          <w:sz w:val="28"/>
          <w:szCs w:val="28"/>
        </w:rPr>
        <w:t xml:space="preserve">9 </w:t>
      </w:r>
      <w:r>
        <w:rPr>
          <w:sz w:val="28"/>
          <w:szCs w:val="28"/>
        </w:rPr>
        <w:t>відсотків;</w:t>
      </w:r>
    </w:p>
    <w:p>
      <w:pPr>
        <w:pStyle w:val="P12"/>
        <w:numPr>
          <w:ilvl w:val="0"/>
          <w:numId w:val="3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боргу та виплати за державними деривативами – </w:t>
      </w:r>
      <w:r>
        <w:rPr>
          <w:b w:val="1"/>
          <w:sz w:val="28"/>
          <w:szCs w:val="28"/>
        </w:rPr>
        <w:t>5,9 </w:t>
      </w:r>
      <w:r>
        <w:rPr>
          <w:sz w:val="28"/>
          <w:szCs w:val="28"/>
        </w:rPr>
        <w:t>відсотка;</w:t>
      </w:r>
    </w:p>
    <w:p>
      <w:pPr>
        <w:pStyle w:val="P12"/>
        <w:numPr>
          <w:ilvl w:val="0"/>
          <w:numId w:val="3"/>
        </w:numPr>
        <w:ind w:hanging="283"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міжбюджетні трансферти – </w:t>
      </w:r>
      <w:r>
        <w:rPr>
          <w:b w:val="1"/>
          <w:sz w:val="28"/>
          <w:szCs w:val="28"/>
        </w:rPr>
        <w:t>3,5 </w:t>
      </w:r>
      <w:r>
        <w:rPr>
          <w:sz w:val="28"/>
          <w:szCs w:val="28"/>
        </w:rPr>
        <w:t>відсотка.</w:t>
      </w:r>
    </w:p>
    <w:p>
      <w:pPr>
        <w:ind w:firstLine="539"/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Касові видатки загального фонду</w:t>
      </w:r>
      <w:r>
        <w:rPr>
          <w:sz w:val="28"/>
          <w:szCs w:val="28"/>
        </w:rPr>
        <w:t xml:space="preserve"> державного бюджету за січень – квітень 2025 року становили </w:t>
      </w:r>
      <w:r>
        <w:rPr>
          <w:b w:val="1"/>
          <w:iCs w:val="1"/>
          <w:sz w:val="28"/>
          <w:szCs w:val="28"/>
          <w:lang w:val="ru-RU" w:eastAsia="uk-UA"/>
        </w:rPr>
        <w:t>1 185,9 </w:t>
      </w:r>
      <w:r>
        <w:rPr>
          <w:sz w:val="28"/>
          <w:szCs w:val="28"/>
        </w:rPr>
        <w:t>млрд грн, що більше ніж за січень – квітень 2024 року на </w:t>
      </w:r>
      <w:r>
        <w:rPr>
          <w:b w:val="1"/>
          <w:sz w:val="28"/>
          <w:szCs w:val="28"/>
          <w:lang w:eastAsia="uk-UA"/>
        </w:rPr>
        <w:t>239,7 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25,3 </w:t>
      </w:r>
      <w:r>
        <w:rPr>
          <w:sz w:val="28"/>
          <w:szCs w:val="28"/>
        </w:rPr>
        <w:t>відсотка.</w:t>
      </w:r>
    </w:p>
    <w:p>
      <w:pPr>
        <w:ind w:firstLine="539"/>
        <w:jc w:val="both"/>
        <w:rPr>
          <w:sz w:val="28"/>
          <w:szCs w:val="28"/>
        </w:rPr>
      </w:pPr>
    </w:p>
    <w:p>
      <w:pPr>
        <w:ind w:firstLine="539"/>
        <w:jc w:val="both"/>
        <w:rPr>
          <w:b w:val="1"/>
          <w:iCs w:val="1"/>
          <w:sz w:val="28"/>
          <w:szCs w:val="28"/>
          <w:lang w:val="ru-RU" w:eastAsia="uk-UA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</w:t>
      </w:r>
      <w:r>
        <w:rPr>
          <w:b w:val="1"/>
          <w:sz w:val="28"/>
          <w:szCs w:val="28"/>
        </w:rPr>
        <w:t>загального фонду</w:t>
      </w:r>
      <w:r>
        <w:rPr>
          <w:sz w:val="28"/>
          <w:szCs w:val="28"/>
        </w:rPr>
        <w:t xml:space="preserve"> державного бюджету на:</w:t>
      </w:r>
    </w:p>
    <w:p>
      <w:pPr>
        <w:pStyle w:val="P12"/>
        <w:numPr>
          <w:ilvl w:val="1"/>
          <w:numId w:val="4"/>
        </w:numPr>
        <w:ind w:hanging="567" w:left="851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>заробітну плату з нарахуваннями</w:t>
      </w:r>
      <w:r>
        <w:rPr>
          <w:sz w:val="28"/>
          <w:szCs w:val="28"/>
        </w:rPr>
        <w:t xml:space="preserve"> </w:t>
      </w:r>
      <w:r>
        <w:rPr>
          <w:b w:val="1"/>
          <w:sz w:val="28"/>
          <w:szCs w:val="28"/>
        </w:rPr>
        <w:t>зросли</w:t>
      </w:r>
      <w:r>
        <w:rPr>
          <w:sz w:val="28"/>
          <w:szCs w:val="28"/>
        </w:rPr>
        <w:t xml:space="preserve"> проти аналогічного періоду 2024 року на </w:t>
      </w:r>
      <w:r>
        <w:rPr>
          <w:b w:val="1"/>
          <w:sz w:val="28"/>
          <w:szCs w:val="28"/>
        </w:rPr>
        <w:t>86,7 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22,3 </w:t>
      </w:r>
      <w:r>
        <w:rPr>
          <w:sz w:val="28"/>
          <w:szCs w:val="28"/>
        </w:rPr>
        <w:t>відсотка до</w:t>
      </w:r>
      <w:r>
        <w:rPr>
          <w:sz w:val="28"/>
          <w:szCs w:val="28"/>
          <w:lang w:val="ru-RU"/>
        </w:rPr>
        <w:t xml:space="preserve"> </w:t>
      </w:r>
      <w:r>
        <w:rPr>
          <w:b w:val="1"/>
          <w:sz w:val="28"/>
          <w:szCs w:val="28"/>
        </w:rPr>
        <w:t>475,2</w:t>
      </w:r>
      <w:r>
        <w:rPr>
          <w:b w:val="1"/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млрд гривень; </w:t>
      </w:r>
    </w:p>
    <w:p>
      <w:pPr>
        <w:pStyle w:val="P12"/>
        <w:numPr>
          <w:ilvl w:val="1"/>
          <w:numId w:val="4"/>
        </w:numPr>
        <w:ind w:hanging="567" w:left="851"/>
        <w:contextualSpacing w:val="0"/>
        <w:jc w:val="both"/>
        <w:rPr>
          <w:sz w:val="28"/>
          <w:szCs w:val="28"/>
        </w:rPr>
      </w:pPr>
      <w:r>
        <w:rPr>
          <w:i w:val="1"/>
          <w:sz w:val="28"/>
          <w:szCs w:val="28"/>
        </w:rPr>
        <w:t xml:space="preserve">соціальне забезпечення (пенсії, допомоги, стипендії) </w:t>
      </w:r>
      <w:r>
        <w:rPr>
          <w:b w:val="1"/>
          <w:sz w:val="28"/>
          <w:szCs w:val="28"/>
        </w:rPr>
        <w:t xml:space="preserve">зросли </w:t>
      </w:r>
      <w:r>
        <w:rPr>
          <w:sz w:val="28"/>
          <w:szCs w:val="28"/>
        </w:rPr>
        <w:t xml:space="preserve">проти аналогічного періоду 2024 року на </w:t>
      </w:r>
      <w:r>
        <w:rPr>
          <w:b w:val="1"/>
          <w:sz w:val="28"/>
          <w:szCs w:val="28"/>
        </w:rPr>
        <w:t>25,7 </w:t>
      </w:r>
      <w:r>
        <w:rPr>
          <w:sz w:val="28"/>
          <w:szCs w:val="28"/>
        </w:rPr>
        <w:t xml:space="preserve">млрд грн, або на </w:t>
      </w:r>
      <w:r>
        <w:rPr>
          <w:b w:val="1"/>
          <w:sz w:val="28"/>
          <w:szCs w:val="28"/>
        </w:rPr>
        <w:t>13,7 </w:t>
      </w:r>
      <w:r>
        <w:rPr>
          <w:sz w:val="28"/>
          <w:szCs w:val="28"/>
        </w:rPr>
        <w:t>відсотка</w:t>
      </w:r>
      <w:r>
        <w:rPr>
          <w:rStyle w:val="C1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sz w:val="28"/>
          <w:szCs w:val="28"/>
        </w:rPr>
        <w:t>212,9 </w:t>
      </w:r>
      <w:r>
        <w:rPr>
          <w:sz w:val="28"/>
          <w:szCs w:val="28"/>
        </w:rPr>
        <w:t>млрд гривень.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b w:val="1"/>
          <w:sz w:val="28"/>
          <w:szCs w:val="28"/>
        </w:rPr>
        <w:t xml:space="preserve">функціональною класифікацією </w:t>
      </w:r>
      <w:r>
        <w:rPr>
          <w:sz w:val="28"/>
          <w:szCs w:val="28"/>
        </w:rPr>
        <w:t>статей видатків у січні – квітні 2025 року (порівняно з січнем 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квітнем 2024 року):</w:t>
      </w:r>
    </w:p>
    <w:p>
      <w:pPr>
        <w:tabs>
          <w:tab w:val="left" w:pos="1134" w:leader="none"/>
        </w:tabs>
        <w:spacing w:after="4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загальнодержавні функції</w:t>
      </w:r>
      <w:r>
        <w:rPr>
          <w:sz w:val="28"/>
          <w:szCs w:val="28"/>
        </w:rPr>
        <w:t xml:space="preserve"> без урахування видатків на обслуговування державного боргу та виплати за державними деривативами за зведеним бюджетом зросли на </w:t>
      </w:r>
      <w:r>
        <w:rPr>
          <w:b w:val="1"/>
          <w:sz w:val="28"/>
          <w:szCs w:val="28"/>
        </w:rPr>
        <w:t>30,9 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42,3 </w:t>
      </w:r>
      <w:r>
        <w:rPr>
          <w:sz w:val="28"/>
          <w:szCs w:val="28"/>
        </w:rPr>
        <w:t xml:space="preserve">млрд грн, за державним бюджетом – на </w:t>
      </w:r>
      <w:r>
        <w:rPr>
          <w:b w:val="1"/>
          <w:sz w:val="28"/>
          <w:szCs w:val="28"/>
          <w:lang w:val="ru-RU"/>
        </w:rPr>
        <w:t>32,3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відсотка до </w:t>
      </w:r>
      <w:r>
        <w:rPr>
          <w:b w:val="1"/>
          <w:bCs w:val="1"/>
          <w:sz w:val="28"/>
          <w:szCs w:val="28"/>
          <w:lang w:eastAsia="uk-UA"/>
        </w:rPr>
        <w:t>21,2 </w:t>
      </w:r>
      <w:r>
        <w:rPr>
          <w:sz w:val="28"/>
          <w:szCs w:val="28"/>
        </w:rPr>
        <w:t>млрд гривень;</w:t>
      </w:r>
    </w:p>
    <w:p>
      <w:pPr>
        <w:pStyle w:val="P12"/>
        <w:numPr>
          <w:ilvl w:val="0"/>
          <w:numId w:val="42"/>
        </w:numPr>
        <w:tabs>
          <w:tab w:val="left" w:pos="851" w:leader="none"/>
        </w:tabs>
        <w:spacing w:after="40" w:beforeAutospacing="0" w:afterAutospacing="0"/>
        <w:ind w:firstLine="567" w:left="0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 xml:space="preserve">видатки </w:t>
      </w:r>
      <w:r>
        <w:rPr>
          <w:b w:val="1"/>
          <w:i w:val="1"/>
          <w:sz w:val="28"/>
          <w:szCs w:val="28"/>
        </w:rPr>
        <w:t>на обслуговування державного боргу</w:t>
      </w:r>
      <w:r>
        <w:t xml:space="preserve"> </w:t>
      </w:r>
      <w:r>
        <w:rPr>
          <w:b w:val="1"/>
          <w:i w:val="1"/>
          <w:sz w:val="28"/>
          <w:szCs w:val="28"/>
        </w:rPr>
        <w:t xml:space="preserve">та виплати за державними деривативами </w:t>
      </w:r>
      <w:r>
        <w:rPr>
          <w:sz w:val="28"/>
          <w:szCs w:val="28"/>
        </w:rPr>
        <w:t xml:space="preserve">за зведеним бюджетом зросли на </w:t>
      </w:r>
      <w:r>
        <w:rPr>
          <w:b w:val="1"/>
          <w:sz w:val="28"/>
          <w:szCs w:val="28"/>
        </w:rPr>
        <w:t>43,1 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92,7 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оборону</w:t>
      </w:r>
      <w:r>
        <w:rPr>
          <w:sz w:val="28"/>
          <w:szCs w:val="28"/>
        </w:rPr>
        <w:t xml:space="preserve"> за державним бюджетом зросли у </w:t>
      </w:r>
      <w:r>
        <w:rPr>
          <w:b w:val="1"/>
          <w:sz w:val="28"/>
          <w:szCs w:val="28"/>
        </w:rPr>
        <w:t>1,6 </w:t>
      </w:r>
      <w:r>
        <w:rPr>
          <w:sz w:val="28"/>
          <w:szCs w:val="28"/>
        </w:rPr>
        <w:t>раза до </w:t>
      </w:r>
      <w:r>
        <w:rPr>
          <w:b w:val="1"/>
          <w:sz w:val="28"/>
          <w:szCs w:val="28"/>
        </w:rPr>
        <w:t>898,4 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громадський порядок, безпеку та судову владу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22,9 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232,3 </w:t>
      </w:r>
      <w:r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 w:val="1"/>
          <w:sz w:val="28"/>
          <w:szCs w:val="28"/>
        </w:rPr>
        <w:t>23,2 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227,6 </w:t>
      </w:r>
      <w:r>
        <w:rPr>
          <w:sz w:val="28"/>
          <w:szCs w:val="28"/>
        </w:rPr>
        <w:t>млрд 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bCs w:val="1"/>
          <w:iCs w:val="1"/>
          <w:sz w:val="28"/>
          <w:szCs w:val="28"/>
        </w:rPr>
        <w:t xml:space="preserve">на економічну діяльність </w:t>
      </w:r>
      <w:r>
        <w:rPr>
          <w:sz w:val="28"/>
          <w:szCs w:val="28"/>
        </w:rPr>
        <w:t>за зведеним бюджетом зросли на </w:t>
      </w:r>
      <w:r>
        <w:rPr>
          <w:b w:val="1"/>
          <w:sz w:val="28"/>
          <w:szCs w:val="28"/>
        </w:rPr>
        <w:t>26,4</w:t>
      </w:r>
      <w:r>
        <w:rPr>
          <w:sz w:val="28"/>
          <w:szCs w:val="28"/>
        </w:rPr>
        <w:t xml:space="preserve"> відсотка до </w:t>
      </w:r>
      <w:r>
        <w:rPr>
          <w:b w:val="1"/>
          <w:bCs w:val="1"/>
          <w:sz w:val="28"/>
          <w:szCs w:val="28"/>
        </w:rPr>
        <w:t>44,1 </w:t>
      </w:r>
      <w:r>
        <w:rPr>
          <w:sz w:val="28"/>
          <w:szCs w:val="28"/>
        </w:rPr>
        <w:t xml:space="preserve">млрд грн, у тому числі за державним бюджетом збільшились на </w:t>
      </w:r>
      <w:r>
        <w:rPr>
          <w:b w:val="1"/>
          <w:sz w:val="28"/>
          <w:szCs w:val="28"/>
        </w:rPr>
        <w:t>40,8 </w:t>
      </w:r>
      <w:r>
        <w:rPr>
          <w:sz w:val="28"/>
          <w:szCs w:val="28"/>
        </w:rPr>
        <w:t>відсотка до</w:t>
      </w:r>
      <w:r>
        <w:rPr>
          <w:sz w:val="28"/>
          <w:szCs w:val="28"/>
          <w:lang w:val="ru-RU"/>
        </w:rPr>
        <w:t xml:space="preserve"> </w:t>
      </w:r>
      <w:r>
        <w:rPr>
          <w:b w:val="1"/>
          <w:bCs w:val="1"/>
          <w:sz w:val="28"/>
          <w:szCs w:val="28"/>
        </w:rPr>
        <w:t>30,9 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охорону навколишнього природного середовища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16,2 </w:t>
      </w:r>
      <w:r>
        <w:rPr>
          <w:sz w:val="28"/>
          <w:szCs w:val="28"/>
        </w:rPr>
        <w:t xml:space="preserve">відсотка </w:t>
      </w:r>
      <w:r>
        <w:rPr>
          <w:sz w:val="28"/>
          <w:szCs w:val="28"/>
          <w:lang w:val="ru-RU"/>
        </w:rPr>
        <w:t xml:space="preserve">до </w:t>
      </w:r>
      <w:r>
        <w:rPr>
          <w:b w:val="1"/>
          <w:sz w:val="28"/>
          <w:szCs w:val="28"/>
          <w:lang w:val="ru-RU"/>
        </w:rPr>
        <w:t>2,8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 w:val="1"/>
          <w:sz w:val="28"/>
          <w:szCs w:val="28"/>
        </w:rPr>
        <w:t>14,4 </w:t>
      </w:r>
      <w:r>
        <w:rPr>
          <w:sz w:val="28"/>
          <w:szCs w:val="28"/>
        </w:rPr>
        <w:t>відсотків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bCs w:val="1"/>
          <w:sz w:val="28"/>
          <w:szCs w:val="28"/>
          <w:lang w:eastAsia="uk-UA"/>
        </w:rPr>
        <w:t>2,6 </w:t>
      </w:r>
      <w:r>
        <w:rPr>
          <w:sz w:val="28"/>
          <w:szCs w:val="28"/>
        </w:rPr>
        <w:t>млрд </w:t>
      </w:r>
      <w:r>
        <w:rPr>
          <w:bCs w:val="1"/>
          <w:sz w:val="28"/>
          <w:szCs w:val="28"/>
          <w:lang w:eastAsia="uk-UA"/>
        </w:rPr>
        <w:t xml:space="preserve">гривень; </w:t>
      </w:r>
    </w:p>
    <w:p>
      <w:pPr>
        <w:pStyle w:val="P12"/>
        <w:numPr>
          <w:ilvl w:val="6"/>
          <w:numId w:val="5"/>
        </w:numPr>
        <w:spacing w:after="40" w:beforeAutospacing="0" w:afterAutospacing="0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видатки </w:t>
      </w:r>
      <w:r>
        <w:rPr>
          <w:b w:val="1"/>
          <w:i w:val="1"/>
          <w:sz w:val="28"/>
          <w:szCs w:val="28"/>
        </w:rPr>
        <w:t>на житлово-комунальне господарство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30,8</w:t>
      </w:r>
      <w:r>
        <w:rPr>
          <w:sz w:val="28"/>
          <w:szCs w:val="28"/>
        </w:rPr>
        <w:t xml:space="preserve"> відсотка до </w:t>
      </w:r>
      <w:r>
        <w:rPr>
          <w:b w:val="1"/>
          <w:sz w:val="28"/>
          <w:szCs w:val="28"/>
        </w:rPr>
        <w:t>17,4</w:t>
      </w:r>
      <w:r>
        <w:rPr>
          <w:sz w:val="28"/>
          <w:szCs w:val="28"/>
        </w:rPr>
        <w:t xml:space="preserve"> млрд гривень, у тому числі за державним бюджетом зросли у </w:t>
      </w:r>
      <w:r>
        <w:rPr>
          <w:b w:val="1"/>
          <w:sz w:val="28"/>
          <w:szCs w:val="28"/>
        </w:rPr>
        <w:t>2,4</w:t>
      </w:r>
      <w:r>
        <w:rPr>
          <w:sz w:val="28"/>
          <w:szCs w:val="28"/>
        </w:rPr>
        <w:t xml:space="preserve"> раза до </w:t>
      </w:r>
      <w:bookmarkStart w:id="0" w:name="_GoBack"/>
      <w:r>
        <w:rPr>
          <w:b w:val="1"/>
          <w:sz w:val="28"/>
          <w:szCs w:val="28"/>
        </w:rPr>
        <w:t>3</w:t>
      </w:r>
      <w:bookmarkEnd w:id="0"/>
      <w:r>
        <w:rPr>
          <w:sz w:val="28"/>
          <w:szCs w:val="28"/>
        </w:rPr>
        <w:t> 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охорону здоров’я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  <w:lang w:val="ru-RU"/>
        </w:rPr>
        <w:t>12,1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71,1 </w:t>
      </w:r>
      <w:r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 w:val="1"/>
          <w:sz w:val="28"/>
          <w:szCs w:val="28"/>
        </w:rPr>
        <w:t>11 </w:t>
      </w:r>
      <w:r>
        <w:rPr>
          <w:sz w:val="28"/>
          <w:szCs w:val="28"/>
        </w:rPr>
        <w:t>відсотків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 w:val="1"/>
          <w:sz w:val="28"/>
          <w:szCs w:val="28"/>
          <w:lang w:val="ru-RU"/>
        </w:rPr>
        <w:t>61,1</w:t>
      </w:r>
      <w:r>
        <w:rPr>
          <w:b w:val="1"/>
          <w:sz w:val="28"/>
          <w:szCs w:val="28"/>
          <w:lang w:val="en-US"/>
        </w:rPr>
        <w:t>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духовний та фізичний розвиток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  <w:lang w:val="ru-RU"/>
        </w:rPr>
        <w:t>10,6 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12,9 </w:t>
      </w:r>
      <w:r>
        <w:rPr>
          <w:sz w:val="28"/>
          <w:szCs w:val="28"/>
        </w:rPr>
        <w:t xml:space="preserve">млрд грн, у тому числі за державним бюджетом – на </w:t>
      </w:r>
      <w:r>
        <w:rPr>
          <w:b w:val="1"/>
          <w:sz w:val="28"/>
          <w:szCs w:val="28"/>
        </w:rPr>
        <w:t>7,5 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3,9 </w:t>
      </w:r>
      <w:r>
        <w:rPr>
          <w:sz w:val="28"/>
          <w:szCs w:val="28"/>
        </w:rPr>
        <w:t>млрд </w:t>
      </w:r>
      <w:r>
        <w:rPr>
          <w:bCs w:val="1"/>
          <w:sz w:val="28"/>
          <w:szCs w:val="28"/>
          <w:lang w:eastAsia="uk-UA"/>
        </w:rPr>
        <w:t>гривень;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  <w:lang w:val="ru-RU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освіту</w:t>
      </w:r>
      <w:r>
        <w:rPr>
          <w:sz w:val="28"/>
          <w:szCs w:val="28"/>
        </w:rPr>
        <w:t xml:space="preserve"> за зведеним бюджетом зросли на </w:t>
      </w:r>
      <w:r>
        <w:rPr>
          <w:b w:val="1"/>
          <w:sz w:val="28"/>
          <w:szCs w:val="28"/>
        </w:rPr>
        <w:t>12,3 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110,3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8"/>
        </w:rPr>
        <w:t xml:space="preserve">млрд грн, за державним бюджетом – на </w:t>
      </w:r>
      <w:r>
        <w:rPr>
          <w:b w:val="1"/>
          <w:sz w:val="28"/>
          <w:szCs w:val="28"/>
        </w:rPr>
        <w:t>5,8 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19,4</w:t>
      </w:r>
      <w:r>
        <w:rPr>
          <w:b w:val="1"/>
          <w:bCs w:val="1"/>
          <w:sz w:val="28"/>
          <w:szCs w:val="28"/>
          <w:lang w:eastAsia="uk-UA"/>
        </w:rPr>
        <w:t> </w:t>
      </w:r>
      <w:r>
        <w:rPr>
          <w:sz w:val="28"/>
          <w:szCs w:val="28"/>
        </w:rPr>
        <w:t>млрд гривень;</w:t>
      </w:r>
    </w:p>
    <w:p>
      <w:pPr>
        <w:spacing w:after="40" w:beforeAutospacing="0" w:afterAutospacing="0"/>
        <w:ind w:firstLine="539"/>
        <w:jc w:val="both"/>
        <w:rPr>
          <w:b w:val="1"/>
          <w:sz w:val="28"/>
          <w:szCs w:val="28"/>
        </w:rPr>
      </w:pPr>
      <w:r>
        <w:rPr>
          <w:sz w:val="28"/>
          <w:szCs w:val="28"/>
        </w:rPr>
        <w:t xml:space="preserve">– видатки </w:t>
      </w:r>
      <w:r>
        <w:rPr>
          <w:b w:val="1"/>
          <w:i w:val="1"/>
          <w:sz w:val="28"/>
          <w:szCs w:val="28"/>
        </w:rPr>
        <w:t>на соціальний захист та соціальне забезпечення</w:t>
      </w:r>
      <w:r>
        <w:rPr>
          <w:sz w:val="28"/>
          <w:szCs w:val="28"/>
        </w:rPr>
        <w:t xml:space="preserve"> за зведеним бюджетом скоротились на </w:t>
      </w:r>
      <w:r>
        <w:rPr>
          <w:b w:val="1"/>
          <w:sz w:val="28"/>
          <w:szCs w:val="28"/>
        </w:rPr>
        <w:t>5,5 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155 </w:t>
      </w:r>
      <w:r>
        <w:rPr>
          <w:sz w:val="28"/>
          <w:szCs w:val="28"/>
        </w:rPr>
        <w:t xml:space="preserve">млрд грн, за державним бюджетом – на </w:t>
      </w:r>
      <w:r>
        <w:rPr>
          <w:b w:val="1"/>
          <w:sz w:val="28"/>
          <w:szCs w:val="28"/>
        </w:rPr>
        <w:t>7,4 </w:t>
      </w:r>
      <w:r>
        <w:rPr>
          <w:sz w:val="28"/>
          <w:szCs w:val="28"/>
        </w:rPr>
        <w:t xml:space="preserve">відсотка до </w:t>
      </w:r>
      <w:r>
        <w:rPr>
          <w:b w:val="1"/>
          <w:sz w:val="28"/>
          <w:szCs w:val="28"/>
        </w:rPr>
        <w:t>140,8 </w:t>
      </w:r>
      <w:r>
        <w:rPr>
          <w:sz w:val="28"/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У січні – квітні  2025 року перераховано із державного бюджету </w:t>
      </w:r>
      <w:r>
        <w:rPr>
          <w:b w:val="1"/>
          <w:szCs w:val="28"/>
        </w:rPr>
        <w:t xml:space="preserve">трансфертів </w:t>
      </w:r>
      <w:r>
        <w:rPr>
          <w:szCs w:val="28"/>
        </w:rPr>
        <w:t xml:space="preserve">місцевим бюджетам у сумі </w:t>
      </w:r>
      <w:r>
        <w:rPr>
          <w:b w:val="1"/>
          <w:szCs w:val="28"/>
        </w:rPr>
        <w:t>54,3 </w:t>
      </w:r>
      <w:r>
        <w:rPr>
          <w:szCs w:val="28"/>
        </w:rPr>
        <w:t>млрд грн, з яких:</w:t>
      </w:r>
    </w:p>
    <w:p>
      <w:pPr>
        <w:pStyle w:val="P12"/>
        <w:tabs>
          <w:tab w:val="left" w:pos="851" w:leader="none"/>
        </w:tabs>
        <w:ind w:firstLine="567" w:left="0"/>
        <w:jc w:val="both"/>
        <w:rPr>
          <w:bCs w:val="1"/>
          <w:sz w:val="28"/>
          <w:szCs w:val="28"/>
        </w:rPr>
      </w:pPr>
      <w:r>
        <w:rPr>
          <w:bCs w:val="1"/>
          <w:sz w:val="28"/>
          <w:szCs w:val="28"/>
        </w:rPr>
        <w:t xml:space="preserve">- освітня субвенція </w:t>
      </w:r>
      <w:r>
        <w:rPr>
          <w:sz w:val="28"/>
          <w:szCs w:val="28"/>
        </w:rPr>
        <w:t>становила</w:t>
      </w:r>
      <w:r>
        <w:rPr>
          <w:bCs w:val="1"/>
          <w:sz w:val="28"/>
          <w:szCs w:val="28"/>
        </w:rPr>
        <w:t xml:space="preserve"> </w:t>
      </w:r>
      <w:r>
        <w:rPr>
          <w:b w:val="1"/>
          <w:bCs w:val="1"/>
          <w:sz w:val="28"/>
          <w:szCs w:val="28"/>
        </w:rPr>
        <w:t>31,5 </w:t>
      </w:r>
      <w:r>
        <w:rPr>
          <w:bCs w:val="1"/>
          <w:sz w:val="28"/>
          <w:szCs w:val="28"/>
        </w:rPr>
        <w:t>млрд грн;</w:t>
      </w:r>
    </w:p>
    <w:p>
      <w:pPr>
        <w:pStyle w:val="P9"/>
        <w:tabs>
          <w:tab w:val="left" w:pos="567" w:leader="none"/>
        </w:tabs>
        <w:spacing w:after="40" w:beforeAutospacing="0" w:afterAutospacing="0"/>
        <w:ind w:firstLine="567"/>
        <w:rPr>
          <w:bCs w:val="1"/>
          <w:szCs w:val="28"/>
        </w:rPr>
      </w:pPr>
      <w:r>
        <w:rPr>
          <w:bCs w:val="1"/>
          <w:szCs w:val="28"/>
        </w:rPr>
        <w:t xml:space="preserve">- базова дотація для забезпечення зміцнення податкової спроможності місцевих бюджетів </w:t>
      </w:r>
      <w:r>
        <w:rPr>
          <w:szCs w:val="28"/>
        </w:rPr>
        <w:t>–</w:t>
      </w:r>
      <w:r>
        <w:rPr>
          <w:b w:val="1"/>
          <w:szCs w:val="28"/>
        </w:rPr>
        <w:t xml:space="preserve"> 8,5 </w:t>
      </w:r>
      <w:r>
        <w:rPr>
          <w:szCs w:val="28"/>
        </w:rPr>
        <w:t>млрд грн;</w:t>
      </w:r>
    </w:p>
    <w:p>
      <w:pPr>
        <w:pStyle w:val="P9"/>
        <w:tabs>
          <w:tab w:val="left" w:pos="567" w:leader="none"/>
        </w:tabs>
        <w:spacing w:after="40" w:beforeAutospacing="0" w:afterAutospacing="0"/>
        <w:ind w:firstLine="567"/>
        <w:rPr>
          <w:b w:val="1"/>
          <w:szCs w:val="28"/>
        </w:rPr>
      </w:pPr>
      <w:r>
        <w:rPr>
          <w:bCs w:val="1"/>
          <w:szCs w:val="28"/>
        </w:rPr>
        <w:t xml:space="preserve">-додаткова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>
        <w:rPr>
          <w:szCs w:val="28"/>
        </w:rPr>
        <w:t>–</w:t>
      </w:r>
      <w:r>
        <w:rPr>
          <w:b w:val="1"/>
          <w:szCs w:val="28"/>
        </w:rPr>
        <w:t xml:space="preserve"> 7,1</w:t>
      </w:r>
      <w:r>
        <w:rPr>
          <w:b w:val="1"/>
          <w:szCs w:val="28"/>
          <w:lang w:val="en-US"/>
        </w:rPr>
        <w:t> </w:t>
      </w:r>
      <w:r>
        <w:rPr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За рахунок </w:t>
      </w:r>
      <w:r>
        <w:rPr>
          <w:b w:val="1"/>
          <w:szCs w:val="28"/>
        </w:rPr>
        <w:t>повернення кредитів</w:t>
      </w:r>
      <w:r>
        <w:rPr>
          <w:szCs w:val="28"/>
        </w:rPr>
        <w:t xml:space="preserve"> до Державного бюджету України за січень – квітень 2025 року надійшло </w:t>
      </w:r>
      <w:r>
        <w:rPr>
          <w:b w:val="1"/>
          <w:szCs w:val="28"/>
          <w:lang w:val="ru-RU"/>
        </w:rPr>
        <w:t>3,8 </w:t>
      </w:r>
      <w:r>
        <w:rPr>
          <w:szCs w:val="28"/>
        </w:rPr>
        <w:t>млрд</w:t>
      </w:r>
      <w:r>
        <w:rPr>
          <w:szCs w:val="28"/>
          <w:lang w:val="en-US"/>
        </w:rPr>
        <w:t> </w:t>
      </w:r>
      <w:r>
        <w:rPr>
          <w:szCs w:val="28"/>
        </w:rPr>
        <w:t>грн, у тому числі до загального фонду – </w:t>
      </w:r>
      <w:r>
        <w:rPr>
          <w:b w:val="1"/>
          <w:szCs w:val="28"/>
        </w:rPr>
        <w:t>3,7 </w:t>
      </w:r>
      <w:r>
        <w:rPr>
          <w:szCs w:val="28"/>
        </w:rPr>
        <w:t>млрд гривень.</w:t>
      </w:r>
    </w:p>
    <w:p>
      <w:pPr>
        <w:pStyle w:val="P9"/>
        <w:spacing w:after="40" w:beforeAutospacing="0" w:afterAutospacing="0"/>
        <w:ind w:firstLine="567"/>
        <w:rPr>
          <w:szCs w:val="28"/>
        </w:rPr>
      </w:pPr>
      <w:r>
        <w:rPr>
          <w:szCs w:val="28"/>
        </w:rPr>
        <w:t xml:space="preserve">За січень – квітень 2025 року </w:t>
      </w:r>
      <w:r>
        <w:rPr>
          <w:b w:val="1"/>
          <w:szCs w:val="28"/>
        </w:rPr>
        <w:t xml:space="preserve">надано кредитів </w:t>
      </w:r>
      <w:r>
        <w:rPr>
          <w:szCs w:val="28"/>
        </w:rPr>
        <w:t xml:space="preserve">з державного бюджету </w:t>
      </w:r>
      <w:r>
        <w:rPr>
          <w:b w:val="1"/>
          <w:szCs w:val="28"/>
        </w:rPr>
        <w:t>1,7 </w:t>
      </w:r>
      <w:r>
        <w:rPr>
          <w:szCs w:val="28"/>
        </w:rPr>
        <w:t>млрд гривень.</w:t>
      </w:r>
    </w:p>
    <w:p>
      <w:pPr>
        <w:pStyle w:val="P9"/>
        <w:rPr>
          <w:szCs w:val="28"/>
        </w:rPr>
      </w:pPr>
    </w:p>
    <w:p>
      <w:pPr>
        <w:pStyle w:val="P9"/>
        <w:rPr>
          <w:b w:val="1"/>
          <w:szCs w:val="28"/>
        </w:rPr>
      </w:pPr>
      <w:r>
        <w:rPr>
          <w:b w:val="1"/>
          <w:sz w:val="32"/>
          <w:szCs w:val="32"/>
          <w:u w:val="single"/>
        </w:rPr>
        <w:t>ФІНАНСУВАННЯ</w:t>
      </w:r>
    </w:p>
    <w:p>
      <w:pPr>
        <w:ind w:firstLine="567"/>
        <w:jc w:val="both"/>
        <w:rPr>
          <w:b w:val="1"/>
          <w:sz w:val="16"/>
        </w:rPr>
      </w:pPr>
    </w:p>
    <w:p>
      <w:pPr>
        <w:spacing w:after="60" w:beforeAutospacing="0" w:afterAutospacing="0"/>
        <w:ind w:firstLine="567"/>
        <w:jc w:val="both"/>
        <w:rPr>
          <w:sz w:val="28"/>
        </w:rPr>
      </w:pPr>
      <w:r>
        <w:rPr>
          <w:b w:val="1"/>
          <w:sz w:val="28"/>
        </w:rPr>
        <w:t>Зведений бюджет</w:t>
      </w:r>
      <w:r>
        <w:rPr>
          <w:sz w:val="28"/>
        </w:rPr>
        <w:t xml:space="preserve"> за січень – квітень</w:t>
      </w:r>
      <w:r>
        <w:rPr>
          <w:sz w:val="28"/>
          <w:lang w:val="ru-RU"/>
        </w:rPr>
        <w:t xml:space="preserve"> </w:t>
      </w:r>
      <w:r>
        <w:rPr>
          <w:sz w:val="28"/>
        </w:rPr>
        <w:t>202</w:t>
      </w:r>
      <w:r>
        <w:rPr>
          <w:sz w:val="28"/>
          <w:lang w:val="ru-RU"/>
        </w:rPr>
        <w:t>5</w:t>
      </w:r>
      <w:r>
        <w:rPr>
          <w:sz w:val="28"/>
        </w:rPr>
        <w:t xml:space="preserve"> року виконано дефіцитом у сумі </w:t>
      </w:r>
      <w:r>
        <w:rPr>
          <w:b w:val="1"/>
          <w:sz w:val="28"/>
        </w:rPr>
        <w:t>253,6 </w:t>
      </w:r>
      <w:r>
        <w:rPr>
          <w:sz w:val="28"/>
        </w:rPr>
        <w:t>млрд </w:t>
      </w:r>
      <w:r>
        <w:rPr>
          <w:sz w:val="28"/>
          <w:szCs w:val="28"/>
        </w:rPr>
        <w:t>гривень</w:t>
      </w:r>
      <w:r>
        <w:rPr>
          <w:sz w:val="28"/>
        </w:rPr>
        <w:t>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січень </w:t>
      </w:r>
      <w:r>
        <w:rPr>
          <w:sz w:val="28"/>
        </w:rPr>
        <w:t>–</w:t>
      </w:r>
      <w:r>
        <w:rPr>
          <w:sz w:val="28"/>
          <w:szCs w:val="28"/>
        </w:rPr>
        <w:t> квітень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 року </w:t>
      </w:r>
      <w:r>
        <w:rPr>
          <w:b w:val="1"/>
          <w:i w:val="1"/>
          <w:sz w:val="28"/>
          <w:szCs w:val="28"/>
        </w:rPr>
        <w:t>державний бюджет</w:t>
      </w:r>
      <w:r>
        <w:rPr>
          <w:sz w:val="28"/>
          <w:szCs w:val="28"/>
        </w:rPr>
        <w:t xml:space="preserve"> було виконано з дефіцитом у сумі </w:t>
      </w:r>
      <w:r>
        <w:rPr>
          <w:b w:val="1"/>
          <w:sz w:val="28"/>
          <w:szCs w:val="28"/>
        </w:rPr>
        <w:t>287 </w:t>
      </w:r>
      <w:r>
        <w:rPr>
          <w:sz w:val="28"/>
          <w:szCs w:val="28"/>
        </w:rPr>
        <w:t xml:space="preserve">млрд грн, в тому числі </w:t>
      </w:r>
      <w:r>
        <w:rPr>
          <w:b w:val="1"/>
          <w:i w:val="1"/>
          <w:sz w:val="28"/>
          <w:szCs w:val="28"/>
        </w:rPr>
        <w:t>загальний фонд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 дефіцитом у сумі </w:t>
      </w:r>
      <w:r>
        <w:rPr>
          <w:b w:val="1"/>
          <w:sz w:val="28"/>
          <w:szCs w:val="28"/>
        </w:rPr>
        <w:t>325,9</w:t>
      </w:r>
      <w:r>
        <w:rPr>
          <w:sz w:val="28"/>
          <w:szCs w:val="28"/>
        </w:rPr>
        <w:t> млрд гривень.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січні </w:t>
      </w:r>
      <w:r>
        <w:rPr>
          <w:sz w:val="28"/>
        </w:rPr>
        <w:t>–</w:t>
      </w:r>
      <w:r>
        <w:rPr>
          <w:sz w:val="28"/>
          <w:szCs w:val="28"/>
        </w:rPr>
        <w:t> квітні 202</w:t>
      </w:r>
      <w:r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року </w:t>
      </w:r>
      <w:r>
        <w:rPr>
          <w:b w:val="1"/>
          <w:i w:val="1"/>
          <w:bCs w:val="1"/>
          <w:iCs w:val="1"/>
          <w:sz w:val="28"/>
          <w:szCs w:val="28"/>
        </w:rPr>
        <w:t xml:space="preserve">погашення </w:t>
      </w:r>
      <w:r>
        <w:rPr>
          <w:bCs w:val="1"/>
          <w:iCs w:val="1"/>
          <w:sz w:val="28"/>
          <w:szCs w:val="28"/>
        </w:rPr>
        <w:t>основної суми боргу</w:t>
      </w:r>
      <w:r>
        <w:rPr>
          <w:b w:val="1"/>
          <w:i w:val="1"/>
          <w:bCs w:val="1"/>
          <w:iCs w:val="1"/>
          <w:sz w:val="28"/>
          <w:szCs w:val="28"/>
        </w:rPr>
        <w:t xml:space="preserve"> </w:t>
      </w:r>
      <w:r>
        <w:rPr>
          <w:bCs w:val="1"/>
          <w:iCs w:val="1"/>
          <w:sz w:val="28"/>
          <w:szCs w:val="28"/>
        </w:rPr>
        <w:t>державного бюджету</w:t>
      </w:r>
      <w:r>
        <w:rPr>
          <w:sz w:val="28"/>
          <w:szCs w:val="28"/>
        </w:rPr>
        <w:t xml:space="preserve"> становило </w:t>
      </w:r>
      <w:r>
        <w:rPr>
          <w:b w:val="1"/>
          <w:sz w:val="28"/>
          <w:szCs w:val="28"/>
        </w:rPr>
        <w:t>225,2</w:t>
      </w:r>
      <w:r>
        <w:rPr>
          <w:b w:val="1"/>
          <w:bCs w:val="1"/>
          <w:sz w:val="28"/>
          <w:szCs w:val="28"/>
        </w:rPr>
        <w:t> </w:t>
      </w:r>
      <w:r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 w:val="1"/>
          <w:sz w:val="28"/>
          <w:szCs w:val="28"/>
          <w:lang w:val="en-US"/>
        </w:rPr>
        <w:t>1</w:t>
      </w:r>
      <w:r>
        <w:rPr>
          <w:b w:val="1"/>
          <w:sz w:val="28"/>
          <w:szCs w:val="28"/>
        </w:rPr>
        <w:t>88,7</w:t>
      </w:r>
      <w:r>
        <w:rPr>
          <w:b w:val="1"/>
          <w:bCs w:val="1"/>
          <w:sz w:val="28"/>
          <w:szCs w:val="28"/>
        </w:rPr>
        <w:t> </w:t>
      </w:r>
      <w:r>
        <w:rPr>
          <w:sz w:val="28"/>
          <w:szCs w:val="28"/>
        </w:rPr>
        <w:t xml:space="preserve">млрд грн, зовнішнього боргу – </w:t>
      </w:r>
      <w:r>
        <w:rPr>
          <w:b w:val="1"/>
          <w:sz w:val="28"/>
          <w:szCs w:val="28"/>
          <w:lang w:val="en-US"/>
        </w:rPr>
        <w:t>3</w:t>
      </w:r>
      <w:r>
        <w:rPr>
          <w:b w:val="1"/>
          <w:sz w:val="28"/>
          <w:szCs w:val="28"/>
        </w:rPr>
        <w:t>6,4</w:t>
      </w:r>
      <w:r>
        <w:rPr>
          <w:sz w:val="28"/>
          <w:szCs w:val="28"/>
        </w:rPr>
        <w:t> млрд гривень.</w:t>
      </w:r>
    </w:p>
    <w:p>
      <w:pPr>
        <w:spacing w:after="60"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Державні</w:t>
      </w:r>
      <w:r>
        <w:rPr>
          <w:b w:val="1"/>
          <w:i w:val="1"/>
          <w:sz w:val="28"/>
          <w:szCs w:val="28"/>
        </w:rPr>
        <w:t xml:space="preserve"> запозичення </w:t>
      </w:r>
      <w:r>
        <w:rPr>
          <w:sz w:val="28"/>
          <w:szCs w:val="28"/>
        </w:rPr>
        <w:t>за січень </w:t>
      </w:r>
      <w:r>
        <w:rPr>
          <w:sz w:val="28"/>
        </w:rPr>
        <w:t>–</w:t>
      </w:r>
      <w:r>
        <w:rPr>
          <w:sz w:val="28"/>
          <w:szCs w:val="28"/>
        </w:rPr>
        <w:t> квітень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 року до державного бюджету</w:t>
      </w:r>
      <w:r>
        <w:rPr>
          <w:b w:val="1"/>
          <w:i w:val="1"/>
          <w:sz w:val="28"/>
          <w:szCs w:val="28"/>
        </w:rPr>
        <w:t xml:space="preserve"> </w:t>
      </w:r>
      <w:r>
        <w:rPr>
          <w:sz w:val="28"/>
          <w:szCs w:val="28"/>
        </w:rPr>
        <w:t>були здійснені в обсязі</w:t>
      </w:r>
      <w:r>
        <w:rPr>
          <w:b w:val="1"/>
          <w:i w:val="1"/>
          <w:sz w:val="28"/>
          <w:szCs w:val="28"/>
        </w:rPr>
        <w:t xml:space="preserve"> </w:t>
      </w:r>
      <w:r>
        <w:rPr>
          <w:b w:val="1"/>
          <w:sz w:val="28"/>
          <w:szCs w:val="28"/>
        </w:rPr>
        <w:t>605,4</w:t>
      </w:r>
      <w:r>
        <w:rPr>
          <w:sz w:val="28"/>
          <w:szCs w:val="28"/>
        </w:rPr>
        <w:t> млрд грн, у структурі яких:</w:t>
      </w:r>
    </w:p>
    <w:p>
      <w:pPr>
        <w:numPr>
          <w:ilvl w:val="0"/>
          <w:numId w:val="6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>
        <w:rPr>
          <w:b w:val="1"/>
          <w:sz w:val="28"/>
          <w:szCs w:val="28"/>
        </w:rPr>
        <w:t>154</w:t>
      </w:r>
      <w:r>
        <w:rPr>
          <w:sz w:val="28"/>
          <w:szCs w:val="28"/>
        </w:rPr>
        <w:t> млрд гривень.</w:t>
      </w:r>
    </w:p>
    <w:p>
      <w:pPr>
        <w:tabs>
          <w:tab w:val="left" w:pos="0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 w:val="1"/>
          <w:sz w:val="28"/>
          <w:szCs w:val="28"/>
        </w:rPr>
        <w:t>77,3 </w:t>
      </w:r>
      <w:r>
        <w:rPr>
          <w:sz w:val="28"/>
          <w:szCs w:val="28"/>
        </w:rPr>
        <w:t>млрд гривень.</w:t>
      </w:r>
    </w:p>
    <w:p>
      <w:pPr>
        <w:numPr>
          <w:ilvl w:val="0"/>
          <w:numId w:val="6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b w:val="1"/>
          <w:sz w:val="28"/>
          <w:szCs w:val="28"/>
        </w:rPr>
        <w:t>450 </w:t>
      </w:r>
      <w:r>
        <w:rPr>
          <w:sz w:val="28"/>
          <w:szCs w:val="28"/>
        </w:rPr>
        <w:t>млрд грн, зокрема: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221</w:t>
      </w:r>
      <w:r>
        <w:rPr>
          <w:sz w:val="28"/>
          <w:szCs w:val="28"/>
        </w:rPr>
        <w:t> млрд грн (</w:t>
      </w:r>
      <w:r>
        <w:rPr>
          <w:b w:val="1"/>
          <w:sz w:val="28"/>
          <w:szCs w:val="28"/>
        </w:rPr>
        <w:t>5</w:t>
      </w:r>
      <w:r>
        <w:rPr>
          <w:sz w:val="28"/>
          <w:szCs w:val="28"/>
        </w:rPr>
        <w:t> млрд євро) надходження коштів позики ЄС в рамках Виняткової макрофінансової допомоги (в рамках механізму ULCM);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 xml:space="preserve">138,3 </w:t>
      </w:r>
      <w:r>
        <w:rPr>
          <w:sz w:val="28"/>
          <w:szCs w:val="28"/>
        </w:rPr>
        <w:t>млрд грн (</w:t>
      </w:r>
      <w:r>
        <w:rPr>
          <w:b w:val="1"/>
          <w:sz w:val="28"/>
          <w:szCs w:val="28"/>
        </w:rPr>
        <w:t>3,1</w:t>
      </w:r>
      <w:r>
        <w:rPr>
          <w:sz w:val="28"/>
          <w:szCs w:val="28"/>
        </w:rPr>
        <w:t xml:space="preserve"> млрд євро) надходження коштів позики ЄС в рамках пільгової довгострокової позики </w:t>
      </w:r>
      <w:r>
        <w:rPr>
          <w:sz w:val="28"/>
          <w:szCs w:val="28"/>
          <w:lang w:val="en-US"/>
        </w:rPr>
        <w:t>Ukraine Facility</w:t>
      </w:r>
      <w:r>
        <w:rPr>
          <w:sz w:val="28"/>
          <w:szCs w:val="28"/>
        </w:rPr>
        <w:t>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72 </w:t>
      </w:r>
      <w:r>
        <w:rPr>
          <w:sz w:val="28"/>
          <w:szCs w:val="28"/>
        </w:rPr>
        <w:t>млрд грн (</w:t>
      </w:r>
      <w:r>
        <w:rPr>
          <w:b w:val="1"/>
          <w:sz w:val="28"/>
          <w:szCs w:val="28"/>
        </w:rPr>
        <w:t>1,3</w:t>
      </w:r>
      <w:r>
        <w:rPr>
          <w:sz w:val="28"/>
          <w:szCs w:val="28"/>
        </w:rPr>
        <w:t> млрд СПЗ) надходження коштів позики від Уряду Канади (в рамках механізму ULCM);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16,5 </w:t>
      </w:r>
      <w:r>
        <w:rPr>
          <w:sz w:val="28"/>
          <w:szCs w:val="28"/>
        </w:rPr>
        <w:t>млрд грн (</w:t>
      </w:r>
      <w:r>
        <w:rPr>
          <w:b w:val="1"/>
          <w:sz w:val="28"/>
          <w:szCs w:val="28"/>
        </w:rPr>
        <w:t>300,5</w:t>
      </w:r>
      <w:r>
        <w:rPr>
          <w:sz w:val="28"/>
          <w:szCs w:val="28"/>
        </w:rPr>
        <w:t> млн СПЗ) надходження коштів МВФ;</w:t>
      </w:r>
    </w:p>
    <w:p>
      <w:pPr>
        <w:pStyle w:val="P12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b w:val="1"/>
          <w:sz w:val="28"/>
          <w:szCs w:val="28"/>
        </w:rPr>
        <w:t>2,1 </w:t>
      </w:r>
      <w:r>
        <w:rPr>
          <w:sz w:val="28"/>
          <w:szCs w:val="28"/>
        </w:rPr>
        <w:t>млрд грн</w:t>
      </w:r>
      <w:r>
        <w:rPr>
          <w:b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 w:val="1"/>
          <w:sz w:val="28"/>
          <w:szCs w:val="28"/>
        </w:rPr>
        <w:t>50 </w:t>
      </w:r>
      <w:r>
        <w:rPr>
          <w:sz w:val="28"/>
          <w:szCs w:val="28"/>
        </w:rPr>
        <w:t>млн дол. США) надходження коштів позики МБРР в рамках проекту «Трансформація охорони здоров’я шляхом реформи та інвестицій в ефективність» (THRIVE).</w:t>
      </w:r>
    </w:p>
    <w:p>
      <w:pPr>
        <w:numPr>
          <w:ilvl w:val="0"/>
          <w:numId w:val="6"/>
        </w:numPr>
        <w:tabs>
          <w:tab w:val="left" w:pos="567" w:leader="none"/>
        </w:tabs>
        <w:spacing w:before="60" w:beforeAutospacing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>
        <w:rPr>
          <w:b w:val="1"/>
          <w:sz w:val="28"/>
          <w:szCs w:val="28"/>
        </w:rPr>
        <w:t>1,3 </w:t>
      </w:r>
      <w:r>
        <w:rPr>
          <w:sz w:val="28"/>
          <w:szCs w:val="28"/>
        </w:rPr>
        <w:t>млрд гривень.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b w:val="1"/>
          <w:i w:val="1"/>
          <w:sz w:val="28"/>
          <w:szCs w:val="28"/>
        </w:rPr>
        <w:t xml:space="preserve">приватизації </w:t>
      </w:r>
      <w:r>
        <w:rPr>
          <w:sz w:val="28"/>
          <w:szCs w:val="28"/>
        </w:rPr>
        <w:t>державного майна за січень </w:t>
      </w:r>
      <w:r>
        <w:rPr>
          <w:sz w:val="28"/>
        </w:rPr>
        <w:t>–</w:t>
      </w:r>
      <w:r>
        <w:rPr>
          <w:sz w:val="28"/>
          <w:szCs w:val="28"/>
        </w:rPr>
        <w:t> квітень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 року до державного бюджету надійшло </w:t>
      </w:r>
      <w:r>
        <w:rPr>
          <w:b w:val="1"/>
          <w:sz w:val="28"/>
          <w:szCs w:val="28"/>
          <w:lang w:val="ru-RU"/>
        </w:rPr>
        <w:t>0,5</w:t>
      </w:r>
      <w:r>
        <w:rPr>
          <w:b w:val="1"/>
          <w:sz w:val="28"/>
          <w:szCs w:val="28"/>
        </w:rPr>
        <w:t> </w:t>
      </w:r>
      <w:r>
        <w:rPr>
          <w:sz w:val="28"/>
          <w:szCs w:val="28"/>
        </w:rPr>
        <w:t>млрд гривень.</w:t>
      </w:r>
    </w:p>
    <w:p>
      <w:pPr>
        <w:spacing w:after="60" w:beforeAutospacing="0" w:afterAutospacing="0"/>
        <w:jc w:val="both"/>
        <w:rPr>
          <w:sz w:val="28"/>
          <w:szCs w:val="28"/>
        </w:rPr>
      </w:pPr>
    </w:p>
    <w:sectPr>
      <w:headerReference xmlns:r="http://schemas.openxmlformats.org/officeDocument/2006/relationships" w:type="even" r:id="RelHdr1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footnotePr/>
      <w:endnotePr/>
      <w:type w:val="nextPage"/>
      <w:pgSz w:w="11906" w:h="16838" w:code="0"/>
      <w:pgMar w:left="1418" w:right="851" w:top="851" w:bottom="851" w:header="340" w:footer="0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7"/>
      <w:jc w:val="right"/>
      <w:rPr>
        <w:sz w:val="22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  <w:framePr w:wrap="around" w:vAnchor="text" w:hAnchor="margin" w:x="0" w:xAlign="right" w:y="1"/>
      <w:rPr>
        <w:rStyle w:val="C5"/>
      </w:rPr>
    </w:pPr>
    <w:r>
      <w:rPr>
        <w:rStyle w:val="C5"/>
      </w:rP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7"/>
      <w:ind w:right="36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  <w:framePr w:wrap="around" w:vAnchor="text" w:hAnchor="margin" w:x="0" w:xAlign="center" w:y="1"/>
      <w:rPr>
        <w:rStyle w:val="C5"/>
      </w:rPr>
    </w:pPr>
    <w:r>
      <w:rPr>
        <w:rStyle w:val="C5"/>
      </w:rPr>
      <w:fldChar w:fldCharType="begin"/>
    </w:r>
    <w:r>
      <w:rPr>
        <w:rStyle w:val="C5"/>
      </w:rPr>
      <w:instrText xml:space="preserve">PAGE  </w:instrText>
    </w:r>
    <w:r>
      <w:rPr>
        <w:rStyle w:val="C5"/>
      </w:rPr>
      <w:fldChar w:fldCharType="separate"/>
    </w:r>
    <w:r>
      <w:rPr>
        <w:rStyle w:val="C5"/>
      </w:rPr>
      <w:t>#</w:t>
    </w:r>
    <w:r>
      <w:rPr>
        <w:rStyle w:val="C5"/>
      </w:rPr>
      <w:fldChar w:fldCharType="end"/>
    </w:r>
  </w:p>
  <w:p>
    <w:pPr>
      <w:pStyle w:val="P5"/>
      <w:ind w:right="360"/>
    </w:pPr>
  </w:p>
</w:hdr>
</file>

<file path=word/numbering.xml><?xml version="1.0" encoding="utf-8"?>
<w:numbering xmlns:w="http://schemas.openxmlformats.org/wordprocessingml/2006/main">
  <w:abstractNum w:abstractNumId="0">
    <w:nsid w:val="00655D3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2134070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nsid w:val="029125DF"/>
    <w:multiLevelType w:val="hybridMultilevel"/>
    <w:lvl w:ilvl="0" w:tplc="390A8EAC">
      <w:start w:val="1"/>
      <w:numFmt w:val="bullet"/>
      <w:suff w:val="tab"/>
      <w:lvlText w:val="-"/>
      <w:lvlJc w:val="left"/>
      <w:pPr>
        <w:ind w:hanging="360" w:left="720"/>
      </w:pPr>
      <w:rPr>
        <w:rFonts w:ascii="Courier New" w:hAnsi="Courier New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44442BC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4">
    <w:nsid w:val="066035CA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078077FD"/>
    <w:multiLevelType w:val="hybridMultilevel"/>
    <w:lvl w:ilvl="0" w:tplc="E9422938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07C54A35"/>
    <w:multiLevelType w:val="hybridMultilevel"/>
    <w:lvl w:ilvl="0" w:tplc="0422000D">
      <w:start w:val="1"/>
      <w:numFmt w:val="bullet"/>
      <w:suff w:val="tab"/>
      <w:lvlText w:val=""/>
      <w:lvlJc w:val="left"/>
      <w:pPr>
        <w:ind w:hanging="360" w:left="1004"/>
      </w:pPr>
      <w:rPr>
        <w:rFonts w:ascii="Wingdings" w:hAnsi="Wingdings"/>
      </w:rPr>
    </w:lvl>
    <w:lvl w:ilvl="1" w:tplc="0422000D">
      <w:start w:val="1"/>
      <w:numFmt w:val="bullet"/>
      <w:suff w:val="tab"/>
      <w:lvlText w:val=""/>
      <w:lvlJc w:val="left"/>
      <w:pPr>
        <w:ind w:hanging="360" w:left="1724"/>
      </w:pPr>
      <w:rPr>
        <w:rFonts w:ascii="Wingdings" w:hAnsi="Wingdings"/>
      </w:rPr>
    </w:lvl>
    <w:lvl w:ilvl="2" w:tplc="04220005">
      <w:start w:val="1"/>
      <w:numFmt w:val="bullet"/>
      <w:suff w:val="tab"/>
      <w:lvlText w:val=""/>
      <w:lvlJc w:val="left"/>
      <w:pPr>
        <w:ind w:hanging="360" w:left="2444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164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84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04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24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044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7">
    <w:nsid w:val="0B3D5A1D"/>
    <w:multiLevelType w:val="hybridMultilevel"/>
    <w:lvl w:ilvl="0" w:tplc="61D6D6FC">
      <w:start w:val="1"/>
      <w:numFmt w:val="bullet"/>
      <w:suff w:val="tab"/>
      <w:lvlText w:val=""/>
      <w:lvlJc w:val="left"/>
      <w:pPr>
        <w:ind w:hanging="360" w:left="1428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22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30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7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44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51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34"/>
      </w:pPr>
      <w:rPr>
        <w:rFonts w:ascii="Wingdings" w:hAnsi="Wingdings"/>
      </w:rPr>
    </w:lvl>
  </w:abstractNum>
  <w:abstractNum w:abstractNumId="8">
    <w:nsid w:val="10B2253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1998062E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1AF425D7"/>
    <w:multiLevelType w:val="hybridMultilevel"/>
    <w:lvl w:ilvl="0" w:tplc="04220003">
      <w:start w:val="1"/>
      <w:numFmt w:val="bullet"/>
      <w:suff w:val="tab"/>
      <w:lvlText w:val="o"/>
      <w:lvlJc w:val="left"/>
      <w:pPr>
        <w:ind w:hanging="360" w:left="1350"/>
      </w:pPr>
      <w:rPr>
        <w:rFonts w:ascii="Courier New" w:hAnsi="Courier New"/>
      </w:rPr>
    </w:lvl>
    <w:lvl w:ilvl="1" w:tplc="04220003">
      <w:start w:val="1"/>
      <w:numFmt w:val="bullet"/>
      <w:suff w:val="tab"/>
      <w:lvlText w:val="o"/>
      <w:lvlJc w:val="left"/>
      <w:pPr>
        <w:ind w:hanging="360" w:left="207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9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1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3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5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7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9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11">
    <w:nsid w:val="1EA85CB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86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1ED875D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nsid w:val="1F9F57EA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D5E2F4A0">
      <w:start w:val="1"/>
      <w:numFmt w:val="bullet"/>
      <w:suff w:val="tab"/>
      <w:lvlText w:val=""/>
      <w:lvlJc w:val="left"/>
      <w:pPr>
        <w:ind w:hanging="360" w:left="1793"/>
      </w:pPr>
      <w:rPr>
        <w:rFonts w:ascii="Wingdings" w:hAnsi="Wingdings"/>
        <w:sz w:val="20"/>
        <w:szCs w:val="20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14">
    <w:nsid w:val="2730244A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282603A3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16">
    <w:nsid w:val="2B9B245A"/>
    <w:multiLevelType w:val="hybridMultilevel"/>
    <w:lvl w:ilvl="0" w:tplc="0409000D">
      <w:start w:val="1"/>
      <w:numFmt w:val="bullet"/>
      <w:suff w:val="tab"/>
      <w:lvlText w:val=""/>
      <w:lvlJc w:val="left"/>
      <w:pPr>
        <w:ind w:hanging="360" w:left="928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794"/>
      </w:pPr>
      <w:rPr>
        <w:rFonts w:ascii="Courier New" w:hAnsi="Courier New"/>
      </w:rPr>
    </w:lvl>
    <w:lvl w:ilvl="2" w:tplc="04190003">
      <w:start w:val="1"/>
      <w:numFmt w:val="bullet"/>
      <w:suff w:val="tab"/>
      <w:lvlText w:val="o"/>
      <w:lvlJc w:val="left"/>
      <w:pPr>
        <w:ind w:hanging="360" w:left="2514"/>
      </w:pPr>
      <w:rPr>
        <w:rFonts w:ascii="Courier New" w:hAnsi="Courier New"/>
      </w:rPr>
    </w:lvl>
    <w:lvl w:ilvl="3" w:tplc="B94AC152">
      <w:start w:val="1"/>
      <w:numFmt w:val="bullet"/>
      <w:suff w:val="tab"/>
      <w:lvlText w:val="o"/>
      <w:lvlJc w:val="left"/>
      <w:pPr>
        <w:ind w:hanging="360" w:left="3234"/>
      </w:pPr>
      <w:rPr>
        <w:rFonts w:ascii="Courier New" w:hAnsi="Courier New"/>
        <w:sz w:val="28"/>
        <w:szCs w:val="28"/>
      </w:rPr>
    </w:lvl>
    <w:lvl w:ilvl="4" w:tplc="04190001">
      <w:start w:val="1"/>
      <w:numFmt w:val="bullet"/>
      <w:suff w:val="tab"/>
      <w:lvlText w:val=""/>
      <w:lvlJc w:val="left"/>
      <w:pPr>
        <w:ind w:hanging="360" w:left="39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17">
    <w:nsid w:val="2C062969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2C306DC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32BF7FC5"/>
    <w:multiLevelType w:val="hybridMultilevel"/>
    <w:lvl w:ilvl="0" w:tplc="136A0646">
      <w:start w:val="1"/>
      <w:numFmt w:val="bullet"/>
      <w:suff w:val="tab"/>
      <w:lvlText w:val="–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0">
    <w:nsid w:val="36021BEE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1">
    <w:nsid w:val="36145154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22">
    <w:nsid w:val="391939DB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586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306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026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746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466"/>
      </w:pPr>
      <w:rPr>
        <w:rFonts w:ascii="Wingdings" w:hAnsi="Wingdings"/>
      </w:rPr>
    </w:lvl>
    <w:lvl w:ilvl="6" w:tplc="3AB4855E">
      <w:start w:val="1"/>
      <w:numFmt w:val="bullet"/>
      <w:suff w:val="tab"/>
      <w:lvlText w:val="–"/>
      <w:lvlJc w:val="left"/>
      <w:pPr>
        <w:ind w:hanging="360" w:left="5186"/>
      </w:pPr>
      <w:rPr>
        <w:rFonts w:ascii="Times New Roman" w:hAnsi="Times New Roman"/>
      </w:rPr>
    </w:lvl>
    <w:lvl w:ilvl="7" w:tplc="04190003">
      <w:start w:val="1"/>
      <w:numFmt w:val="bullet"/>
      <w:suff w:val="tab"/>
      <w:lvlText w:val="o"/>
      <w:lvlJc w:val="left"/>
      <w:pPr>
        <w:ind w:hanging="360" w:left="590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26"/>
      </w:pPr>
      <w:rPr>
        <w:rFonts w:ascii="Wingdings" w:hAnsi="Wingdings"/>
      </w:rPr>
    </w:lvl>
  </w:abstractNum>
  <w:abstractNum w:abstractNumId="23">
    <w:nsid w:val="3FE15FD5"/>
    <w:multiLevelType w:val="multilevel"/>
    <w:lvl w:ilvl="0">
      <w:start w:val="1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24">
    <w:nsid w:val="42A27081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434A3A51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46C126B7"/>
    <w:multiLevelType w:val="multilevel"/>
    <w:lvl w:ilvl="0">
      <w:start w:val="1"/>
      <w:numFmt w:val="bullet"/>
      <w:suff w:val="tab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7">
    <w:nsid w:val="4CE65181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4CED667F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4F7A4247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538603DF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36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31">
    <w:nsid w:val="58765C98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5D2763CD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1428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2294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3014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734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4454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517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89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61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334"/>
      </w:pPr>
      <w:rPr>
        <w:rFonts w:ascii="Wingdings" w:hAnsi="Wingdings"/>
      </w:rPr>
    </w:lvl>
  </w:abstractNum>
  <w:abstractNum w:abstractNumId="33">
    <w:nsid w:val="5D7F129B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4">
    <w:nsid w:val="60A43E5C"/>
    <w:multiLevelType w:val="hybridMultilevel"/>
    <w:lvl w:ilvl="0" w:tplc="0422000D">
      <w:start w:val="1"/>
      <w:numFmt w:val="bullet"/>
      <w:suff w:val="tab"/>
      <w:lvlText w:val=""/>
      <w:lvlJc w:val="left"/>
      <w:pPr>
        <w:ind w:hanging="360" w:left="1571"/>
      </w:pPr>
      <w:rPr>
        <w:rFonts w:ascii="Wingdings" w:hAnsi="Wingdings"/>
      </w:rPr>
    </w:lvl>
    <w:lvl w:ilvl="1" w:tplc="04220003">
      <w:start w:val="1"/>
      <w:numFmt w:val="bullet"/>
      <w:suff w:val="tab"/>
      <w:lvlText w:val="o"/>
      <w:lvlJc w:val="left"/>
      <w:pPr>
        <w:ind w:hanging="360" w:left="2291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3011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731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451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171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891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611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35">
    <w:nsid w:val="632419AA"/>
    <w:multiLevelType w:val="hybridMultilevel"/>
    <w:lvl w:ilvl="0" w:tplc="61D6D6FC">
      <w:start w:val="1"/>
      <w:numFmt w:val="bullet"/>
      <w:suff w:val="tab"/>
      <w:lvlText w:val=""/>
      <w:lvlJc w:val="left"/>
      <w:pPr>
        <w:ind w:hanging="360" w:left="927"/>
      </w:pPr>
      <w:rPr>
        <w:rFonts w:ascii="Wingdings" w:hAnsi="Wingdings"/>
      </w:rPr>
    </w:lvl>
    <w:lvl w:ilvl="1" w:tplc="04220005">
      <w:start w:val="1"/>
      <w:numFmt w:val="bullet"/>
      <w:suff w:val="tab"/>
      <w:lvlText w:val="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36">
    <w:nsid w:val="638938A6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7">
    <w:nsid w:val="64A264C1"/>
    <w:multiLevelType w:val="multilevel"/>
    <w:lvl w:ilvl="0">
      <w:start w:val="4"/>
      <w:numFmt w:val="bullet"/>
      <w:suff w:val="tab"/>
      <w:lvlText w:val="-"/>
      <w:lvlJc w:val="left"/>
      <w:pPr>
        <w:ind w:hanging="360" w:left="928"/>
      </w:pPr>
      <w:rPr>
        <w:rFonts w:ascii="Times New Roman" w:hAnsi="Times New Roman"/>
      </w:rPr>
    </w:lvl>
    <w:lvl w:ilvl="1">
      <w:start w:val="1"/>
      <w:numFmt w:val="bullet"/>
      <w:suff w:val="tab"/>
      <w:lvlText w:val="o"/>
      <w:lvlJc w:val="left"/>
      <w:pPr>
        <w:ind w:hanging="360" w:left="164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36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08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80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52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24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96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688"/>
      </w:pPr>
      <w:rPr>
        <w:rFonts w:ascii="Wingdings" w:hAnsi="Wingdings"/>
      </w:rPr>
    </w:lvl>
  </w:abstractNum>
  <w:abstractNum w:abstractNumId="38">
    <w:nsid w:val="66227F36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9">
    <w:nsid w:val="67421BB1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5">
      <w:start w:val="1"/>
      <w:numFmt w:val="bullet"/>
      <w:suff w:val="tab"/>
      <w:lvlText w:val=""/>
      <w:lvlJc w:val="left"/>
      <w:pPr>
        <w:ind w:hanging="360" w:left="1586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306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026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746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46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8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90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626"/>
      </w:pPr>
      <w:rPr>
        <w:rFonts w:ascii="Wingdings" w:hAnsi="Wingdings"/>
      </w:rPr>
    </w:lvl>
  </w:abstractNum>
  <w:abstractNum w:abstractNumId="40">
    <w:nsid w:val="6A592AB1"/>
    <w:multiLevelType w:val="hybridMultilevel"/>
    <w:lvl w:ilvl="0" w:tplc="E9422938">
      <w:start w:val="1"/>
      <w:numFmt w:val="bullet"/>
      <w:suff w:val="tab"/>
      <w:lvlText w:val=""/>
      <w:lvlJc w:val="left"/>
      <w:pPr>
        <w:ind w:hanging="360" w:left="644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364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084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04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524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244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4964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684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04"/>
      </w:pPr>
      <w:rPr>
        <w:rFonts w:ascii="Wingdings" w:hAnsi="Wingdings"/>
      </w:rPr>
    </w:lvl>
  </w:abstractNum>
  <w:abstractNum w:abstractNumId="41">
    <w:nsid w:val="6ADF29B2"/>
    <w:multiLevelType w:val="hybridMultilevel"/>
    <w:lvl w:ilvl="0" w:tplc="61D6D6FC">
      <w:start w:val="1"/>
      <w:numFmt w:val="bullet"/>
      <w:suff w:val="tab"/>
      <w:lvlText w:val="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42">
    <w:nsid w:val="6E1857B0"/>
    <w:multiLevelType w:val="multilevel"/>
    <w:lvl w:ilvl="0">
      <w:start w:val="1"/>
      <w:numFmt w:val="bullet"/>
      <w:suff w:val="tab"/>
      <w:lvlText w:val=""/>
      <w:lvlJc w:val="left"/>
      <w:pPr>
        <w:ind w:hanging="360" w:left="1074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hanging="360" w:left="1794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514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234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954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674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394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6114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834"/>
      </w:pPr>
      <w:rPr>
        <w:rFonts w:ascii="Wingdings" w:hAnsi="Wingdings"/>
      </w:rPr>
    </w:lvl>
  </w:abstractNum>
  <w:abstractNum w:abstractNumId="43">
    <w:nsid w:val="6F5027B2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4">
    <w:nsid w:val="6F9907AB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6B6ECE02">
      <w:start w:val="4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5">
    <w:nsid w:val="705250FF"/>
    <w:multiLevelType w:val="hybridMultilevel"/>
    <w:lvl w:ilvl="0" w:tplc="6B6ECE02">
      <w:start w:val="4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6">
    <w:nsid w:val="75657EB6"/>
    <w:multiLevelType w:val="hybridMultilevel"/>
    <w:lvl w:ilvl="0" w:tplc="0422000B">
      <w:start w:val="1"/>
      <w:numFmt w:val="bullet"/>
      <w:suff w:val="tab"/>
      <w:lvlText w:val=""/>
      <w:lvlJc w:val="left"/>
      <w:pPr>
        <w:ind w:hanging="360" w:left="927"/>
      </w:pPr>
      <w:rPr>
        <w:rFonts w:ascii="Wingdings" w:hAnsi="Wingdings"/>
      </w:rPr>
    </w:lvl>
    <w:lvl w:ilvl="1" w:tplc="61D6D6FC">
      <w:start w:val="1"/>
      <w:numFmt w:val="bullet"/>
      <w:suff w:val="tab"/>
      <w:lvlText w:val=""/>
      <w:lvlJc w:val="left"/>
      <w:pPr>
        <w:ind w:hanging="360" w:left="1793"/>
      </w:pPr>
      <w:rPr>
        <w:rFonts w:ascii="Wingdings" w:hAnsi="Wingdings"/>
      </w:rPr>
    </w:lvl>
    <w:lvl w:ilvl="2" w:tplc="04190003">
      <w:start w:val="1"/>
      <w:numFmt w:val="bullet"/>
      <w:suff w:val="tab"/>
      <w:lvlText w:val="o"/>
      <w:lvlJc w:val="left"/>
      <w:pPr>
        <w:ind w:hanging="360" w:left="2513"/>
      </w:pPr>
      <w:rPr>
        <w:rFonts w:ascii="Courier New" w:hAnsi="Courier New"/>
      </w:rPr>
    </w:lvl>
    <w:lvl w:ilvl="3" w:tplc="04190001">
      <w:start w:val="1"/>
      <w:numFmt w:val="bullet"/>
      <w:suff w:val="tab"/>
      <w:lvlText w:val=""/>
      <w:lvlJc w:val="left"/>
      <w:pPr>
        <w:ind w:hanging="360" w:left="3233"/>
      </w:pPr>
      <w:rPr>
        <w:rFonts w:ascii="Symbol" w:hAnsi="Symbol"/>
      </w:rPr>
    </w:lvl>
    <w:lvl w:ilvl="4" w:tplc="04190001">
      <w:start w:val="1"/>
      <w:numFmt w:val="bullet"/>
      <w:suff w:val="tab"/>
      <w:lvlText w:val=""/>
      <w:lvlJc w:val="left"/>
      <w:pPr>
        <w:ind w:hanging="360" w:left="3953"/>
      </w:pPr>
      <w:rPr>
        <w:rFonts w:ascii="Symbol" w:hAnsi="Symbol"/>
      </w:rPr>
    </w:lvl>
    <w:lvl w:ilvl="5" w:tplc="04190005">
      <w:start w:val="1"/>
      <w:numFmt w:val="bullet"/>
      <w:suff w:val="tab"/>
      <w:lvlText w:val=""/>
      <w:lvlJc w:val="left"/>
      <w:pPr>
        <w:ind w:hanging="360" w:left="467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9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1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33"/>
      </w:pPr>
      <w:rPr>
        <w:rFonts w:ascii="Wingdings" w:hAnsi="Wingdings"/>
      </w:rPr>
    </w:lvl>
  </w:abstractNum>
  <w:abstractNum w:abstractNumId="47">
    <w:nsid w:val="7D2D7DD9"/>
    <w:multiLevelType w:val="multilevel"/>
    <w:lvl w:ilvl="0">
      <w:start w:val="1"/>
      <w:numFmt w:val="bullet"/>
      <w:suff w:val="tab"/>
      <w:lvlText w:val="–"/>
      <w:lvlJc w:val="left"/>
      <w:pPr>
        <w:ind w:hanging="360" w:left="928"/>
      </w:pPr>
      <w:rPr>
        <w:rFonts w:ascii="Arial" w:hAnsi="Arial"/>
      </w:rPr>
    </w:lvl>
    <w:lvl w:ilvl="1">
      <w:start w:val="1"/>
      <w:numFmt w:val="bullet"/>
      <w:suff w:val="tab"/>
      <w:lvlText w:val="o"/>
      <w:lvlJc w:val="left"/>
      <w:pPr>
        <w:ind w:hanging="360" w:left="1648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368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3088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808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528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248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968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688"/>
      </w:pPr>
      <w:rPr>
        <w:rFonts w:ascii="Wingdings" w:hAnsi="Wingdings"/>
      </w:rPr>
    </w:lvl>
  </w:abstractNum>
  <w:num w:numId="1">
    <w:abstractNumId w:val="23"/>
  </w:num>
  <w:num w:numId="2">
    <w:abstractNumId w:val="47"/>
  </w:num>
  <w:num w:numId="3">
    <w:abstractNumId w:val="26"/>
  </w:num>
  <w:num w:numId="4">
    <w:abstractNumId w:val="42"/>
  </w:num>
  <w:num w:numId="5">
    <w:abstractNumId w:val="22"/>
  </w:num>
  <w:num w:numId="6">
    <w:abstractNumId w:val="16"/>
  </w:num>
  <w:num w:numId="7">
    <w:abstractNumId w:val="14"/>
  </w:num>
  <w:num w:numId="8">
    <w:abstractNumId w:val="33"/>
  </w:num>
  <w:num w:numId="9">
    <w:abstractNumId w:val="6"/>
  </w:num>
  <w:num w:numId="10">
    <w:abstractNumId w:val="34"/>
  </w:num>
  <w:num w:numId="11">
    <w:abstractNumId w:val="8"/>
  </w:num>
  <w:num w:numId="12">
    <w:abstractNumId w:val="35"/>
  </w:num>
  <w:num w:numId="13">
    <w:abstractNumId w:val="41"/>
  </w:num>
  <w:num w:numId="14">
    <w:abstractNumId w:val="4"/>
  </w:num>
  <w:num w:numId="15">
    <w:abstractNumId w:val="3"/>
  </w:num>
  <w:num w:numId="16">
    <w:abstractNumId w:val="13"/>
  </w:num>
  <w:num w:numId="17">
    <w:abstractNumId w:val="37"/>
  </w:num>
  <w:num w:numId="18">
    <w:abstractNumId w:val="46"/>
  </w:num>
  <w:num w:numId="19">
    <w:abstractNumId w:val="28"/>
  </w:num>
  <w:num w:numId="20">
    <w:abstractNumId w:val="15"/>
  </w:num>
  <w:num w:numId="21">
    <w:abstractNumId w:val="27"/>
  </w:num>
  <w:num w:numId="22">
    <w:abstractNumId w:val="44"/>
  </w:num>
  <w:num w:numId="23">
    <w:abstractNumId w:val="21"/>
  </w:num>
  <w:num w:numId="24">
    <w:abstractNumId w:val="5"/>
  </w:num>
  <w:num w:numId="25">
    <w:abstractNumId w:val="43"/>
  </w:num>
  <w:num w:numId="26">
    <w:abstractNumId w:val="18"/>
  </w:num>
  <w:num w:numId="27">
    <w:abstractNumId w:val="39"/>
  </w:num>
  <w:num w:numId="28">
    <w:abstractNumId w:val="30"/>
  </w:num>
  <w:num w:numId="29">
    <w:abstractNumId w:val="29"/>
  </w:num>
  <w:num w:numId="30">
    <w:abstractNumId w:val="32"/>
  </w:num>
  <w:num w:numId="31">
    <w:abstractNumId w:val="7"/>
  </w:num>
  <w:num w:numId="32">
    <w:abstractNumId w:val="2"/>
  </w:num>
  <w:num w:numId="33">
    <w:abstractNumId w:val="11"/>
  </w:num>
  <w:num w:numId="34">
    <w:abstractNumId w:val="17"/>
  </w:num>
  <w:num w:numId="35">
    <w:abstractNumId w:val="45"/>
  </w:num>
  <w:num w:numId="36">
    <w:abstractNumId w:val="0"/>
  </w:num>
  <w:num w:numId="37">
    <w:abstractNumId w:val="36"/>
  </w:num>
  <w:num w:numId="38">
    <w:abstractNumId w:val="31"/>
  </w:num>
  <w:num w:numId="39">
    <w:abstractNumId w:val="12"/>
  </w:num>
  <w:num w:numId="40">
    <w:abstractNumId w:val="10"/>
  </w:num>
  <w:num w:numId="41">
    <w:abstractNumId w:val="24"/>
  </w:num>
  <w:num w:numId="42">
    <w:abstractNumId w:val="40"/>
  </w:num>
  <w:num w:numId="43">
    <w:abstractNumId w:val="38"/>
  </w:num>
  <w:num w:numId="44">
    <w:abstractNumId w:val="9"/>
  </w:num>
  <w:num w:numId="45">
    <w:abstractNumId w:val="20"/>
  </w:num>
  <w:num w:numId="46">
    <w:abstractNumId w:val="25"/>
  </w:num>
  <w:num w:numId="47">
    <w:abstractNumId w:val="19"/>
  </w:num>
  <w:num w:numId="48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val="uk-UA"/>
    </w:rPr>
  </w:style>
  <w:style w:type="paragraph" w:styleId="P1">
    <w:name w:val="heading 3"/>
    <w:basedOn w:val="P0"/>
    <w:next w:val="P0"/>
    <w:link w:val="C15"/>
    <w:semiHidden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P2">
    <w:name w:val="Balloon Text"/>
    <w:basedOn w:val="P0"/>
    <w:link w:val="C8"/>
    <w:pPr/>
    <w:rPr>
      <w:rFonts w:ascii="Tahoma" w:hAnsi="Tahoma"/>
      <w:sz w:val="16"/>
      <w:szCs w:val="16"/>
    </w:rPr>
  </w:style>
  <w:style w:type="paragraph" w:styleId="P3">
    <w:name w:val="endnote text"/>
    <w:basedOn w:val="P0"/>
    <w:link w:val="C11"/>
    <w:pPr/>
    <w:rPr/>
  </w:style>
  <w:style w:type="paragraph" w:styleId="P4">
    <w:name w:val="footnote text"/>
    <w:basedOn w:val="P0"/>
    <w:link w:val="C12"/>
    <w:pPr/>
    <w:rPr/>
  </w:style>
  <w:style w:type="paragraph" w:styleId="P5">
    <w:name w:val="header"/>
    <w:basedOn w:val="P0"/>
    <w:pPr>
      <w:tabs>
        <w:tab w:val="center" w:pos="4153" w:leader="none"/>
        <w:tab w:val="right" w:pos="8306" w:leader="none"/>
      </w:tabs>
    </w:pPr>
    <w:rPr/>
  </w:style>
  <w:style w:type="paragraph" w:styleId="P6">
    <w:name w:val="Body Text"/>
    <w:basedOn w:val="P0"/>
    <w:link w:val="C7"/>
    <w:pPr>
      <w:jc w:val="both"/>
    </w:pPr>
    <w:rPr>
      <w:sz w:val="24"/>
    </w:rPr>
  </w:style>
  <w:style w:type="paragraph" w:styleId="P7">
    <w:name w:val="footer"/>
    <w:basedOn w:val="P0"/>
    <w:link w:val="C14"/>
    <w:pPr>
      <w:tabs>
        <w:tab w:val="center" w:pos="4677" w:leader="none"/>
        <w:tab w:val="right" w:pos="9355" w:leader="none"/>
      </w:tabs>
    </w:pPr>
    <w:rPr/>
  </w:style>
  <w:style w:type="paragraph" w:styleId="P8">
    <w:name w:val="Body Text 3"/>
    <w:basedOn w:val="P0"/>
    <w:link w:val="C10"/>
    <w:pPr>
      <w:jc w:val="both"/>
    </w:pPr>
    <w:rPr>
      <w:sz w:val="28"/>
    </w:rPr>
  </w:style>
  <w:style w:type="paragraph" w:styleId="P9">
    <w:name w:val="Body Text Indent 2"/>
    <w:basedOn w:val="P0"/>
    <w:link w:val="C9"/>
    <w:qFormat/>
    <w:pPr>
      <w:ind w:firstLine="709"/>
      <w:jc w:val="both"/>
    </w:pPr>
    <w:rPr>
      <w:sz w:val="28"/>
    </w:rPr>
  </w:style>
  <w:style w:type="paragraph" w:styleId="P10">
    <w:name w:val="Знак Знак Знак Знак 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1">
    <w:name w:val="Абзац списка1"/>
    <w:basedOn w:val="P0"/>
    <w:qFormat/>
    <w:pPr>
      <w:ind w:left="708"/>
    </w:pPr>
    <w:rPr/>
  </w:style>
  <w:style w:type="paragraph" w:styleId="P12">
    <w:name w:val="List Paragraph"/>
    <w:basedOn w:val="P0"/>
    <w:qFormat/>
    <w:pPr>
      <w:ind w:left="720"/>
      <w:contextualSpacing w:val="1"/>
    </w:pPr>
    <w:rPr/>
  </w:style>
  <w:style w:type="paragraph" w:styleId="P13">
    <w:name w:val="Знак 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4">
    <w:name w:val="Normal (Web)"/>
    <w:basedOn w:val="P0"/>
    <w:pPr/>
    <w:rPr>
      <w:sz w:val="24"/>
      <w:szCs w:val="24"/>
      <w:lang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note reference"/>
    <w:basedOn w:val="C0"/>
    <w:rPr>
      <w:vertAlign w:val="superscript"/>
    </w:rPr>
  </w:style>
  <w:style w:type="character" w:styleId="C4">
    <w:name w:val="endnote reference"/>
    <w:basedOn w:val="C0"/>
    <w:rPr>
      <w:vertAlign w:val="superscript"/>
    </w:rPr>
  </w:style>
  <w:style w:type="character" w:styleId="C5">
    <w:name w:val="page number"/>
    <w:basedOn w:val="C0"/>
    <w:rPr/>
  </w:style>
  <w:style w:type="character" w:styleId="C6">
    <w:name w:val="Альвіна Шлапак"/>
    <w:basedOn w:val="C0"/>
    <w:semiHidden/>
    <w:rPr>
      <w:rFonts w:ascii="Arial" w:hAnsi="Arial"/>
      <w:color w:val="auto"/>
      <w:sz w:val="20"/>
      <w:szCs w:val="20"/>
    </w:rPr>
  </w:style>
  <w:style w:type="character" w:styleId="C7">
    <w:name w:val="Основний текст Знак"/>
    <w:basedOn w:val="C0"/>
    <w:link w:val="P6"/>
    <w:rPr>
      <w:sz w:val="24"/>
      <w:lang w:val="uk-UA"/>
    </w:rPr>
  </w:style>
  <w:style w:type="character" w:styleId="C8">
    <w:name w:val="Текст у виносці Знак"/>
    <w:basedOn w:val="C0"/>
    <w:link w:val="P2"/>
    <w:rPr>
      <w:rFonts w:ascii="Tahoma" w:hAnsi="Tahoma"/>
      <w:sz w:val="16"/>
      <w:szCs w:val="16"/>
      <w:lang w:val="uk-UA"/>
    </w:rPr>
  </w:style>
  <w:style w:type="character" w:styleId="C9">
    <w:name w:val="Основний текст з відступом 2 Знак"/>
    <w:basedOn w:val="C0"/>
    <w:link w:val="P9"/>
    <w:rPr>
      <w:sz w:val="28"/>
      <w:lang w:val="uk-UA"/>
    </w:rPr>
  </w:style>
  <w:style w:type="character" w:styleId="C10">
    <w:name w:val="Основний текст 3 Знак"/>
    <w:basedOn w:val="C0"/>
    <w:link w:val="P8"/>
    <w:rPr>
      <w:sz w:val="28"/>
      <w:lang w:val="uk-UA"/>
    </w:rPr>
  </w:style>
  <w:style w:type="character" w:styleId="C11">
    <w:name w:val="Текст кінцевої виноски Знак"/>
    <w:basedOn w:val="C0"/>
    <w:link w:val="P3"/>
    <w:rPr>
      <w:lang w:val="uk-UA"/>
    </w:rPr>
  </w:style>
  <w:style w:type="character" w:styleId="C12">
    <w:name w:val="Текст виноски Знак"/>
    <w:basedOn w:val="C0"/>
    <w:link w:val="P4"/>
    <w:rPr>
      <w:lang w:val="uk-UA"/>
    </w:rPr>
  </w:style>
  <w:style w:type="character" w:styleId="C13">
    <w:name w:val="fontstyle20"/>
    <w:rPr>
      <w:rFonts w:ascii="Times New Roman" w:hAnsi="Times New Roman"/>
    </w:rPr>
  </w:style>
  <w:style w:type="character" w:styleId="C14">
    <w:name w:val="Нижній колонтитул Знак"/>
    <w:basedOn w:val="C0"/>
    <w:link w:val="P7"/>
    <w:rPr>
      <w:lang w:val="uk-UA"/>
    </w:rPr>
  </w:style>
  <w:style w:type="character" w:styleId="C15">
    <w:name w:val="Заголовок 3 Знак"/>
    <w:basedOn w:val="C0"/>
    <w:link w:val="P1"/>
    <w:semiHidden/>
    <w:rPr>
      <w:rFonts w:ascii="Cambria" w:hAnsi="Cambria"/>
      <w:b w:val="1"/>
      <w:bCs w:val="1"/>
      <w:sz w:val="26"/>
      <w:szCs w:val="26"/>
      <w:lang w:val="uk-UA"/>
    </w:rPr>
  </w:style>
  <w:style w:type="character" w:styleId="C16">
    <w:name w:val="rvts44"/>
    <w:basedOn w:val="C0"/>
    <w:rPr/>
  </w:style>
  <w:style w:type="character" w:styleId="C17">
    <w:name w:val="Footnote Text Char"/>
    <w:semiHidden/>
    <w:rPr>
      <w:sz w:val="20"/>
      <w:szCs w:val="20"/>
    </w:rPr>
  </w:style>
  <w:style w:type="character" w:styleId="C18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50ad-7425-464c-8bc5-c2e77b4f8d6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Міністерство фінансів України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Администратор</dc:creator>
  <dcterms:created xsi:type="dcterms:W3CDTF">2025-05-27T12:42:00Z</dcterms:created>
  <cp:lastModifiedBy>tech_user</cp:lastModifiedBy>
  <cp:lastPrinted>2025-05-27T08:07:00Z</cp:lastPrinted>
  <dcterms:modified xsi:type="dcterms:W3CDTF">2025-05-30T10:15:32Z</dcterms:modified>
  <cp:revision>31</cp:revision>
  <dc:title>Інформація про стан виконання</dc:title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