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jc w:val="center"/>
        <w:rPr>
          <w:b w:val="1"/>
          <w:bCs w:val="1"/>
          <w:color w:val="auto"/>
          <w:sz w:val="28"/>
          <w:szCs w:val="28"/>
        </w:rPr>
      </w:pPr>
      <w:r>
        <w:rPr>
          <w:b w:val="1"/>
          <w:bCs w:val="1"/>
          <w:color w:val="auto"/>
          <w:sz w:val="28"/>
          <w:szCs w:val="28"/>
        </w:rPr>
        <w:t>ПОЯСНЮВАЛЬНА ЗАПИСКА</w:t>
      </w:r>
    </w:p>
    <w:p>
      <w:pPr>
        <w:jc w:val="center"/>
        <w:rPr>
          <w:b w:val="1"/>
          <w:bCs w:val="1"/>
          <w:color w:val="auto"/>
          <w:sz w:val="28"/>
          <w:szCs w:val="28"/>
        </w:rPr>
      </w:pPr>
      <w:r>
        <w:rPr>
          <w:b w:val="1"/>
          <w:bCs w:val="1"/>
          <w:color w:val="auto"/>
          <w:sz w:val="28"/>
          <w:szCs w:val="28"/>
        </w:rPr>
        <w:t xml:space="preserve">до проєкту постанови Кабінету Міністрів України </w:t>
        <w:br w:type="textWrapping"/>
        <w:t xml:space="preserve">«Про внесення змін до постанови Кабінету Міністрів України </w:t>
        <w:br w:type="textWrapping"/>
        <w:t>від 28 вересня 2011 р. № 1001»</w:t>
      </w:r>
    </w:p>
    <w:p>
      <w:pPr>
        <w:tabs>
          <w:tab w:val="left" w:pos="1259" w:leader="none"/>
        </w:tabs>
        <w:ind w:firstLine="567"/>
        <w:jc w:val="both"/>
        <w:rPr>
          <w:b w:val="1"/>
          <w:bCs w:val="1"/>
          <w:color w:val="auto"/>
          <w:sz w:val="20"/>
          <w:szCs w:val="20"/>
        </w:rPr>
      </w:pPr>
    </w:p>
    <w:p>
      <w:pPr>
        <w:tabs>
          <w:tab w:val="left" w:pos="1259" w:leader="none"/>
        </w:tabs>
        <w:ind w:firstLine="567"/>
        <w:jc w:val="both"/>
        <w:rPr>
          <w:b w:val="1"/>
          <w:bCs w:val="1"/>
          <w:color w:val="auto"/>
          <w:sz w:val="28"/>
          <w:szCs w:val="28"/>
        </w:rPr>
      </w:pPr>
      <w:r>
        <w:rPr>
          <w:b w:val="1"/>
          <w:bCs w:val="1"/>
          <w:color w:val="auto"/>
          <w:sz w:val="28"/>
          <w:szCs w:val="28"/>
        </w:rPr>
        <w:t>1. Мета</w:t>
      </w:r>
    </w:p>
    <w:p>
      <w:pPr>
        <w:ind w:firstLine="567"/>
        <w:jc w:val="both"/>
        <w:rPr>
          <w:bCs w:val="1"/>
          <w:color w:val="000000"/>
          <w:sz w:val="28"/>
          <w:szCs w:val="28"/>
        </w:rPr>
      </w:pPr>
      <w:r>
        <w:rPr>
          <w:bCs w:val="1"/>
          <w:color w:val="000000"/>
          <w:sz w:val="28"/>
          <w:szCs w:val="28"/>
        </w:rPr>
        <w:t xml:space="preserve">Проєкт постанови Кабінету Міністрів України «Про внесення змін до постанови Кабінету Міністрів України від 28 вересня 2011 р. № 1001» </w:t>
        <w:br w:type="textWrapping"/>
        <w:t xml:space="preserve">(далі – проєкт акта) розроблено з метою </w:t>
      </w:r>
      <w:r>
        <w:rPr>
          <w:color w:val="000000"/>
          <w:sz w:val="28"/>
          <w:szCs w:val="28"/>
        </w:rPr>
        <w:t>приведення у відповідність</w:t>
      </w:r>
      <w:r>
        <w:rPr>
          <w:bCs w:val="1"/>
          <w:color w:val="000000"/>
          <w:sz w:val="28"/>
          <w:szCs w:val="28"/>
        </w:rPr>
        <w:t xml:space="preserve"> постанови Кабінету Міністрів України від 28.09.2011 № 1001 «Деякі питання здійснення внутрішнього аудиту та утворення підрозділів внутрішнього аудиту» </w:t>
        <w:br w:type="textWrapping"/>
        <w:t>(далі – постанова № 1001)</w:t>
      </w:r>
      <w:r>
        <w:rPr>
          <w:color w:val="000000"/>
          <w:sz w:val="28"/>
          <w:szCs w:val="28"/>
        </w:rPr>
        <w:t xml:space="preserve"> та затвердженого нею Порядку здійснення внутрішнього аудиту та утворення підрозділів внутрішнього аудиту </w:t>
        <w:br w:type="textWrapping"/>
        <w:t>(далі – Порядок № 1001)</w:t>
      </w:r>
      <w:r>
        <w:rPr>
          <w:bCs w:val="1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 </w:t>
      </w:r>
      <w:r>
        <w:rPr>
          <w:bCs w:val="1"/>
          <w:color w:val="000000"/>
          <w:sz w:val="28"/>
          <w:szCs w:val="28"/>
        </w:rPr>
        <w:t xml:space="preserve">Закону України від 16.01.2025 № 4225-IX </w:t>
        <w:br w:type="textWrapping"/>
        <w:t xml:space="preserve">«Про внесення змін до Бюджетного кодексу України щодо актуалізації та удосконалення деяких положень» </w:t>
      </w:r>
      <w:r>
        <w:rPr>
          <w:color w:val="000000"/>
          <w:sz w:val="28"/>
          <w:szCs w:val="28"/>
        </w:rPr>
        <w:t xml:space="preserve">(далі – Закон </w:t>
      </w:r>
      <w:r>
        <w:rPr>
          <w:bCs w:val="1"/>
          <w:color w:val="000000"/>
          <w:sz w:val="28"/>
          <w:szCs w:val="28"/>
        </w:rPr>
        <w:t>№ 4225-IX</w:t>
      </w:r>
      <w:r>
        <w:rPr>
          <w:color w:val="000000"/>
          <w:sz w:val="28"/>
          <w:szCs w:val="28"/>
        </w:rPr>
        <w:t xml:space="preserve">), яким внесено зміни, зокрема, до частини третьої статті 26, статті 113 </w:t>
      </w:r>
      <w:r>
        <w:rPr>
          <w:bCs w:val="1"/>
          <w:color w:val="000000"/>
          <w:sz w:val="28"/>
          <w:szCs w:val="28"/>
        </w:rPr>
        <w:t>Бюджетного кодексу України.</w:t>
      </w:r>
    </w:p>
    <w:p>
      <w:pPr>
        <w:ind w:firstLine="567"/>
        <w:jc w:val="both"/>
        <w:rPr>
          <w:bCs w:val="1"/>
          <w:color w:val="000000"/>
          <w:sz w:val="20"/>
          <w:szCs w:val="20"/>
        </w:rPr>
      </w:pPr>
    </w:p>
    <w:p>
      <w:pPr>
        <w:tabs>
          <w:tab w:val="left" w:pos="1259" w:leader="none"/>
        </w:tabs>
        <w:ind w:firstLine="567"/>
        <w:jc w:val="both"/>
        <w:rPr>
          <w:b w:val="1"/>
          <w:bCs w:val="1"/>
          <w:color w:val="000000"/>
          <w:sz w:val="28"/>
          <w:szCs w:val="28"/>
        </w:rPr>
      </w:pPr>
      <w:r>
        <w:rPr>
          <w:b w:val="1"/>
          <w:bCs w:val="1"/>
          <w:color w:val="000000"/>
          <w:sz w:val="28"/>
          <w:szCs w:val="28"/>
        </w:rPr>
        <w:t>2. Обґрунтування необхідності прийняття акта</w:t>
      </w:r>
    </w:p>
    <w:p>
      <w:pPr>
        <w:tabs>
          <w:tab w:val="left" w:pos="1259" w:leader="none"/>
        </w:tabs>
        <w:ind w:firstLine="567"/>
        <w:jc w:val="both"/>
        <w:rPr>
          <w:color w:val="000000"/>
          <w:sz w:val="28"/>
          <w:szCs w:val="28"/>
        </w:rPr>
      </w:pPr>
      <w:r>
        <w:rPr>
          <w:bCs w:val="1"/>
          <w:color w:val="000000"/>
          <w:sz w:val="28"/>
          <w:szCs w:val="28"/>
        </w:rPr>
        <w:t xml:space="preserve">Проєкт акта розробило Міністерство фінансів України </w:t>
      </w:r>
      <w:bookmarkStart w:id="0" w:name="_GoBack"/>
      <w:bookmarkEnd w:id="0"/>
      <w:r>
        <w:rPr>
          <w:bCs w:val="1"/>
          <w:color w:val="000000"/>
          <w:sz w:val="28"/>
          <w:szCs w:val="28"/>
        </w:rPr>
        <w:t xml:space="preserve">на виконання </w:t>
      </w:r>
      <w:r>
        <w:rPr>
          <w:color w:val="000000"/>
          <w:sz w:val="28"/>
          <w:szCs w:val="28"/>
        </w:rPr>
        <w:t xml:space="preserve">резолюції Прем’єр-міністра України від 19.03.2025 № 7036/1/1-25 щодо забезпечення виконання положень Закону </w:t>
      </w:r>
      <w:r>
        <w:rPr>
          <w:bCs w:val="1"/>
          <w:color w:val="000000"/>
          <w:sz w:val="28"/>
          <w:szCs w:val="28"/>
        </w:rPr>
        <w:t>№ 4225-IX</w:t>
      </w:r>
      <w:r>
        <w:rPr>
          <w:color w:val="000000"/>
          <w:sz w:val="28"/>
          <w:szCs w:val="28"/>
        </w:rPr>
        <w:t>, пункту 1.17 плану організації підготовки проектів актів та виконання інших завдань, необхідних для його реалізації, а також відповідно до пункту 1, підпункту 1 пункту 4 Положення про Міністерство фінансів України, затвердженого постановою Кабінету Міністрів України від 20.08.2014 № 375.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Законом </w:t>
      </w:r>
      <w:r>
        <w:rPr>
          <w:bCs w:val="1"/>
          <w:color w:val="000000"/>
          <w:sz w:val="28"/>
          <w:szCs w:val="28"/>
        </w:rPr>
        <w:t>№ 4225-IX</w:t>
      </w:r>
      <w:r>
        <w:rPr>
          <w:color w:val="000000"/>
          <w:sz w:val="28"/>
          <w:szCs w:val="28"/>
        </w:rPr>
        <w:t xml:space="preserve"> внесено зміни до частини третьої статті 26 </w:t>
      </w:r>
      <w:r>
        <w:rPr>
          <w:bCs w:val="1"/>
          <w:color w:val="000000"/>
          <w:sz w:val="28"/>
          <w:szCs w:val="28"/>
        </w:rPr>
        <w:t xml:space="preserve">Бюджетного кодексу України, зокрема щодо </w:t>
      </w:r>
      <w:r>
        <w:rPr>
          <w:color w:val="000000"/>
          <w:sz w:val="28"/>
          <w:szCs w:val="28"/>
        </w:rPr>
        <w:t xml:space="preserve">визначення внутрішнього аудиту, яке стало наближеним до визначення, поданого в Глобальних стандартах внутрішнього аудиту, й під яким розуміється незалежна, об’єктивна діяльність, що передбачає здійснення аудиторських досліджень (оцінки з надання впевненості) та аудиторського консультування для сприяння розпоряднику бюджетних коштів </w:t>
        <w:br w:type="textWrapping"/>
        <w:t>у досягненні цілей, завдань і конкретних результатів своєї діяльності.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Законом № 4225-IX також встановлено обов’язок для головних розпорядників коштів державного бюджету утворити аудиторський комітет.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</w:t>
      </w:r>
      <w:r>
        <w:rPr>
          <w:color w:val="000000"/>
          <w:sz w:val="28"/>
          <w:szCs w:val="28"/>
          <w:lang w:eastAsia="en-US"/>
        </w:rPr>
        <w:t>метою уникнення дублювання функцій щодо здійснення контролю за станом внутрішнього аудиту та з урахуванням міжнародного досвіду реалізації такої функції Законом № 4225-IX внесено зміни до статті 113 Бюджетного кодексу України та виключено повноваження органів державного фінансового контролю щодо здійснення контролю за станом внутрішнього аудиту</w:t>
      </w:r>
      <w:r>
        <w:rPr>
          <w:color w:val="000000"/>
          <w:sz w:val="28"/>
          <w:szCs w:val="28"/>
          <w:shd w:val="clear" w:color="auto" w:fill="FFFFFF"/>
        </w:rPr>
        <w:t xml:space="preserve"> </w:t>
        <w:br w:type="textWrapping"/>
      </w:r>
      <w:r>
        <w:rPr>
          <w:color w:val="000000"/>
          <w:sz w:val="28"/>
          <w:szCs w:val="28"/>
          <w:lang w:eastAsia="en-US"/>
        </w:rPr>
        <w:t>в розпорядників бюджетних коштів.</w:t>
      </w:r>
    </w:p>
    <w:p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 огляду на зазначене, постанова № 1001 та Порядок № 1001 потребують актуалізації для приведення їх у відповідність до застосованої </w:t>
        <w:br w:type="textWrapping"/>
        <w:t>в Законі № 4225-IX термінології та запроваджених змін.</w:t>
      </w:r>
    </w:p>
    <w:p>
      <w:pPr>
        <w:pStyle w:val="P3"/>
        <w:widowControl w:val="1"/>
        <w:ind w:firstLine="567" w:left="0"/>
        <w:jc w:val="both"/>
        <w:rPr>
          <w:color w:val="auto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Крім того, з урахуванням результатів проведеного у 2024 році експертами Організації економічного співробітництва та розвитку (ОЕСР) </w:t>
      </w:r>
      <w:r>
        <w:rPr>
          <w:color w:val="000000"/>
          <w:sz w:val="28"/>
          <w:szCs w:val="28"/>
          <w:lang w:eastAsia="en-US"/>
        </w:rPr>
        <w:t>огляду доброчесності та протидії корупції в Україні,</w:t>
      </w:r>
      <w:r>
        <w:rPr>
          <w:color w:val="000000"/>
          <w:sz w:val="28"/>
          <w:szCs w:val="28"/>
        </w:rPr>
        <w:t xml:space="preserve"> проєктом акта також запропоновано доповнити положення Порядку № 1001 у частині запровадження для працівників підрозділу внутрішнього аудиту «періоду охолодження» (заборони на певний період часу </w:t>
      </w:r>
      <w:r>
        <w:rPr>
          <w:color w:val="000000"/>
          <w:sz w:val="28"/>
          <w:szCs w:val="28"/>
          <w:lang w:eastAsia="en-US"/>
        </w:rPr>
        <w:t>досліджувати діяльність, за яку вони раніше несли відповідальність для уникнен</w:t>
      </w:r>
      <w:r>
        <w:rPr>
          <w:color w:val="auto"/>
          <w:sz w:val="28"/>
          <w:szCs w:val="28"/>
          <w:lang w:eastAsia="en-US"/>
        </w:rPr>
        <w:t>ня будь-якого конфлікту інтересів).</w:t>
      </w:r>
    </w:p>
    <w:p>
      <w:pPr>
        <w:ind w:firstLine="567"/>
        <w:jc w:val="both"/>
        <w:rPr>
          <w:color w:val="auto"/>
          <w:sz w:val="20"/>
          <w:szCs w:val="20"/>
        </w:rPr>
      </w:pPr>
    </w:p>
    <w:p>
      <w:pPr>
        <w:ind w:firstLine="567"/>
        <w:jc w:val="both"/>
        <w:rPr>
          <w:b w:val="1"/>
          <w:bCs w:val="1"/>
          <w:color w:val="auto"/>
          <w:sz w:val="28"/>
          <w:szCs w:val="28"/>
        </w:rPr>
      </w:pPr>
      <w:r>
        <w:rPr>
          <w:b w:val="1"/>
          <w:bCs w:val="1"/>
          <w:color w:val="auto"/>
          <w:sz w:val="28"/>
          <w:szCs w:val="28"/>
        </w:rPr>
        <w:t>3. Основні положення проєкту акта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Проєктом акта передбачено внесення змін до: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пункту </w:t>
      </w:r>
      <w:r>
        <w:rPr>
          <w:color w:val="000000"/>
          <w:sz w:val="28"/>
          <w:szCs w:val="28"/>
          <w:highlight w:val="white"/>
        </w:rPr>
        <w:t>4</w:t>
      </w:r>
      <w:r>
        <w:rPr>
          <w:bCs w:val="1"/>
          <w:color w:val="000000"/>
          <w:sz w:val="28"/>
          <w:szCs w:val="28"/>
          <w:highlight w:val="white"/>
          <w:vertAlign w:val="superscript"/>
        </w:rPr>
        <w:t>1</w:t>
      </w:r>
      <w:r>
        <w:rPr>
          <w:color w:val="auto"/>
          <w:sz w:val="28"/>
          <w:szCs w:val="28"/>
        </w:rPr>
        <w:t xml:space="preserve"> постанови № 1001 у частині виключення положення щодо звітування </w:t>
      </w:r>
      <w:r>
        <w:rPr>
          <w:sz w:val="28"/>
          <w:szCs w:val="28"/>
        </w:rPr>
        <w:t>Державною аудиторською службою України Мінфіну про стан внутрішнього аудиту в органах державної влади;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bCs w:val="1"/>
          <w:color w:val="auto"/>
          <w:sz w:val="28"/>
          <w:szCs w:val="28"/>
        </w:rPr>
        <w:t>Порядку № 1001</w:t>
      </w:r>
      <w:r>
        <w:rPr>
          <w:color w:val="auto"/>
          <w:sz w:val="28"/>
          <w:szCs w:val="28"/>
        </w:rPr>
        <w:t xml:space="preserve"> у частині: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уточнення повноважень підрозділів внутрішнього аудиту в частині здійснення аудиторських досліджень та аудиторських консультувань;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доповнення положенням щодо заборони працівникам підрозділу внутрішнього аудиту брати участь в аудиторських дослідженнях та аудиторських консультуваннях щодо напряму діяльності, функції, процесу, за який вони були відповідальними протягом останніх дванадцяти місяців;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доповнення положенням щодо можливості підрозділу внутрішнього аудиту здійснювати позапланові аудиторські дослідження та аудиторські консультування;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посилення ролі аудиторського комітету (у разі його утворення);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встановлення зобов’язання для головних розпорядників коштів державного бюджету утворити аудиторський комітет;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уточнення механізму оприлюднення звіту про результати діяльності аудиторського комітету.</w:t>
      </w:r>
    </w:p>
    <w:p>
      <w:pPr>
        <w:ind w:firstLine="567"/>
        <w:jc w:val="both"/>
        <w:rPr>
          <w:bCs w:val="1"/>
          <w:color w:val="auto"/>
          <w:sz w:val="20"/>
          <w:szCs w:val="20"/>
        </w:rPr>
      </w:pPr>
    </w:p>
    <w:p>
      <w:pPr>
        <w:ind w:firstLine="567"/>
        <w:jc w:val="both"/>
        <w:rPr>
          <w:b w:val="1"/>
          <w:bCs w:val="1"/>
          <w:color w:val="auto"/>
          <w:sz w:val="28"/>
          <w:szCs w:val="28"/>
        </w:rPr>
      </w:pPr>
      <w:r>
        <w:rPr>
          <w:b w:val="1"/>
          <w:bCs w:val="1"/>
          <w:color w:val="auto"/>
          <w:sz w:val="28"/>
          <w:szCs w:val="28"/>
        </w:rPr>
        <w:t>4. Правові аспекти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Бюджетний кодекс України;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Угода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(ратифікована із заявою Законом України </w:t>
        <w:br w:type="textWrapping"/>
        <w:t>від 16.09.2014 № 1678-VII);</w:t>
      </w:r>
    </w:p>
    <w:p>
      <w:pPr>
        <w:tabs>
          <w:tab w:val="left" w:pos="567" w:leader="none"/>
        </w:tabs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постанова Кабінету Міністрів України від 20.08.2014 № 375 </w:t>
        <w:br w:type="textWrapping"/>
        <w:t>«Про затвердження Положення про Міністерство фінансів України»;</w:t>
      </w:r>
    </w:p>
    <w:p>
      <w:pPr>
        <w:ind w:firstLine="567"/>
        <w:jc w:val="both"/>
        <w:rPr>
          <w:bCs w:val="1"/>
          <w:color w:val="auto"/>
          <w:sz w:val="28"/>
          <w:szCs w:val="28"/>
        </w:rPr>
      </w:pPr>
      <w:r>
        <w:rPr>
          <w:bCs w:val="1"/>
          <w:color w:val="auto"/>
          <w:sz w:val="28"/>
          <w:szCs w:val="28"/>
        </w:rPr>
        <w:t>постанова Кабінету Міністрів України від 28.09.2011 № 1001 «Деякі питання здійснення внутрішнього аудиту та утворення підрозділів внутрішнього аудиту»;</w:t>
      </w:r>
    </w:p>
    <w:p>
      <w:pPr>
        <w:ind w:firstLine="567"/>
        <w:jc w:val="both"/>
        <w:rPr>
          <w:bCs w:val="1"/>
          <w:color w:val="auto"/>
          <w:sz w:val="28"/>
          <w:szCs w:val="28"/>
        </w:rPr>
      </w:pPr>
      <w:r>
        <w:rPr>
          <w:bCs w:val="1"/>
          <w:color w:val="auto"/>
          <w:sz w:val="28"/>
          <w:szCs w:val="28"/>
        </w:rPr>
        <w:t xml:space="preserve">розпорядження Кабінету Міністрів України від 29.12.2021 № 1805-р </w:t>
        <w:br w:type="textWrapping"/>
        <w:t>«Про схвалення Стратегії реформування системи управління державними фінансами на 2022–2025 роки та плану заходів з її реалізації».</w:t>
      </w:r>
    </w:p>
    <w:p>
      <w:pPr>
        <w:ind w:firstLine="567"/>
        <w:jc w:val="both"/>
        <w:rPr>
          <w:b w:val="1"/>
          <w:bCs w:val="1"/>
          <w:color w:val="auto"/>
          <w:sz w:val="20"/>
          <w:szCs w:val="20"/>
        </w:rPr>
      </w:pPr>
    </w:p>
    <w:p>
      <w:pPr>
        <w:ind w:firstLine="567"/>
        <w:jc w:val="both"/>
        <w:rPr>
          <w:b w:val="1"/>
          <w:bCs w:val="1"/>
          <w:color w:val="auto"/>
          <w:sz w:val="28"/>
          <w:szCs w:val="28"/>
        </w:rPr>
      </w:pPr>
      <w:r>
        <w:rPr>
          <w:b w:val="1"/>
          <w:bCs w:val="1"/>
          <w:color w:val="auto"/>
          <w:sz w:val="28"/>
          <w:szCs w:val="28"/>
        </w:rPr>
        <w:t>5. Фінансово-економічне обґрунтування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Реалізація постанови не потребуватиме додаткового фінансування з державного чи місцевих бюджетів. </w:t>
      </w:r>
    </w:p>
    <w:p>
      <w:pPr>
        <w:ind w:firstLine="567"/>
        <w:jc w:val="both"/>
        <w:rPr>
          <w:color w:val="auto"/>
          <w:sz w:val="28"/>
          <w:szCs w:val="28"/>
        </w:rPr>
      </w:pPr>
    </w:p>
    <w:p>
      <w:pPr>
        <w:ind w:firstLine="567"/>
        <w:jc w:val="both"/>
        <w:rPr>
          <w:b w:val="1"/>
          <w:bCs w:val="1"/>
          <w:color w:val="auto"/>
          <w:sz w:val="28"/>
          <w:szCs w:val="28"/>
        </w:rPr>
      </w:pPr>
      <w:r>
        <w:rPr>
          <w:b w:val="1"/>
          <w:bCs w:val="1"/>
          <w:color w:val="auto"/>
          <w:sz w:val="28"/>
          <w:szCs w:val="28"/>
        </w:rPr>
        <w:t>6. Позиція заінтересованих сторін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Проєкт постанови стосується зобов’язань України у сфері європейської</w:t>
      </w:r>
      <w:r>
        <w:rPr>
          <w:color w:val="auto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</w:rPr>
        <w:t>інтеграції.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Проєкт постанови потребує погодження з Міністерством економіки України та Міністерством цифрової трансформації України.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Проєкт постанови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прав осіб з інвалідністю, функціонування і застосування української мови як державної.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Проєкт постанови не стосується наукової чи науково-технічної діяльності.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Проєкт постанови не є регуляторним актом.</w:t>
      </w:r>
    </w:p>
    <w:p>
      <w:pPr>
        <w:ind w:firstLine="567"/>
        <w:jc w:val="both"/>
        <w:rPr>
          <w:bCs w:val="1"/>
          <w:color w:val="auto"/>
          <w:sz w:val="28"/>
          <w:szCs w:val="28"/>
        </w:rPr>
      </w:pPr>
      <w:r>
        <w:rPr>
          <w:bCs w:val="1"/>
          <w:color w:val="auto"/>
          <w:sz w:val="28"/>
          <w:szCs w:val="28"/>
        </w:rPr>
        <w:t>Проєкт постанови потребує проведення правової експертизи Міністерством юстиції України.</w:t>
      </w:r>
    </w:p>
    <w:p>
      <w:pPr>
        <w:ind w:firstLine="567"/>
        <w:jc w:val="both"/>
        <w:rPr>
          <w:b w:val="1"/>
          <w:bCs w:val="1"/>
          <w:color w:val="auto"/>
          <w:sz w:val="20"/>
          <w:szCs w:val="20"/>
        </w:rPr>
      </w:pPr>
    </w:p>
    <w:p>
      <w:pPr>
        <w:ind w:firstLine="567"/>
        <w:jc w:val="both"/>
        <w:rPr>
          <w:b w:val="1"/>
          <w:bCs w:val="1"/>
          <w:color w:val="auto"/>
          <w:sz w:val="28"/>
          <w:szCs w:val="28"/>
        </w:rPr>
      </w:pPr>
      <w:r>
        <w:rPr>
          <w:b w:val="1"/>
          <w:bCs w:val="1"/>
          <w:color w:val="auto"/>
          <w:sz w:val="28"/>
          <w:szCs w:val="28"/>
        </w:rPr>
        <w:t>7. Оцінка відповідності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Проєкт постанови стосується зобов’язань України у сфері європейської інтеграції.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Проєкт постанови не містить положень, що: 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стосуються прав та свобод, гарантованих Конвенцією про захист прав людини і основоположних свобод; 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впливають на забезпечення рівних прав та можливостей жінок і чоловіків;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містять ризики вчинення корупційних правопорушень і правопорушень, пов’язаних з корупцією; 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створюють підстави для дискримінації. 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Проєкт постанови потребує направлення до Національного агентства з питань запобігання корупції для визначення необхідності проведення антикорупційної експертизи.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Проєкт постанови не потребує проведення громадської антикорупційної, громадської антидискримінаційної та громадської гендерно-правової експертиз.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Проєкт постанови потребує направлення до Урядового офісу координації європейської та євроатлантичної інтеграції Секретаріату Кабінету Міністрів України для проведення експертизи на відповідність зобов’язанням України у сфері європейської інтеграції, у тому числі міжнародно-правовим, та праву Європейського Союзу (</w:t>
      </w:r>
      <w:r>
        <w:rPr>
          <w:color w:val="auto"/>
          <w:sz w:val="28"/>
          <w:szCs w:val="28"/>
          <w:lang w:val="en-US"/>
        </w:rPr>
        <w:t>acquis</w:t>
      </w:r>
      <w:r>
        <w:rPr>
          <w:color w:val="auto"/>
          <w:sz w:val="28"/>
          <w:szCs w:val="28"/>
        </w:rPr>
        <w:t xml:space="preserve"> ЄС).</w:t>
      </w:r>
    </w:p>
    <w:p>
      <w:pPr>
        <w:ind w:firstLine="567"/>
        <w:rPr>
          <w:b w:val="1"/>
          <w:bCs w:val="1"/>
          <w:color w:val="auto"/>
          <w:sz w:val="20"/>
          <w:szCs w:val="20"/>
        </w:rPr>
      </w:pPr>
    </w:p>
    <w:p>
      <w:pPr>
        <w:ind w:firstLine="567"/>
        <w:rPr>
          <w:b w:val="1"/>
          <w:bCs w:val="1"/>
          <w:color w:val="auto"/>
          <w:sz w:val="28"/>
          <w:szCs w:val="28"/>
        </w:rPr>
      </w:pPr>
      <w:r>
        <w:rPr>
          <w:b w:val="1"/>
          <w:bCs w:val="1"/>
          <w:color w:val="auto"/>
          <w:sz w:val="28"/>
          <w:szCs w:val="28"/>
        </w:rPr>
        <w:t>8. Прогноз результатів</w:t>
      </w:r>
    </w:p>
    <w:p>
      <w:pPr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Реалізація акта сприятиме подальшому розвитку внутрішнього аудиту </w:t>
        <w:br w:type="textWrapping"/>
        <w:t>в органах державної влади.</w:t>
      </w:r>
    </w:p>
    <w:p>
      <w:pPr>
        <w:ind w:firstLine="567"/>
        <w:jc w:val="both"/>
        <w:rPr>
          <w:b w:val="1"/>
          <w:color w:val="auto"/>
        </w:rPr>
      </w:pPr>
    </w:p>
    <w:p>
      <w:pPr>
        <w:ind w:firstLine="567"/>
        <w:jc w:val="both"/>
        <w:rPr>
          <w:b w:val="1"/>
          <w:color w:val="auto"/>
        </w:rPr>
      </w:pPr>
    </w:p>
    <w:p>
      <w:pPr>
        <w:ind w:right="-6"/>
        <w:jc w:val="both"/>
        <w:rPr>
          <w:b w:val="1"/>
          <w:color w:val="auto"/>
          <w:sz w:val="28"/>
          <w:szCs w:val="28"/>
        </w:rPr>
      </w:pPr>
      <w:r>
        <w:rPr>
          <w:b w:val="1"/>
          <w:color w:val="auto"/>
          <w:sz w:val="28"/>
          <w:szCs w:val="28"/>
        </w:rPr>
        <w:t xml:space="preserve">Міністр фінансів України                    </w:t>
      </w:r>
      <w:r>
        <w:rPr>
          <w:b w:val="1"/>
          <w:color w:val="auto"/>
          <w:sz w:val="28"/>
          <w:szCs w:val="28"/>
        </w:rPr>
        <w:t xml:space="preserve">                                 Сергій МАРЧЕНКО</w:t>
      </w:r>
    </w:p>
    <w:p>
      <w:pPr>
        <w:ind w:hanging="142" w:right="-6"/>
        <w:jc w:val="both"/>
        <w:rPr>
          <w:color w:val="auto"/>
        </w:rPr>
      </w:pPr>
    </w:p>
    <w:p>
      <w:pPr>
        <w:ind w:hanging="142" w:right="-6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 _____________ 2025 р.</w:t>
      </w:r>
    </w:p>
    <w:sectPr>
      <w:headerReference xmlns:r="http://schemas.openxmlformats.org/officeDocument/2006/relationships" w:type="default" r:id="RelHdr1"/>
      <w:footnotePr/>
      <w:endnotePr/>
      <w:type w:val="nextPage"/>
      <w:pgSz w:w="11906" w:h="16838" w:code="0"/>
      <w:pgMar w:left="1701" w:right="567" w:top="567" w:bottom="1588" w:header="170" w:footer="0" w:gutter="0"/>
      <w:cols w:equalWidth="1" w:space="720"/>
      <w:noEndnote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jc w:val="center"/>
      <w:rPr>
        <w:lang w:val="en-US" w:eastAsia="en-US"/>
      </w:rPr>
    </w:pPr>
    <w:r>
      <w:rPr>
        <w:lang w:val="en-US" w:eastAsia="en-US"/>
      </w:rPr>
      <w:fldChar w:fldCharType="begin"/>
    </w:r>
    <w:r>
      <w:rPr>
        <w:lang w:val="en-US" w:eastAsia="en-US"/>
      </w:rPr>
      <w:instrText>PAGE</w:instrText>
    </w:r>
    <w:r>
      <w:rPr>
        <w:lang w:val="en-US" w:eastAsia="en-US"/>
      </w:rPr>
      <w:fldChar w:fldCharType="separate"/>
    </w:r>
    <w:r>
      <w:rPr>
        <w:lang w:val="en-US" w:eastAsia="en-US"/>
      </w:rPr>
      <w:t>#</w:t>
    </w:r>
    <w:r>
      <w:rPr>
        <w:lang w:val="en-US" w:eastAsia="en-US"/>
      </w:rPr>
      <w:fldChar w:fldCharType="end"/>
    </w:r>
  </w:p>
  <w:p>
    <w:pPr>
      <w:rPr>
        <w:lang w:val="en-US" w:eastAsia="en-US"/>
      </w:rPr>
    </w:pPr>
  </w:p>
</w:hdr>
</file>

<file path=word/numbering.xml><?xml version="1.0" encoding="utf-8"?>
<w:numbering xmlns:w="http://schemas.openxmlformats.org/wordprocessingml/2006/main">
  <w:abstractNum w:abstractNumId="0">
    <w:nsid w:val="425E4959"/>
    <w:multiLevelType w:val="hybridMultilevel"/>
    <w:lvl w:ilvl="0" w:tplc="3B349B2E">
      <w:start w:val="1"/>
      <w:numFmt w:val="bullet"/>
      <w:suff w:val="tab"/>
      <w:lvlText w:val="-"/>
      <w:lvlJc w:val="left"/>
      <w:pPr>
        <w:ind w:hanging="360" w:left="128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widowControl w:val="0"/>
      <w:spacing w:lineRule="auto" w:line="240" w:after="0" w:beforeAutospacing="0" w:afterAutospacing="0"/>
    </w:pPr>
    <w:rPr>
      <w:rFonts w:ascii="Times New Roman" w:hAnsi="Times New Roman"/>
      <w:color w:val="000000"/>
      <w:sz w:val="24"/>
      <w:szCs w:val="24"/>
      <w:lang w:eastAsia="uk-UA"/>
    </w:rPr>
  </w:style>
  <w:style w:type="paragraph" w:styleId="P1">
    <w:name w:val="header"/>
    <w:basedOn w:val="P0"/>
    <w:link w:val="C3"/>
    <w:pPr>
      <w:tabs>
        <w:tab w:val="center" w:pos="4819" w:leader="none"/>
        <w:tab w:val="right" w:pos="9639" w:leader="none"/>
      </w:tabs>
    </w:pPr>
    <w:rPr/>
  </w:style>
  <w:style w:type="paragraph" w:styleId="P2">
    <w:name w:val="footer"/>
    <w:basedOn w:val="P0"/>
    <w:link w:val="C4"/>
    <w:pPr>
      <w:tabs>
        <w:tab w:val="center" w:pos="4819" w:leader="none"/>
        <w:tab w:val="right" w:pos="9639" w:leader="none"/>
      </w:tabs>
    </w:pPr>
    <w:rPr/>
  </w:style>
  <w:style w:type="paragraph" w:styleId="P3">
    <w:name w:val="List Paragraph"/>
    <w:basedOn w:val="P0"/>
    <w:qFormat/>
    <w:pPr>
      <w:ind w:left="720"/>
      <w:contextualSpacing w:val="1"/>
    </w:pPr>
    <w:rPr/>
  </w:style>
  <w:style w:type="paragraph" w:styleId="P4">
    <w:name w:val="rvps2"/>
    <w:basedOn w:val="P0"/>
    <w:pPr>
      <w:widowControl w:val="1"/>
      <w:spacing w:before="100" w:after="100" w:beforeAutospacing="1" w:afterAutospacing="1"/>
    </w:pPr>
    <w:rPr>
      <w:color w:val="auto"/>
    </w:rPr>
  </w:style>
  <w:style w:type="paragraph" w:styleId="P5">
    <w:name w:val="footnote text"/>
    <w:link w:val="C8"/>
    <w:semiHidden/>
    <w:pPr>
      <w:spacing w:lineRule="auto" w:line="240" w:after="0"/>
    </w:pPr>
    <w:rPr>
      <w:sz w:val="20"/>
      <w:szCs w:val="20"/>
    </w:rPr>
  </w:style>
  <w:style w:type="paragraph" w:styleId="P6">
    <w:name w:val="endnote text"/>
    <w:link w:val="C10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Верхній колонтитул Знак"/>
    <w:basedOn w:val="C0"/>
    <w:link w:val="P1"/>
    <w:rPr>
      <w:rFonts w:ascii="Times New Roman" w:hAnsi="Times New Roman"/>
      <w:color w:val="000000"/>
      <w:sz w:val="24"/>
      <w:szCs w:val="24"/>
      <w:lang w:eastAsia="uk-UA"/>
    </w:rPr>
  </w:style>
  <w:style w:type="character" w:styleId="C4">
    <w:name w:val="Нижній колонтитул Знак"/>
    <w:basedOn w:val="C0"/>
    <w:link w:val="P2"/>
    <w:rPr>
      <w:rFonts w:ascii="Times New Roman" w:hAnsi="Times New Roman"/>
      <w:color w:val="000000"/>
      <w:sz w:val="24"/>
      <w:szCs w:val="24"/>
      <w:lang w:eastAsia="uk-UA"/>
    </w:rPr>
  </w:style>
  <w:style w:type="character" w:styleId="C5">
    <w:name w:val="rvts37"/>
    <w:basedOn w:val="C0"/>
    <w:rPr/>
  </w:style>
  <w:style w:type="character" w:styleId="C6">
    <w:name w:val="rvts44"/>
    <w:basedOn w:val="C0"/>
    <w:rPr/>
  </w:style>
  <w:style w:type="character" w:styleId="C7">
    <w:name w:val="footnote reference"/>
    <w:semiHidden/>
    <w:rPr>
      <w:vertAlign w:val="superscript"/>
    </w:rPr>
  </w:style>
  <w:style w:type="character" w:styleId="C8">
    <w:name w:val="Footnote Text Char"/>
    <w:link w:val="P5"/>
    <w:semiHidden/>
    <w:rPr>
      <w:sz w:val="20"/>
      <w:szCs w:val="20"/>
    </w:rPr>
  </w:style>
  <w:style w:type="character" w:styleId="C9">
    <w:name w:val="endnote reference"/>
    <w:semiHidden/>
    <w:rPr>
      <w:vertAlign w:val="superscript"/>
    </w:rPr>
  </w:style>
  <w:style w:type="character" w:styleId="C10">
    <w:name w:val="Endnote Text Char"/>
    <w:link w:val="P6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Ministry of Finance of Ukraine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Набок Вячеслав Миколайович</dc:creator>
  <dcterms:created xsi:type="dcterms:W3CDTF">2024-03-06T08:48:00Z</dcterms:created>
  <cp:lastModifiedBy>tech_user</cp:lastModifiedBy>
  <dcterms:modified xsi:type="dcterms:W3CDTF">2025-04-03T08:44:15Z</dcterms:modified>
  <cp:revision>105</cp:revision>
</cp:coreProperties>
</file>