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F5" w:rsidRPr="00423289" w:rsidRDefault="004B1984" w:rsidP="00D42F60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289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закупівлі, розміру</w:t>
      </w:r>
      <w:r w:rsidR="00D42F60" w:rsidRPr="00F722C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23289">
        <w:rPr>
          <w:rFonts w:ascii="Times New Roman" w:hAnsi="Times New Roman"/>
          <w:b/>
          <w:color w:val="000000" w:themeColor="text1"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423289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3289">
        <w:rPr>
          <w:rFonts w:ascii="Times New Roman" w:hAnsi="Times New Roman"/>
          <w:color w:val="000000" w:themeColor="text1"/>
          <w:sz w:val="28"/>
          <w:szCs w:val="28"/>
        </w:rPr>
        <w:t>(відповідно до пункту 4</w:t>
      </w:r>
      <w:r w:rsidRPr="0042328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423289">
        <w:rPr>
          <w:rFonts w:ascii="Times New Roman" w:hAnsi="Times New Roman"/>
          <w:color w:val="000000" w:themeColor="text1"/>
          <w:sz w:val="28"/>
          <w:szCs w:val="28"/>
        </w:rPr>
        <w:t xml:space="preserve"> постанови Кабінету Міністрів України </w:t>
      </w:r>
      <w:r w:rsidR="00804402" w:rsidRPr="0042328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23289">
        <w:rPr>
          <w:rFonts w:ascii="Times New Roman" w:hAnsi="Times New Roman"/>
          <w:color w:val="000000" w:themeColor="text1"/>
          <w:sz w:val="28"/>
          <w:szCs w:val="28"/>
        </w:rPr>
        <w:t>від 11.10.2016 № 710</w:t>
      </w:r>
    </w:p>
    <w:p w:rsidR="002013F5" w:rsidRPr="00423289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3289">
        <w:rPr>
          <w:rFonts w:ascii="Times New Roman" w:hAnsi="Times New Roman"/>
          <w:color w:val="000000" w:themeColor="text1"/>
          <w:sz w:val="28"/>
          <w:szCs w:val="28"/>
        </w:rPr>
        <w:t>«Про ефективне використання державних коштів» (зі змінами))</w:t>
      </w:r>
      <w:r w:rsidRPr="00423289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2013F5" w:rsidRPr="00423289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289">
        <w:rPr>
          <w:rFonts w:ascii="Times New Roman" w:hAnsi="Times New Roman"/>
          <w:b/>
          <w:color w:val="000000" w:themeColor="text1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423289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3289">
        <w:rPr>
          <w:rFonts w:ascii="Times New Roman" w:hAnsi="Times New Roman"/>
          <w:color w:val="000000" w:themeColor="text1"/>
          <w:sz w:val="28"/>
          <w:szCs w:val="28"/>
        </w:rPr>
        <w:t>Міністерство фінансів України</w:t>
      </w:r>
    </w:p>
    <w:p w:rsidR="002013F5" w:rsidRPr="00423289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3289">
        <w:rPr>
          <w:rFonts w:ascii="Times New Roman" w:hAnsi="Times New Roman"/>
          <w:color w:val="000000" w:themeColor="text1"/>
          <w:sz w:val="28"/>
          <w:szCs w:val="28"/>
        </w:rPr>
        <w:t>01008, м. Київ, вул. Грушевського, 12/2</w:t>
      </w:r>
    </w:p>
    <w:p w:rsidR="002013F5" w:rsidRPr="00423289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3289">
        <w:rPr>
          <w:rFonts w:ascii="Times New Roman" w:hAnsi="Times New Roman"/>
          <w:color w:val="000000" w:themeColor="text1"/>
          <w:sz w:val="28"/>
          <w:szCs w:val="28"/>
        </w:rPr>
        <w:t>код</w:t>
      </w:r>
      <w:r w:rsidR="00614D91" w:rsidRPr="00423289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Pr="00423289">
        <w:rPr>
          <w:rFonts w:ascii="Times New Roman" w:hAnsi="Times New Roman"/>
          <w:color w:val="000000" w:themeColor="text1"/>
          <w:sz w:val="28"/>
          <w:szCs w:val="28"/>
        </w:rPr>
        <w:t xml:space="preserve"> ЄДРПОУ 00013480</w:t>
      </w:r>
    </w:p>
    <w:p w:rsidR="002013F5" w:rsidRPr="00423289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3289">
        <w:rPr>
          <w:rFonts w:ascii="Times New Roman" w:hAnsi="Times New Roman"/>
          <w:color w:val="000000" w:themeColor="text1"/>
          <w:sz w:val="28"/>
          <w:szCs w:val="28"/>
        </w:rPr>
        <w:t>категорія замовника – орган державної влади</w:t>
      </w:r>
      <w:r w:rsidR="00766A1E" w:rsidRPr="0042328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423289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423289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289">
        <w:rPr>
          <w:rFonts w:ascii="Times New Roman" w:hAnsi="Times New Roman"/>
          <w:b/>
          <w:color w:val="000000" w:themeColor="text1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BF3994" w:rsidRDefault="00BF399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93355627"/>
      <w:r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підтримки програмного забезпечення системи віртуалізації серверних ресурсів </w:t>
      </w:r>
      <w:proofErr w:type="spellStart"/>
      <w:r w:rsidRPr="00BF3994">
        <w:rPr>
          <w:rFonts w:ascii="Times New Roman" w:hAnsi="Times New Roman"/>
          <w:color w:val="000000" w:themeColor="text1"/>
          <w:sz w:val="28"/>
          <w:szCs w:val="28"/>
        </w:rPr>
        <w:t>VMware</w:t>
      </w:r>
      <w:proofErr w:type="spellEnd"/>
      <w:r w:rsidR="00B42204"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 за кодом ДК 021:2015: 72250000-2 Послуги, пов’язані із системами та підтримкою</w:t>
      </w:r>
      <w:bookmarkEnd w:id="0"/>
      <w:r w:rsidR="004B4E8F" w:rsidRPr="00BF39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0400" w:rsidRPr="00423289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F722CD" w:rsidRDefault="004B1984" w:rsidP="00B62FA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2C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Ідентифікатор закупівлі:</w:t>
      </w:r>
      <w:r w:rsidR="008759B8" w:rsidRPr="00F722CD">
        <w:rPr>
          <w:color w:val="000000" w:themeColor="text1"/>
        </w:rPr>
        <w:t xml:space="preserve"> </w:t>
      </w:r>
      <w:r w:rsidR="00F722CD" w:rsidRPr="00F722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UA-2025-07-07-005061-a</w:t>
      </w:r>
    </w:p>
    <w:p w:rsidR="002013F5" w:rsidRPr="00423289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0056" w:rsidRPr="00BF3994" w:rsidRDefault="004B1984" w:rsidP="0054045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3994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bookmarkStart w:id="1" w:name="_GoBack"/>
      <w:bookmarkEnd w:id="1"/>
    </w:p>
    <w:p w:rsidR="00295006" w:rsidRPr="00F722CD" w:rsidRDefault="00295006" w:rsidP="00295006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З метою створення технічного рішення віртуалізації серверних ресурсів Міністерством фінансів України згідно з договором від 22.12.2017                      №13010-05/215, що укладений з ТОВ «ВАЙЗ АЙ ТІ», були придбані ліцензії на програмне забезпечення </w:t>
      </w:r>
      <w:proofErr w:type="spellStart"/>
      <w:r w:rsidRPr="00295006">
        <w:rPr>
          <w:rFonts w:ascii="Times New Roman" w:hAnsi="Times New Roman"/>
          <w:color w:val="000000" w:themeColor="text1"/>
          <w:sz w:val="28"/>
          <w:szCs w:val="28"/>
          <w:lang w:val="ru-RU"/>
        </w:rPr>
        <w:t>VMware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, а саме, </w:t>
      </w:r>
      <w:proofErr w:type="spellStart"/>
      <w:r w:rsidRPr="00295006">
        <w:rPr>
          <w:rFonts w:ascii="Times New Roman" w:hAnsi="Times New Roman"/>
          <w:color w:val="000000" w:themeColor="text1"/>
          <w:sz w:val="28"/>
          <w:szCs w:val="28"/>
          <w:lang w:val="ru-RU"/>
        </w:rPr>
        <w:t>vCenter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006">
        <w:rPr>
          <w:rFonts w:ascii="Times New Roman" w:hAnsi="Times New Roman"/>
          <w:color w:val="000000" w:themeColor="text1"/>
          <w:sz w:val="28"/>
          <w:szCs w:val="28"/>
          <w:lang w:val="ru-RU"/>
        </w:rPr>
        <w:t>Server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(2 од.) та </w:t>
      </w:r>
      <w:proofErr w:type="spellStart"/>
      <w:r w:rsidRPr="00295006">
        <w:rPr>
          <w:rFonts w:ascii="Times New Roman" w:hAnsi="Times New Roman"/>
          <w:color w:val="000000" w:themeColor="text1"/>
          <w:sz w:val="28"/>
          <w:szCs w:val="28"/>
          <w:lang w:val="ru-RU"/>
        </w:rPr>
        <w:t>vSphere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(64 од.) (номер оголошення в електронній системі </w:t>
      </w:r>
      <w:proofErr w:type="spellStart"/>
      <w:r w:rsidRPr="00F722CD">
        <w:rPr>
          <w:rFonts w:ascii="Times New Roman" w:hAnsi="Times New Roman"/>
          <w:color w:val="000000" w:themeColor="text1"/>
          <w:sz w:val="28"/>
          <w:szCs w:val="28"/>
        </w:rPr>
        <w:t>закупівель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006">
        <w:rPr>
          <w:rFonts w:ascii="Times New Roman" w:hAnsi="Times New Roman"/>
          <w:color w:val="000000" w:themeColor="text1"/>
          <w:sz w:val="28"/>
          <w:szCs w:val="28"/>
          <w:lang w:val="ru-RU"/>
        </w:rPr>
        <w:t>UA</w:t>
      </w:r>
      <w:r w:rsidRPr="00F722CD">
        <w:rPr>
          <w:rFonts w:ascii="Times New Roman" w:hAnsi="Times New Roman"/>
          <w:color w:val="000000" w:themeColor="text1"/>
          <w:sz w:val="28"/>
          <w:szCs w:val="28"/>
        </w:rPr>
        <w:t>-2017-11-03-000652-</w:t>
      </w:r>
      <w:r w:rsidRPr="00295006">
        <w:rPr>
          <w:rFonts w:ascii="Times New Roman" w:hAnsi="Times New Roman"/>
          <w:color w:val="000000" w:themeColor="text1"/>
          <w:sz w:val="28"/>
          <w:szCs w:val="28"/>
          <w:lang w:val="ru-RU"/>
        </w:rPr>
        <w:t>b</w:t>
      </w:r>
      <w:r w:rsidRPr="00F722C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95006" w:rsidRPr="00F722CD" w:rsidRDefault="00295006" w:rsidP="00295006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Останнє продовження терміну дії підтримки вищезгаданого програмного забезпечення було здійснено у 2024 році за договором від 14.03.2024                  №13110-05/80, що укладений з ТОВ «БІМЕКС УКРАЇНА» (номер оголошення в електронній системі </w:t>
      </w:r>
      <w:proofErr w:type="spellStart"/>
      <w:r w:rsidRPr="00F722CD">
        <w:rPr>
          <w:rFonts w:ascii="Times New Roman" w:hAnsi="Times New Roman"/>
          <w:color w:val="000000" w:themeColor="text1"/>
          <w:sz w:val="28"/>
          <w:szCs w:val="28"/>
        </w:rPr>
        <w:t>закупівель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006">
        <w:rPr>
          <w:rFonts w:ascii="Times New Roman" w:hAnsi="Times New Roman"/>
          <w:color w:val="000000" w:themeColor="text1"/>
          <w:sz w:val="28"/>
          <w:szCs w:val="28"/>
          <w:lang w:val="ru-RU"/>
        </w:rPr>
        <w:t>UA</w:t>
      </w:r>
      <w:r w:rsidRPr="00F722CD">
        <w:rPr>
          <w:rFonts w:ascii="Times New Roman" w:hAnsi="Times New Roman"/>
          <w:color w:val="000000" w:themeColor="text1"/>
          <w:sz w:val="28"/>
          <w:szCs w:val="28"/>
        </w:rPr>
        <w:t>-2024-02-15-012673-</w:t>
      </w:r>
      <w:r w:rsidRPr="00295006">
        <w:rPr>
          <w:rFonts w:ascii="Times New Roman" w:hAnsi="Times New Roman"/>
          <w:color w:val="000000" w:themeColor="text1"/>
          <w:sz w:val="28"/>
          <w:szCs w:val="28"/>
          <w:lang w:val="ru-RU"/>
        </w:rPr>
        <w:t>a</w:t>
      </w:r>
      <w:r w:rsidRPr="00F722CD">
        <w:rPr>
          <w:rFonts w:ascii="Times New Roman" w:hAnsi="Times New Roman"/>
          <w:color w:val="000000" w:themeColor="text1"/>
          <w:sz w:val="28"/>
          <w:szCs w:val="28"/>
        </w:rPr>
        <w:t>). За умовами договору термін дії підтримки закінчився 31 грудня 2024 року.</w:t>
      </w:r>
    </w:p>
    <w:p w:rsidR="00295006" w:rsidRPr="00F722CD" w:rsidRDefault="00295006" w:rsidP="00295006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У зв'язку з придбанням наприкінці 2023 року компанії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VMware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Inc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. компанією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Broadcom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Inc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. відбулися зміни у продуктовій лінійці та змінилась метрика ліцензування продуктів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VMware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. Для продовження терміну дії підтримки наявного в Міністерстві фінансів технічного рішення віртуалізації серверних ресурсів, що реалізовано на базі програмного забезпечення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VMware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, відповідно до політики нового власника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VMware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, має відбутись перехід на використання </w:t>
      </w:r>
      <w:proofErr w:type="spellStart"/>
      <w:r w:rsidRPr="00F722CD">
        <w:rPr>
          <w:rFonts w:ascii="Times New Roman" w:hAnsi="Times New Roman"/>
          <w:color w:val="000000" w:themeColor="text1"/>
          <w:sz w:val="28"/>
          <w:szCs w:val="28"/>
        </w:rPr>
        <w:t>поядрових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ліцензій та на модель підписки з актуальними ліцензійними продуктами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VMware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, про що Міністерство фінансів було проінформоване менеджером по роботі з </w:t>
      </w:r>
      <w:r w:rsidRPr="00F722C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корпоративними клієнтами компанії </w:t>
      </w:r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MBCOM</w:t>
      </w:r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Technologies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(дистриб’ютор компанії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Broadcom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Inc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>. на території України) електронною поштою (копії листів додаються).</w:t>
      </w:r>
    </w:p>
    <w:p w:rsidR="00746BC1" w:rsidRPr="00F722CD" w:rsidRDefault="00295006" w:rsidP="00295006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Виходячи із зазначеного вище, продовження терміну підтримки програмного забезпечення системи віртуалізації серверних ресурсів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VMware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має відбутись з урахуванням переходу на 1024 </w:t>
      </w:r>
      <w:proofErr w:type="spellStart"/>
      <w:r w:rsidRPr="00F722CD">
        <w:rPr>
          <w:rFonts w:ascii="Times New Roman" w:hAnsi="Times New Roman"/>
          <w:color w:val="000000" w:themeColor="text1"/>
          <w:sz w:val="28"/>
          <w:szCs w:val="28"/>
        </w:rPr>
        <w:t>поядрові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ліцензії (64 процесори по 16 </w:t>
      </w:r>
      <w:proofErr w:type="spellStart"/>
      <w:r w:rsidRPr="00F722CD">
        <w:rPr>
          <w:rFonts w:ascii="Times New Roman" w:hAnsi="Times New Roman"/>
          <w:color w:val="000000" w:themeColor="text1"/>
          <w:sz w:val="28"/>
          <w:szCs w:val="28"/>
        </w:rPr>
        <w:t>ядер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) замість використання 64 процесорних ліцензій та підписці на пакет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Foundation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з нової продуктової лінійки програмного забезпечення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VMware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vSphere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, що охоплює всі наявні в розпорядженні Мінфіну компоненти програмного забезпечення </w:t>
      </w:r>
      <w:proofErr w:type="spellStart"/>
      <w:r w:rsidRPr="00147D75">
        <w:rPr>
          <w:rFonts w:ascii="Times New Roman" w:hAnsi="Times New Roman"/>
          <w:color w:val="000000" w:themeColor="text1"/>
          <w:sz w:val="28"/>
          <w:szCs w:val="28"/>
          <w:lang w:val="ru-RU"/>
        </w:rPr>
        <w:t>VMware</w:t>
      </w:r>
      <w:proofErr w:type="spellEnd"/>
      <w:r w:rsidRPr="00F722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4FE2" w:rsidRPr="00423289" w:rsidRDefault="00C54FE2" w:rsidP="00C54FE2">
      <w:pPr>
        <w:pStyle w:val="a3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BF3994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3994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розміру бюджетного призначення:</w:t>
      </w:r>
    </w:p>
    <w:p w:rsidR="002013F5" w:rsidRPr="00BF3994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3994">
        <w:rPr>
          <w:rFonts w:ascii="Times New Roman" w:hAnsi="Times New Roman"/>
          <w:color w:val="000000" w:themeColor="text1"/>
          <w:sz w:val="28"/>
          <w:szCs w:val="28"/>
        </w:rPr>
        <w:t>Розмір бюджетного приз</w:t>
      </w:r>
      <w:r w:rsidR="000A6CFC"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начення для предмета закупівлі </w:t>
      </w:r>
      <w:r w:rsidR="001B1669" w:rsidRPr="00BF399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F3994"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підтримки програмного забезпечення системи віртуалізації серверних ресурсів </w:t>
      </w:r>
      <w:proofErr w:type="spellStart"/>
      <w:r w:rsidR="00BF3994" w:rsidRPr="00BF3994">
        <w:rPr>
          <w:rFonts w:ascii="Times New Roman" w:hAnsi="Times New Roman"/>
          <w:color w:val="000000" w:themeColor="text1"/>
          <w:sz w:val="28"/>
          <w:szCs w:val="28"/>
        </w:rPr>
        <w:t>VMware</w:t>
      </w:r>
      <w:proofErr w:type="spellEnd"/>
      <w:r w:rsidR="00E134E4"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 за кодом ДК 021:2015: 72250000-2 Послуги, пов’язані із системами та підтримкою</w:t>
      </w:r>
      <w:r w:rsidR="001B1669" w:rsidRPr="00BF399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150D3"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 визначено</w:t>
      </w:r>
      <w:r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розрахун</w:t>
      </w:r>
      <w:r w:rsidR="00AF179A" w:rsidRPr="00BF3994">
        <w:rPr>
          <w:rFonts w:ascii="Times New Roman" w:hAnsi="Times New Roman"/>
          <w:color w:val="000000" w:themeColor="text1"/>
          <w:sz w:val="28"/>
          <w:szCs w:val="28"/>
        </w:rPr>
        <w:t>ку видатків до кошторису</w:t>
      </w:r>
      <w:r w:rsidR="00352928"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928" w:rsidRPr="00BF3994">
        <w:rPr>
          <w:rFonts w:ascii="Times New Roman" w:hAnsi="Times New Roman"/>
          <w:color w:val="000000" w:themeColor="text1"/>
          <w:sz w:val="28"/>
          <w:szCs w:val="28"/>
        </w:rPr>
        <w:t>апарату</w:t>
      </w:r>
      <w:r w:rsidR="00AF179A"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928"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Міністерства фінансів України </w:t>
      </w:r>
      <w:r w:rsidR="00AF179A" w:rsidRPr="00BF3994">
        <w:rPr>
          <w:rFonts w:ascii="Times New Roman" w:hAnsi="Times New Roman"/>
          <w:color w:val="000000" w:themeColor="text1"/>
          <w:sz w:val="28"/>
          <w:szCs w:val="28"/>
        </w:rPr>
        <w:t>на 2025</w:t>
      </w:r>
      <w:r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 рік за КПКВК 3501010</w:t>
      </w:r>
      <w:r w:rsidR="00225962"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 «Керівництво та управління у сфері фінансів» та</w:t>
      </w:r>
      <w:r w:rsidR="00352928" w:rsidRPr="00F72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928" w:rsidRPr="00BF3994">
        <w:rPr>
          <w:rFonts w:ascii="Times New Roman" w:hAnsi="Times New Roman"/>
          <w:color w:val="000000" w:themeColor="text1"/>
          <w:sz w:val="28"/>
          <w:szCs w:val="28"/>
        </w:rPr>
        <w:t>станов</w:t>
      </w:r>
      <w:r w:rsidR="00225962" w:rsidRPr="00BF399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52928" w:rsidRPr="00BF3994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225962"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6F45" w:rsidRPr="00F722CD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BF3994" w:rsidRPr="00F722C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225962" w:rsidRPr="00BF3994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BF3994" w:rsidRPr="00F722CD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5F6F45" w:rsidRPr="00F722CD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BF3994" w:rsidRPr="00F722CD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225962" w:rsidRPr="00BF39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F3994" w:rsidRPr="00F722C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225962" w:rsidRPr="00BF3994">
        <w:rPr>
          <w:rFonts w:ascii="Times New Roman" w:hAnsi="Times New Roman"/>
          <w:b/>
          <w:color w:val="000000" w:themeColor="text1"/>
          <w:sz w:val="28"/>
          <w:szCs w:val="28"/>
        </w:rPr>
        <w:t>00,00</w:t>
      </w:r>
      <w:r w:rsidR="00225962" w:rsidRPr="00BF3994">
        <w:rPr>
          <w:rFonts w:ascii="Times New Roman" w:hAnsi="Times New Roman"/>
          <w:color w:val="000000" w:themeColor="text1"/>
          <w:sz w:val="28"/>
          <w:szCs w:val="28"/>
        </w:rPr>
        <w:t xml:space="preserve"> гривень з ПДВ</w:t>
      </w:r>
      <w:r w:rsidRPr="00BF39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423289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3994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очікуваної</w:t>
      </w:r>
      <w:r w:rsidR="00025740" w:rsidRPr="00F722C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BF39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вартості </w:t>
      </w:r>
      <w:r w:rsidR="00E10ABD" w:rsidRPr="00BF39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предмета </w:t>
      </w:r>
      <w:r w:rsidRPr="00BF3994">
        <w:rPr>
          <w:rFonts w:ascii="Times New Roman" w:hAnsi="Times New Roman"/>
          <w:b/>
          <w:color w:val="000000" w:themeColor="text1"/>
          <w:sz w:val="28"/>
          <w:szCs w:val="28"/>
        </w:rPr>
        <w:t>закупівлі:</w:t>
      </w:r>
    </w:p>
    <w:p w:rsidR="00BF3994" w:rsidRPr="00AE4539" w:rsidRDefault="00BF3994" w:rsidP="00BF3994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4539">
        <w:rPr>
          <w:rFonts w:ascii="Times New Roman" w:hAnsi="Times New Roman"/>
          <w:color w:val="000000" w:themeColor="text1"/>
          <w:sz w:val="28"/>
          <w:szCs w:val="28"/>
        </w:rPr>
        <w:t xml:space="preserve">З метою визначення очікуваної вартості предмета закупівлі Мінфін надіслав запити щодо комерційних пропозицій </w:t>
      </w:r>
      <w:r w:rsidRPr="00430537">
        <w:rPr>
          <w:rFonts w:ascii="Times New Roman" w:hAnsi="Times New Roman"/>
          <w:color w:val="000000" w:themeColor="text1"/>
          <w:sz w:val="28"/>
          <w:szCs w:val="28"/>
        </w:rPr>
        <w:t>партнерам</w:t>
      </w:r>
      <w:r w:rsidRPr="00C44E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0537">
        <w:rPr>
          <w:rFonts w:ascii="Times New Roman" w:hAnsi="Times New Roman"/>
          <w:color w:val="000000" w:themeColor="text1"/>
          <w:sz w:val="28"/>
          <w:szCs w:val="28"/>
          <w:lang w:val="en-US"/>
        </w:rPr>
        <w:t>VMware</w:t>
      </w:r>
      <w:r w:rsidRPr="00430537">
        <w:rPr>
          <w:rFonts w:ascii="Times New Roman" w:hAnsi="Times New Roman"/>
          <w:color w:val="000000" w:themeColor="text1"/>
          <w:sz w:val="28"/>
          <w:szCs w:val="28"/>
        </w:rPr>
        <w:t xml:space="preserve"> в Україні.</w:t>
      </w:r>
      <w:r w:rsidRPr="00947F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4539">
        <w:rPr>
          <w:rFonts w:ascii="Times New Roman" w:hAnsi="Times New Roman"/>
          <w:color w:val="000000" w:themeColor="text1"/>
          <w:sz w:val="28"/>
          <w:szCs w:val="28"/>
        </w:rPr>
        <w:t>Отримано три комерційні пропозиції (копії додаються), що наведені в таблиці: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518"/>
        <w:gridCol w:w="2459"/>
        <w:gridCol w:w="1701"/>
        <w:gridCol w:w="1701"/>
        <w:gridCol w:w="1701"/>
        <w:gridCol w:w="1701"/>
      </w:tblGrid>
      <w:tr w:rsidR="00BF3994" w:rsidRPr="00947F65" w:rsidTr="00BF3994">
        <w:trPr>
          <w:trHeight w:val="483"/>
        </w:trPr>
        <w:tc>
          <w:tcPr>
            <w:tcW w:w="518" w:type="dxa"/>
            <w:vMerge w:val="restart"/>
            <w:vAlign w:val="center"/>
          </w:tcPr>
          <w:p w:rsidR="00BF3994" w:rsidRPr="006E0236" w:rsidRDefault="00BF3994" w:rsidP="00BF3994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E0236">
              <w:rPr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2459" w:type="dxa"/>
            <w:vMerge w:val="restart"/>
            <w:vAlign w:val="center"/>
          </w:tcPr>
          <w:p w:rsidR="00BF3994" w:rsidRPr="006E0236" w:rsidRDefault="00BF3994" w:rsidP="00BF399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E0236">
              <w:rPr>
                <w:b/>
                <w:color w:val="000000" w:themeColor="text1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6804" w:type="dxa"/>
            <w:gridSpan w:val="4"/>
            <w:vAlign w:val="center"/>
          </w:tcPr>
          <w:p w:rsidR="00BF3994" w:rsidRPr="00F722CD" w:rsidRDefault="00BF3994" w:rsidP="00BF3994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F722CD">
              <w:rPr>
                <w:b/>
                <w:color w:val="000000" w:themeColor="text1"/>
                <w:sz w:val="24"/>
                <w:szCs w:val="24"/>
                <w:lang w:val="ru-RU"/>
              </w:rPr>
              <w:t>Ціна</w:t>
            </w:r>
            <w:proofErr w:type="spellEnd"/>
            <w:r w:rsidRPr="00F722C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22CD">
              <w:rPr>
                <w:b/>
                <w:color w:val="000000" w:themeColor="text1"/>
                <w:sz w:val="24"/>
                <w:szCs w:val="24"/>
                <w:lang w:val="ru-RU"/>
              </w:rPr>
              <w:t>пропозиції</w:t>
            </w:r>
            <w:proofErr w:type="spellEnd"/>
            <w:r w:rsidRPr="00F722CD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з ПДВ,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</w:tr>
      <w:tr w:rsidR="00BF3994" w:rsidRPr="00947F65" w:rsidTr="00BF3994">
        <w:tc>
          <w:tcPr>
            <w:tcW w:w="518" w:type="dxa"/>
            <w:vMerge/>
            <w:vAlign w:val="center"/>
          </w:tcPr>
          <w:p w:rsidR="00BF3994" w:rsidRPr="00F722CD" w:rsidRDefault="00BF3994" w:rsidP="00BF3994">
            <w:pPr>
              <w:pStyle w:val="a3"/>
              <w:ind w:left="0"/>
              <w:jc w:val="both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vMerge/>
            <w:vAlign w:val="center"/>
          </w:tcPr>
          <w:p w:rsidR="00BF3994" w:rsidRPr="00F722CD" w:rsidRDefault="00BF3994" w:rsidP="00BF3994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F3994" w:rsidRPr="00947F65" w:rsidRDefault="00BF3994" w:rsidP="00BF3994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6E0236">
              <w:rPr>
                <w:b/>
                <w:color w:val="000000" w:themeColor="text1"/>
                <w:sz w:val="24"/>
                <w:szCs w:val="24"/>
              </w:rPr>
              <w:t>ТОВ «БІМЕКС УКРАЇНА»</w:t>
            </w:r>
          </w:p>
        </w:tc>
        <w:tc>
          <w:tcPr>
            <w:tcW w:w="1701" w:type="dxa"/>
            <w:vAlign w:val="center"/>
          </w:tcPr>
          <w:p w:rsidR="00BF3994" w:rsidRPr="00947F65" w:rsidRDefault="00BF3994" w:rsidP="00BF3994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6E0236">
              <w:rPr>
                <w:b/>
                <w:color w:val="000000" w:themeColor="text1"/>
                <w:sz w:val="24"/>
                <w:szCs w:val="24"/>
              </w:rPr>
              <w:t>ТОВ «ВЕСТЕР»</w:t>
            </w:r>
          </w:p>
        </w:tc>
        <w:tc>
          <w:tcPr>
            <w:tcW w:w="1701" w:type="dxa"/>
            <w:vAlign w:val="center"/>
          </w:tcPr>
          <w:p w:rsidR="00BF3994" w:rsidRPr="006E0236" w:rsidRDefault="00BF3994" w:rsidP="00BF399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0236">
              <w:rPr>
                <w:b/>
                <w:color w:val="000000" w:themeColor="text1"/>
                <w:sz w:val="24"/>
                <w:szCs w:val="24"/>
              </w:rPr>
              <w:t>ТОВ</w:t>
            </w:r>
          </w:p>
          <w:p w:rsidR="00BF3994" w:rsidRPr="006E0236" w:rsidRDefault="00BF3994" w:rsidP="00BF399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0236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E0236">
              <w:rPr>
                <w:b/>
                <w:color w:val="000000" w:themeColor="text1"/>
                <w:sz w:val="24"/>
                <w:szCs w:val="24"/>
              </w:rPr>
              <w:t>Віннком</w:t>
            </w:r>
            <w:proofErr w:type="spellEnd"/>
            <w:r w:rsidRPr="006E02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0236">
              <w:rPr>
                <w:b/>
                <w:color w:val="000000" w:themeColor="text1"/>
                <w:sz w:val="24"/>
                <w:szCs w:val="24"/>
              </w:rPr>
              <w:t>Україна</w:t>
            </w:r>
            <w:proofErr w:type="spellEnd"/>
            <w:r w:rsidRPr="006E0236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BF3994" w:rsidRPr="006E0236" w:rsidRDefault="00BF3994" w:rsidP="00BF399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E0236">
              <w:rPr>
                <w:b/>
                <w:color w:val="000000" w:themeColor="text1"/>
                <w:sz w:val="24"/>
                <w:szCs w:val="24"/>
              </w:rPr>
              <w:t>Середня</w:t>
            </w:r>
            <w:proofErr w:type="spellEnd"/>
            <w:r w:rsidRPr="006E02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0236">
              <w:rPr>
                <w:b/>
                <w:color w:val="000000" w:themeColor="text1"/>
                <w:sz w:val="24"/>
                <w:szCs w:val="24"/>
              </w:rPr>
              <w:t>ціна</w:t>
            </w:r>
            <w:proofErr w:type="spellEnd"/>
            <w:r w:rsidRPr="006E02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0236">
              <w:rPr>
                <w:b/>
                <w:color w:val="000000" w:themeColor="text1"/>
                <w:sz w:val="24"/>
                <w:szCs w:val="24"/>
              </w:rPr>
              <w:t>пропозицій</w:t>
            </w:r>
            <w:proofErr w:type="spellEnd"/>
          </w:p>
        </w:tc>
      </w:tr>
      <w:tr w:rsidR="00BF3994" w:rsidRPr="00947F65" w:rsidTr="00BF3994">
        <w:tc>
          <w:tcPr>
            <w:tcW w:w="518" w:type="dxa"/>
          </w:tcPr>
          <w:p w:rsidR="00BF3994" w:rsidRPr="00947F65" w:rsidRDefault="00BF3994" w:rsidP="00BF3994">
            <w:pPr>
              <w:jc w:val="both"/>
              <w:rPr>
                <w:color w:val="FF0000"/>
                <w:sz w:val="24"/>
                <w:szCs w:val="24"/>
              </w:rPr>
            </w:pPr>
            <w:r w:rsidRPr="006E02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BF3994" w:rsidRPr="00F722CD" w:rsidRDefault="00BF3994" w:rsidP="00BF3994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продовження</w:t>
            </w:r>
            <w:proofErr w:type="spellEnd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терміну</w:t>
            </w:r>
            <w:proofErr w:type="spellEnd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підтримки</w:t>
            </w:r>
            <w:proofErr w:type="spellEnd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системи</w:t>
            </w:r>
            <w:proofErr w:type="spellEnd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віртуалізації</w:t>
            </w:r>
            <w:proofErr w:type="spellEnd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серверних</w:t>
            </w:r>
            <w:proofErr w:type="spellEnd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ресурсів</w:t>
            </w:r>
            <w:proofErr w:type="spellEnd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26F19">
              <w:rPr>
                <w:color w:val="000000" w:themeColor="text1"/>
                <w:sz w:val="24"/>
                <w:szCs w:val="24"/>
              </w:rPr>
              <w:t>VMware</w:t>
            </w:r>
            <w:r w:rsidRPr="00F722CD">
              <w:rPr>
                <w:color w:val="000000" w:themeColor="text1"/>
                <w:sz w:val="24"/>
                <w:szCs w:val="24"/>
                <w:lang w:val="ru-RU"/>
              </w:rPr>
              <w:t xml:space="preserve"> на 1 </w:t>
            </w:r>
            <w:proofErr w:type="spellStart"/>
            <w:r w:rsidRPr="00F722CD">
              <w:rPr>
                <w:color w:val="000000" w:themeColor="text1"/>
                <w:sz w:val="24"/>
                <w:szCs w:val="24"/>
                <w:lang w:val="ru-RU"/>
              </w:rPr>
              <w:t>рік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4" w:rsidRPr="00E77BE6" w:rsidRDefault="00BF3994" w:rsidP="00BF3994">
            <w:pPr>
              <w:jc w:val="right"/>
              <w:rPr>
                <w:color w:val="FF0000"/>
                <w:sz w:val="24"/>
                <w:szCs w:val="24"/>
                <w:highlight w:val="yellow"/>
              </w:rPr>
            </w:pPr>
            <w:r w:rsidRPr="00E77BE6">
              <w:rPr>
                <w:color w:val="000000" w:themeColor="text1"/>
                <w:sz w:val="24"/>
                <w:szCs w:val="24"/>
              </w:rPr>
              <w:t>13 461 504,00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4" w:rsidRPr="009C61FA" w:rsidRDefault="00BF3994" w:rsidP="00BF3994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27CE1">
              <w:rPr>
                <w:color w:val="000000" w:themeColor="text1"/>
                <w:sz w:val="24"/>
                <w:szCs w:val="24"/>
              </w:rPr>
              <w:t>13 455 360,00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4" w:rsidRPr="009C61FA" w:rsidRDefault="00BF3994" w:rsidP="00BF3994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27CE1">
              <w:rPr>
                <w:color w:val="000000" w:themeColor="text1"/>
                <w:sz w:val="24"/>
                <w:szCs w:val="24"/>
              </w:rPr>
              <w:t>13 599 129,60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94" w:rsidRPr="00E77BE6" w:rsidRDefault="00BF3994" w:rsidP="00BF3994">
            <w:pPr>
              <w:jc w:val="right"/>
              <w:rPr>
                <w:color w:val="FF0000"/>
                <w:sz w:val="24"/>
                <w:szCs w:val="24"/>
                <w:highlight w:val="yellow"/>
              </w:rPr>
            </w:pPr>
            <w:r w:rsidRPr="00E77BE6">
              <w:rPr>
                <w:b/>
                <w:color w:val="000000" w:themeColor="text1"/>
                <w:sz w:val="24"/>
                <w:szCs w:val="24"/>
              </w:rPr>
              <w:t>13 505 331,20</w:t>
            </w:r>
          </w:p>
        </w:tc>
      </w:tr>
    </w:tbl>
    <w:p w:rsidR="00BF3994" w:rsidRPr="00947F65" w:rsidRDefault="00BF3994" w:rsidP="00BF3994">
      <w:pPr>
        <w:jc w:val="both"/>
        <w:rPr>
          <w:rFonts w:ascii="Times New Roman" w:hAnsi="Times New Roman"/>
          <w:color w:val="FF0000"/>
          <w:sz w:val="2"/>
          <w:szCs w:val="28"/>
        </w:rPr>
      </w:pPr>
    </w:p>
    <w:p w:rsidR="00BF3994" w:rsidRPr="00BF3994" w:rsidRDefault="00BF3994" w:rsidP="00BF399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35DD2">
        <w:rPr>
          <w:rFonts w:ascii="Times New Roman" w:hAnsi="Times New Roman"/>
          <w:color w:val="000000" w:themeColor="text1"/>
          <w:sz w:val="28"/>
          <w:szCs w:val="28"/>
        </w:rPr>
        <w:t>Таким чином, при заокругленні суми до сотень, очікувана вартість предмета закупівлі становить</w:t>
      </w:r>
      <w:r w:rsidRPr="00F35D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D0054">
        <w:rPr>
          <w:rFonts w:ascii="Times New Roman" w:hAnsi="Times New Roman"/>
          <w:b/>
          <w:color w:val="000000" w:themeColor="text1"/>
          <w:sz w:val="28"/>
          <w:szCs w:val="28"/>
        </w:rPr>
        <w:t>13 5</w:t>
      </w:r>
      <w:r w:rsidRPr="005D005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05</w:t>
      </w:r>
      <w:r w:rsidRPr="005D00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D005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</w:t>
      </w:r>
      <w:r w:rsidRPr="005D0054">
        <w:rPr>
          <w:rFonts w:ascii="Times New Roman" w:hAnsi="Times New Roman"/>
          <w:b/>
          <w:color w:val="000000" w:themeColor="text1"/>
          <w:sz w:val="28"/>
          <w:szCs w:val="28"/>
        </w:rPr>
        <w:t>00,00</w:t>
      </w:r>
      <w:r w:rsidRPr="00E77B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5576">
        <w:rPr>
          <w:rFonts w:ascii="Times New Roman" w:hAnsi="Times New Roman"/>
          <w:color w:val="000000" w:themeColor="text1"/>
          <w:sz w:val="28"/>
          <w:szCs w:val="28"/>
        </w:rPr>
        <w:t>гривень з ПДВ.</w:t>
      </w:r>
    </w:p>
    <w:sectPr w:rsidR="00BF3994" w:rsidRPr="00BF3994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B2B"/>
    <w:multiLevelType w:val="hybridMultilevel"/>
    <w:tmpl w:val="7E1A3E34"/>
    <w:lvl w:ilvl="0" w:tplc="CA4C689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2FCC"/>
    <w:multiLevelType w:val="hybridMultilevel"/>
    <w:tmpl w:val="B65C61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F5"/>
    <w:rsid w:val="000229A2"/>
    <w:rsid w:val="00025740"/>
    <w:rsid w:val="000523E3"/>
    <w:rsid w:val="000A1552"/>
    <w:rsid w:val="000A6CFC"/>
    <w:rsid w:val="00130B1F"/>
    <w:rsid w:val="00147D75"/>
    <w:rsid w:val="00150056"/>
    <w:rsid w:val="00177580"/>
    <w:rsid w:val="001806B4"/>
    <w:rsid w:val="001B1669"/>
    <w:rsid w:val="001F4F65"/>
    <w:rsid w:val="002013F5"/>
    <w:rsid w:val="00201B45"/>
    <w:rsid w:val="00225962"/>
    <w:rsid w:val="002334A4"/>
    <w:rsid w:val="00290A77"/>
    <w:rsid w:val="00295006"/>
    <w:rsid w:val="002E0020"/>
    <w:rsid w:val="003240C9"/>
    <w:rsid w:val="003458AC"/>
    <w:rsid w:val="00352928"/>
    <w:rsid w:val="00397685"/>
    <w:rsid w:val="004018B0"/>
    <w:rsid w:val="00422126"/>
    <w:rsid w:val="00423289"/>
    <w:rsid w:val="00461DE6"/>
    <w:rsid w:val="004B1984"/>
    <w:rsid w:val="004B4E8F"/>
    <w:rsid w:val="004F5F4E"/>
    <w:rsid w:val="00511AB2"/>
    <w:rsid w:val="00517CA1"/>
    <w:rsid w:val="00534A89"/>
    <w:rsid w:val="00540458"/>
    <w:rsid w:val="00551466"/>
    <w:rsid w:val="00563021"/>
    <w:rsid w:val="00585082"/>
    <w:rsid w:val="0058657B"/>
    <w:rsid w:val="005F6F45"/>
    <w:rsid w:val="00613E24"/>
    <w:rsid w:val="00614D91"/>
    <w:rsid w:val="00616C20"/>
    <w:rsid w:val="0064711A"/>
    <w:rsid w:val="00690967"/>
    <w:rsid w:val="00690F98"/>
    <w:rsid w:val="006D5E63"/>
    <w:rsid w:val="00717E54"/>
    <w:rsid w:val="007320D4"/>
    <w:rsid w:val="00746BC1"/>
    <w:rsid w:val="00766A1E"/>
    <w:rsid w:val="007B7B17"/>
    <w:rsid w:val="007D3965"/>
    <w:rsid w:val="007D3C5D"/>
    <w:rsid w:val="007E4CCF"/>
    <w:rsid w:val="007F0639"/>
    <w:rsid w:val="007F2931"/>
    <w:rsid w:val="00804402"/>
    <w:rsid w:val="008547FF"/>
    <w:rsid w:val="008759B8"/>
    <w:rsid w:val="0090418B"/>
    <w:rsid w:val="00905E49"/>
    <w:rsid w:val="00936AE9"/>
    <w:rsid w:val="00992203"/>
    <w:rsid w:val="009B38BB"/>
    <w:rsid w:val="009C2E8F"/>
    <w:rsid w:val="009E6F15"/>
    <w:rsid w:val="00A1373B"/>
    <w:rsid w:val="00A80400"/>
    <w:rsid w:val="00AD3639"/>
    <w:rsid w:val="00AF179A"/>
    <w:rsid w:val="00B22A11"/>
    <w:rsid w:val="00B31599"/>
    <w:rsid w:val="00B42204"/>
    <w:rsid w:val="00B46F9B"/>
    <w:rsid w:val="00B62FA6"/>
    <w:rsid w:val="00BA5DA4"/>
    <w:rsid w:val="00BC4CA0"/>
    <w:rsid w:val="00BF3994"/>
    <w:rsid w:val="00C150D3"/>
    <w:rsid w:val="00C24888"/>
    <w:rsid w:val="00C30877"/>
    <w:rsid w:val="00C33EE7"/>
    <w:rsid w:val="00C45194"/>
    <w:rsid w:val="00C54FE2"/>
    <w:rsid w:val="00C82385"/>
    <w:rsid w:val="00C87F97"/>
    <w:rsid w:val="00CB760D"/>
    <w:rsid w:val="00D202A2"/>
    <w:rsid w:val="00D42F60"/>
    <w:rsid w:val="00D4679E"/>
    <w:rsid w:val="00D625AF"/>
    <w:rsid w:val="00D762FA"/>
    <w:rsid w:val="00D85917"/>
    <w:rsid w:val="00DC21DD"/>
    <w:rsid w:val="00DE1060"/>
    <w:rsid w:val="00E064A4"/>
    <w:rsid w:val="00E10ABD"/>
    <w:rsid w:val="00E134E4"/>
    <w:rsid w:val="00E2764B"/>
    <w:rsid w:val="00E378DD"/>
    <w:rsid w:val="00E5502C"/>
    <w:rsid w:val="00EE3EF2"/>
    <w:rsid w:val="00F36863"/>
    <w:rsid w:val="00F722CD"/>
    <w:rsid w:val="00F802CA"/>
    <w:rsid w:val="00F9457E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0257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150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8088-E340-415A-A019-3BE743A0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2773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ДЕРГАЧОВ Денис Валентинович</cp:lastModifiedBy>
  <cp:revision>57</cp:revision>
  <cp:lastPrinted>2023-01-23T12:37:00Z</cp:lastPrinted>
  <dcterms:created xsi:type="dcterms:W3CDTF">2024-01-29T09:21:00Z</dcterms:created>
  <dcterms:modified xsi:type="dcterms:W3CDTF">2025-07-07T11:30:00Z</dcterms:modified>
</cp:coreProperties>
</file>