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69" w:rsidRPr="00F97CFF" w:rsidRDefault="009B031D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закупівлі, розміру</w:t>
      </w:r>
      <w:r w:rsidRPr="00F97CF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бюджетного призначення, очікуваної вартості предмета закупівлі</w:t>
      </w:r>
    </w:p>
    <w:p w:rsidR="00080C69" w:rsidRPr="00F97CFF" w:rsidRDefault="009B031D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color w:val="000000" w:themeColor="text1"/>
          <w:sz w:val="28"/>
          <w:szCs w:val="28"/>
        </w:rPr>
        <w:t>(відповідно до пункту 4</w:t>
      </w:r>
      <w:r w:rsidRPr="00F97CF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F97CFF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</w:t>
      </w:r>
      <w:r w:rsidRPr="00F97CFF">
        <w:rPr>
          <w:rFonts w:ascii="Times New Roman" w:hAnsi="Times New Roman"/>
          <w:color w:val="000000" w:themeColor="text1"/>
          <w:sz w:val="28"/>
          <w:szCs w:val="28"/>
        </w:rPr>
        <w:br/>
        <w:t>від 11.10.2016 № 710</w:t>
      </w:r>
    </w:p>
    <w:p w:rsidR="00080C69" w:rsidRPr="00F97CFF" w:rsidRDefault="009B031D">
      <w:pPr>
        <w:spacing w:after="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 w:rsidRPr="00F97CFF">
        <w:rPr>
          <w:rFonts w:ascii="Times New Roman" w:hAnsi="Times New Roman"/>
          <w:color w:val="000000" w:themeColor="text1"/>
          <w:sz w:val="28"/>
          <w:szCs w:val="28"/>
        </w:rPr>
        <w:t>«Про ефективне використання державних коштів»)</w:t>
      </w:r>
    </w:p>
    <w:p w:rsidR="00DB5400" w:rsidRPr="00F97CFF" w:rsidRDefault="00DB5400" w:rsidP="00DB5400">
      <w:pPr>
        <w:spacing w:after="0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080C69" w:rsidRPr="00F97CFF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080C69" w:rsidRPr="00F97CFF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color w:val="000000" w:themeColor="text1"/>
          <w:sz w:val="28"/>
          <w:szCs w:val="28"/>
        </w:rPr>
        <w:t>Міністерство фінансів України</w:t>
      </w:r>
    </w:p>
    <w:p w:rsidR="00080C69" w:rsidRPr="00F97CFF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color w:val="000000" w:themeColor="text1"/>
          <w:sz w:val="28"/>
          <w:szCs w:val="28"/>
        </w:rPr>
        <w:t>01008, м. Київ, вул. Грушевського, 12/2</w:t>
      </w:r>
    </w:p>
    <w:p w:rsidR="00080C69" w:rsidRPr="00F97CFF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color w:val="000000" w:themeColor="text1"/>
          <w:sz w:val="28"/>
          <w:szCs w:val="28"/>
        </w:rPr>
        <w:t>код за ЄДРПОУ 00013480</w:t>
      </w:r>
    </w:p>
    <w:p w:rsidR="00080C69" w:rsidRPr="00F97CFF" w:rsidRDefault="009B031D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color w:val="000000" w:themeColor="text1"/>
          <w:sz w:val="28"/>
          <w:szCs w:val="28"/>
        </w:rPr>
        <w:t>категорія замовника – орган державної влади.</w:t>
      </w:r>
    </w:p>
    <w:p w:rsidR="00080C69" w:rsidRPr="00F97CFF" w:rsidRDefault="00080C69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0C69" w:rsidRPr="00F97CFF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080C69" w:rsidRPr="00F97CFF" w:rsidRDefault="00F97CF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93355627"/>
      <w:r w:rsidRPr="00F97CFF">
        <w:rPr>
          <w:rFonts w:ascii="Times New Roman" w:hAnsi="Times New Roman"/>
          <w:color w:val="000000" w:themeColor="text1"/>
          <w:sz w:val="28"/>
          <w:szCs w:val="28"/>
        </w:rPr>
        <w:t xml:space="preserve">Послуги з продовження терміну гарантійного обслуговування обладнання систем охолодження та джерел безперебійного живлення ЦОД та </w:t>
      </w:r>
      <w:proofErr w:type="spellStart"/>
      <w:r w:rsidRPr="00F97CFF">
        <w:rPr>
          <w:rFonts w:ascii="Times New Roman" w:hAnsi="Times New Roman"/>
          <w:color w:val="000000" w:themeColor="text1"/>
          <w:sz w:val="28"/>
          <w:szCs w:val="28"/>
        </w:rPr>
        <w:t>Symmetra</w:t>
      </w:r>
      <w:proofErr w:type="spellEnd"/>
      <w:r w:rsidRPr="00F97CFF">
        <w:rPr>
          <w:rFonts w:ascii="Times New Roman" w:hAnsi="Times New Roman"/>
          <w:color w:val="000000" w:themeColor="text1"/>
          <w:sz w:val="28"/>
          <w:szCs w:val="28"/>
        </w:rPr>
        <w:t xml:space="preserve"> MW 1000kW</w:t>
      </w:r>
      <w:r w:rsidR="009B031D" w:rsidRPr="00F97CF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B031D" w:rsidRPr="00F97CFF">
        <w:rPr>
          <w:rFonts w:ascii="Times New Roman" w:hAnsi="Times New Roman"/>
          <w:color w:val="000000" w:themeColor="text1"/>
          <w:sz w:val="28"/>
          <w:szCs w:val="28"/>
        </w:rPr>
        <w:t>за кодом</w:t>
      </w:r>
      <w:r w:rsidR="009B031D" w:rsidRPr="00F97CF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9B031D" w:rsidRPr="00F97CFF">
        <w:rPr>
          <w:rFonts w:ascii="Times New Roman" w:hAnsi="Times New Roman"/>
          <w:color w:val="000000" w:themeColor="text1"/>
          <w:sz w:val="28"/>
          <w:szCs w:val="28"/>
        </w:rPr>
        <w:t xml:space="preserve">ДК 021:2015: </w:t>
      </w:r>
      <w:bookmarkEnd w:id="0"/>
      <w:r w:rsidRPr="00F97CFF">
        <w:rPr>
          <w:rFonts w:ascii="Times New Roman" w:hAnsi="Times New Roman"/>
          <w:color w:val="000000" w:themeColor="text1"/>
          <w:sz w:val="28"/>
          <w:szCs w:val="28"/>
        </w:rPr>
        <w:t>50710000-5 Послуги з ремонту і технічного обслуговування електричного і механічного устаткування будівель</w:t>
      </w:r>
      <w:r w:rsidR="009B031D" w:rsidRPr="00F97C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C69" w:rsidRPr="00F97CFF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Pr="00F97CFF" w:rsidRDefault="009B031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Ідентифікатор закупівлі:</w:t>
      </w:r>
      <w:r w:rsidRPr="00F97CFF">
        <w:rPr>
          <w:color w:val="000000" w:themeColor="text1"/>
        </w:rPr>
        <w:t xml:space="preserve"> </w:t>
      </w:r>
      <w:bookmarkStart w:id="1" w:name="_GoBack"/>
      <w:bookmarkEnd w:id="1"/>
      <w:r w:rsidR="003D553F" w:rsidRPr="003D55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UA-2025-10-17-004407-a</w:t>
      </w:r>
    </w:p>
    <w:p w:rsidR="00080C69" w:rsidRPr="00F97CFF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1682" w:rsidRPr="00541682" w:rsidRDefault="009B031D" w:rsidP="005416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</w:p>
    <w:p w:rsidR="00541682" w:rsidRDefault="00541682" w:rsidP="00541682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Інформаційно-комунікаційна система (далі – ІКС) Міністерства фінансів України є ключовим елементом для виконання завдань, покладених на Мінфін. Безперебійність роботи ІКС забезпечує обладнання системи охолодження та систем безперебійного живлення виробництва </w:t>
      </w:r>
      <w:proofErr w:type="spellStart"/>
      <w:r w:rsidRPr="003E7408">
        <w:rPr>
          <w:rFonts w:ascii="Times New Roman" w:hAnsi="Times New Roman"/>
          <w:color w:val="000000" w:themeColor="text1"/>
          <w:sz w:val="28"/>
          <w:szCs w:val="28"/>
        </w:rPr>
        <w:t>Schneider</w:t>
      </w:r>
      <w:proofErr w:type="spellEnd"/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E7408">
        <w:rPr>
          <w:rFonts w:ascii="Times New Roman" w:hAnsi="Times New Roman"/>
          <w:color w:val="000000" w:themeColor="text1"/>
          <w:sz w:val="28"/>
          <w:szCs w:val="28"/>
        </w:rPr>
        <w:t>Electric</w:t>
      </w:r>
      <w:proofErr w:type="spellEnd"/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SE, зокрема, система охолодження основного та резервного ЦОД APC </w:t>
      </w:r>
      <w:proofErr w:type="spellStart"/>
      <w:r w:rsidRPr="003E7408">
        <w:rPr>
          <w:rFonts w:ascii="Times New Roman" w:hAnsi="Times New Roman"/>
          <w:color w:val="000000" w:themeColor="text1"/>
          <w:sz w:val="28"/>
          <w:szCs w:val="28"/>
        </w:rPr>
        <w:t>InRow</w:t>
      </w:r>
      <w:proofErr w:type="spellEnd"/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RC (8 од.), джерела безперебійного живлення основного та резервного ЦОД APC </w:t>
      </w:r>
      <w:proofErr w:type="spellStart"/>
      <w:r w:rsidRPr="003E7408">
        <w:rPr>
          <w:rFonts w:ascii="Times New Roman" w:hAnsi="Times New Roman"/>
          <w:color w:val="000000" w:themeColor="text1"/>
          <w:sz w:val="28"/>
          <w:szCs w:val="28"/>
        </w:rPr>
        <w:t>Symmetra</w:t>
      </w:r>
      <w:proofErr w:type="spellEnd"/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PX 80kW </w:t>
      </w:r>
      <w:proofErr w:type="spellStart"/>
      <w:r w:rsidRPr="003E7408">
        <w:rPr>
          <w:rFonts w:ascii="Times New Roman" w:hAnsi="Times New Roman"/>
          <w:color w:val="000000" w:themeColor="text1"/>
          <w:sz w:val="28"/>
          <w:szCs w:val="28"/>
        </w:rPr>
        <w:t>N+l</w:t>
      </w:r>
      <w:proofErr w:type="spellEnd"/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UPS (2 од.) та джерело безперебійного живлення ІКС APC </w:t>
      </w:r>
      <w:proofErr w:type="spellStart"/>
      <w:r w:rsidRPr="003E7408">
        <w:rPr>
          <w:rFonts w:ascii="Times New Roman" w:hAnsi="Times New Roman"/>
          <w:color w:val="000000" w:themeColor="text1"/>
          <w:sz w:val="28"/>
          <w:szCs w:val="28"/>
        </w:rPr>
        <w:t>Symmetra</w:t>
      </w:r>
      <w:proofErr w:type="spellEnd"/>
      <w:r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MW 1000kva N+1 UPS (1 од.).</w:t>
      </w:r>
    </w:p>
    <w:p w:rsidR="00541682" w:rsidRPr="00F97CFF" w:rsidRDefault="00484C21" w:rsidP="00484C21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84C21">
        <w:rPr>
          <w:rFonts w:ascii="Times New Roman" w:hAnsi="Times New Roman"/>
          <w:color w:val="000000" w:themeColor="text1"/>
          <w:sz w:val="28"/>
          <w:szCs w:val="28"/>
        </w:rPr>
        <w:t>ермін гарантійного обслуговування зазначеного вище обладнання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4C21">
        <w:rPr>
          <w:rFonts w:ascii="Times New Roman" w:hAnsi="Times New Roman"/>
          <w:color w:val="000000" w:themeColor="text1"/>
          <w:sz w:val="28"/>
          <w:szCs w:val="28"/>
        </w:rPr>
        <w:t>завершується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грудні 2025 року. Отже, з</w:t>
      </w:r>
      <w:r w:rsidR="00541682" w:rsidRPr="003E7408">
        <w:rPr>
          <w:rFonts w:ascii="Times New Roman" w:hAnsi="Times New Roman"/>
          <w:color w:val="000000" w:themeColor="text1"/>
          <w:sz w:val="28"/>
          <w:szCs w:val="28"/>
        </w:rPr>
        <w:t xml:space="preserve"> метою забезпечення безперебійного функціонування ІКС існує необхідність у продовженні терміну гарантійного обслуговування ще на 12 місяців.</w:t>
      </w:r>
    </w:p>
    <w:p w:rsidR="00B70258" w:rsidRPr="00F97CFF" w:rsidRDefault="00B70258" w:rsidP="003A54D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0C69" w:rsidRPr="00F97CFF" w:rsidRDefault="009B031D" w:rsidP="00DB5400">
      <w:pPr>
        <w:pStyle w:val="a3"/>
        <w:numPr>
          <w:ilvl w:val="0"/>
          <w:numId w:val="3"/>
        </w:numPr>
        <w:spacing w:after="0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розміру бюджетного призначення:</w:t>
      </w:r>
    </w:p>
    <w:p w:rsidR="00080C69" w:rsidRPr="006D3088" w:rsidRDefault="009B031D" w:rsidP="00DB54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D3088">
        <w:rPr>
          <w:rFonts w:ascii="Times New Roman" w:hAnsi="Times New Roman"/>
          <w:color w:val="000000" w:themeColor="text1"/>
          <w:sz w:val="28"/>
          <w:szCs w:val="28"/>
        </w:rPr>
        <w:t xml:space="preserve">Розмір бюджетного призначення визначений на підставі отриманих комерційних пропозицій на момент вивчення ринку та відповідно до розрахунку видатків до кошторису на 2025 рік становить </w:t>
      </w:r>
      <w:r w:rsidR="006D3088" w:rsidRPr="006D3088">
        <w:rPr>
          <w:rFonts w:ascii="Times New Roman" w:hAnsi="Times New Roman"/>
          <w:color w:val="000000" w:themeColor="text1"/>
          <w:sz w:val="28"/>
          <w:szCs w:val="28"/>
        </w:rPr>
        <w:t>2 924 200,00</w:t>
      </w:r>
      <w:r w:rsidRPr="006D30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D3088">
        <w:rPr>
          <w:rFonts w:ascii="Times New Roman" w:hAnsi="Times New Roman"/>
          <w:color w:val="000000" w:themeColor="text1"/>
          <w:sz w:val="28"/>
          <w:szCs w:val="28"/>
        </w:rPr>
        <w:t>гривень з ПДВ.</w:t>
      </w:r>
    </w:p>
    <w:p w:rsidR="00080C69" w:rsidRPr="00CD4723" w:rsidRDefault="00080C69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080C69" w:rsidRPr="00F97CFF" w:rsidRDefault="009B031D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 очікуваної</w:t>
      </w:r>
      <w:r w:rsidRPr="00F97CF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97CFF">
        <w:rPr>
          <w:rFonts w:ascii="Times New Roman" w:hAnsi="Times New Roman"/>
          <w:b/>
          <w:color w:val="000000" w:themeColor="text1"/>
          <w:sz w:val="28"/>
          <w:szCs w:val="28"/>
        </w:rPr>
        <w:t>вартості предмета закупівлі:</w:t>
      </w:r>
    </w:p>
    <w:p w:rsidR="00080C69" w:rsidRPr="00AB48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48AD">
        <w:rPr>
          <w:rFonts w:ascii="Times New Roman" w:hAnsi="Times New Roman"/>
          <w:color w:val="000000" w:themeColor="text1"/>
          <w:sz w:val="28"/>
          <w:szCs w:val="28"/>
        </w:rPr>
        <w:t xml:space="preserve">Очікувану вартість предмета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</w:t>
      </w:r>
      <w:r w:rsidR="007D5E63" w:rsidRPr="00AB48AD"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r w:rsidRPr="00AB48AD">
        <w:rPr>
          <w:rFonts w:ascii="Times New Roman" w:hAnsi="Times New Roman"/>
          <w:color w:val="000000" w:themeColor="text1"/>
          <w:sz w:val="28"/>
          <w:szCs w:val="28"/>
        </w:rPr>
        <w:br/>
        <w:t>від 18.02.2020 № 275 (далі – Методика).</w:t>
      </w:r>
    </w:p>
    <w:p w:rsidR="00080C69" w:rsidRPr="00AB48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48AD">
        <w:rPr>
          <w:rFonts w:ascii="Times New Roman" w:hAnsi="Times New Roman"/>
          <w:color w:val="000000" w:themeColor="text1"/>
          <w:sz w:val="28"/>
          <w:szCs w:val="28"/>
        </w:rPr>
        <w:t>Метод, що застосовано відповідно до Методики: Метод порівняння ринкових цін,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080C69" w:rsidRPr="00D86B10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B48AD">
        <w:rPr>
          <w:rFonts w:ascii="Times New Roman" w:hAnsi="Times New Roman"/>
          <w:color w:val="000000" w:themeColor="text1"/>
          <w:sz w:val="28"/>
          <w:szCs w:val="28"/>
        </w:rPr>
        <w:t xml:space="preserve">Згідно із застосованим методом направлено запити цінових пропозицій до учасників ринку, які 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є </w:t>
      </w:r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авторизованими партнерами компанії </w:t>
      </w:r>
      <w:proofErr w:type="spellStart"/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>Schneider</w:t>
      </w:r>
      <w:proofErr w:type="spellEnd"/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>Electric</w:t>
      </w:r>
      <w:proofErr w:type="spellEnd"/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 SE в Україні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>, та отримано</w:t>
      </w:r>
      <w:r w:rsidR="006A24AD"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 три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відповідні комерційні пропозиції.</w:t>
      </w:r>
    </w:p>
    <w:p w:rsidR="00080C69" w:rsidRPr="00D86B10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B10">
        <w:rPr>
          <w:rFonts w:ascii="Times New Roman" w:hAnsi="Times New Roman"/>
          <w:color w:val="000000" w:themeColor="text1"/>
          <w:sz w:val="28"/>
          <w:szCs w:val="28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080C69" w:rsidRPr="00D86B10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B10">
        <w:rPr>
          <w:rFonts w:ascii="Times New Roman" w:hAnsi="Times New Roman"/>
          <w:color w:val="000000" w:themeColor="text1"/>
          <w:sz w:val="28"/>
          <w:szCs w:val="28"/>
        </w:rPr>
        <w:t>Таким чином очікувана вартість за одиницю становить:</w:t>
      </w:r>
    </w:p>
    <w:p w:rsidR="00080C69" w:rsidRPr="00D86B10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86B10">
        <w:rPr>
          <w:rFonts w:ascii="Times New Roman" w:hAnsi="Times New Roman"/>
          <w:color w:val="000000" w:themeColor="text1"/>
          <w:sz w:val="28"/>
          <w:szCs w:val="28"/>
        </w:rPr>
        <w:t>Цод</w:t>
      </w:r>
      <w:proofErr w:type="spellEnd"/>
      <w:r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 = (Ц1 + Ц2 + Ц3) / К = (</w:t>
      </w:r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2 898 478,80 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>2 952 000,00</w:t>
      </w:r>
      <w:r w:rsidR="006A24AD"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>2 922 200,00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D86B1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D86B1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86B1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86B10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D86B1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    = </w:t>
      </w:r>
      <w:bookmarkStart w:id="2" w:name="_Hlk211521325"/>
      <w:r w:rsidR="00D86B10" w:rsidRPr="00D86B10">
        <w:rPr>
          <w:rFonts w:ascii="Times New Roman" w:hAnsi="Times New Roman"/>
          <w:color w:val="000000" w:themeColor="text1"/>
          <w:sz w:val="28"/>
          <w:szCs w:val="28"/>
        </w:rPr>
        <w:t>2 924 226,27</w:t>
      </w:r>
      <w:bookmarkEnd w:id="2"/>
      <w:r w:rsidRPr="00D86B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0C69" w:rsidRPr="00D86B10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6B10">
        <w:rPr>
          <w:rFonts w:ascii="Times New Roman" w:hAnsi="Times New Roman"/>
          <w:color w:val="000000" w:themeColor="text1"/>
          <w:sz w:val="28"/>
          <w:szCs w:val="28"/>
        </w:rPr>
        <w:t>За результатами застосування методу порівняння ринкових цін, очікувана вартість Послуги становить:</w:t>
      </w:r>
    </w:p>
    <w:p w:rsidR="00080C69" w:rsidRPr="00CD4723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2D343E">
        <w:rPr>
          <w:rFonts w:ascii="Times New Roman" w:hAnsi="Times New Roman"/>
          <w:color w:val="000000" w:themeColor="text1"/>
          <w:sz w:val="28"/>
          <w:szCs w:val="28"/>
        </w:rPr>
        <w:t xml:space="preserve">ОВ = Цод x V = </w:t>
      </w:r>
      <w:r w:rsidR="002D343E" w:rsidRPr="002D343E">
        <w:rPr>
          <w:rFonts w:ascii="Times New Roman" w:hAnsi="Times New Roman"/>
          <w:color w:val="000000" w:themeColor="text1"/>
          <w:sz w:val="28"/>
          <w:szCs w:val="28"/>
        </w:rPr>
        <w:t xml:space="preserve">2 924 226,27 </w:t>
      </w:r>
      <w:r w:rsidRPr="002D343E">
        <w:rPr>
          <w:rFonts w:ascii="Times New Roman" w:hAnsi="Times New Roman"/>
          <w:color w:val="000000" w:themeColor="text1"/>
          <w:sz w:val="28"/>
          <w:szCs w:val="28"/>
        </w:rPr>
        <w:t xml:space="preserve">х 1 = </w:t>
      </w:r>
      <w:r w:rsidR="002D343E" w:rsidRPr="002D343E">
        <w:rPr>
          <w:rFonts w:ascii="Times New Roman" w:hAnsi="Times New Roman"/>
          <w:color w:val="000000" w:themeColor="text1"/>
          <w:sz w:val="28"/>
          <w:szCs w:val="28"/>
        </w:rPr>
        <w:t>2 924 226,27</w:t>
      </w:r>
      <w:r w:rsidRPr="002D343E">
        <w:rPr>
          <w:rFonts w:ascii="Times New Roman" w:hAnsi="Times New Roman"/>
          <w:color w:val="000000" w:themeColor="text1"/>
          <w:sz w:val="28"/>
          <w:szCs w:val="28"/>
        </w:rPr>
        <w:t xml:space="preserve"> грн з ПДВ.</w:t>
      </w:r>
    </w:p>
    <w:p w:rsidR="00080C69" w:rsidRPr="00CD4723" w:rsidRDefault="00080C6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080C69" w:rsidRPr="006A24AD" w:rsidRDefault="009B03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43E">
        <w:rPr>
          <w:rFonts w:ascii="Times New Roman" w:hAnsi="Times New Roman"/>
          <w:color w:val="000000" w:themeColor="text1"/>
          <w:sz w:val="28"/>
          <w:szCs w:val="28"/>
        </w:rPr>
        <w:t xml:space="preserve">Таким чином, при заокругленні суми до сотень, очікувана вартість предмета закупівлі за середнім значенням відповідно до поданих комерційних пропозицій становить </w:t>
      </w:r>
      <w:r w:rsidR="002D343E" w:rsidRPr="002D343E">
        <w:rPr>
          <w:rFonts w:ascii="Times New Roman" w:hAnsi="Times New Roman"/>
          <w:color w:val="000000" w:themeColor="text1"/>
          <w:sz w:val="28"/>
          <w:szCs w:val="28"/>
        </w:rPr>
        <w:t>2 924 200,00</w:t>
      </w:r>
      <w:r w:rsidRPr="002D343E">
        <w:rPr>
          <w:rFonts w:ascii="Times New Roman" w:hAnsi="Times New Roman"/>
          <w:color w:val="000000" w:themeColor="text1"/>
          <w:sz w:val="28"/>
          <w:szCs w:val="28"/>
        </w:rPr>
        <w:t xml:space="preserve"> гривень з ПДВ.</w:t>
      </w:r>
    </w:p>
    <w:sectPr w:rsidR="00080C69" w:rsidRPr="006A24AD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B2B"/>
    <w:multiLevelType w:val="hybridMultilevel"/>
    <w:tmpl w:val="7B8073C0"/>
    <w:lvl w:ilvl="0" w:tplc="CA4C689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397CC4C6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CE2480"/>
    <w:multiLevelType w:val="multilevel"/>
    <w:tmpl w:val="72C8FBEC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3CF61D60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3DF5"/>
    <w:multiLevelType w:val="hybridMultilevel"/>
    <w:tmpl w:val="E20EEB74"/>
    <w:lvl w:ilvl="0" w:tplc="E8F81B1C">
      <w:start w:val="1"/>
      <w:numFmt w:val="decimal"/>
      <w:suff w:val="space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2354" w:hanging="360"/>
      </w:pPr>
    </w:lvl>
    <w:lvl w:ilvl="2" w:tplc="0422001B">
      <w:start w:val="1"/>
      <w:numFmt w:val="lowerRoman"/>
      <w:lvlText w:val="%3."/>
      <w:lvlJc w:val="right"/>
      <w:pPr>
        <w:ind w:left="3074" w:hanging="180"/>
      </w:pPr>
    </w:lvl>
    <w:lvl w:ilvl="3" w:tplc="0422000F">
      <w:start w:val="1"/>
      <w:numFmt w:val="decimal"/>
      <w:lvlText w:val="%4."/>
      <w:lvlJc w:val="left"/>
      <w:pPr>
        <w:ind w:left="3794" w:hanging="360"/>
      </w:pPr>
    </w:lvl>
    <w:lvl w:ilvl="4" w:tplc="04220019">
      <w:start w:val="1"/>
      <w:numFmt w:val="lowerLetter"/>
      <w:lvlText w:val="%5."/>
      <w:lvlJc w:val="left"/>
      <w:pPr>
        <w:ind w:left="4514" w:hanging="360"/>
      </w:pPr>
    </w:lvl>
    <w:lvl w:ilvl="5" w:tplc="0422001B">
      <w:start w:val="1"/>
      <w:numFmt w:val="lowerRoman"/>
      <w:lvlText w:val="%6."/>
      <w:lvlJc w:val="right"/>
      <w:pPr>
        <w:ind w:left="5234" w:hanging="180"/>
      </w:pPr>
    </w:lvl>
    <w:lvl w:ilvl="6" w:tplc="0422000F">
      <w:start w:val="1"/>
      <w:numFmt w:val="decimal"/>
      <w:lvlText w:val="%7."/>
      <w:lvlJc w:val="left"/>
      <w:pPr>
        <w:ind w:left="5954" w:hanging="360"/>
      </w:pPr>
    </w:lvl>
    <w:lvl w:ilvl="7" w:tplc="04220019">
      <w:start w:val="1"/>
      <w:numFmt w:val="lowerLetter"/>
      <w:lvlText w:val="%8."/>
      <w:lvlJc w:val="left"/>
      <w:pPr>
        <w:ind w:left="6674" w:hanging="360"/>
      </w:pPr>
    </w:lvl>
    <w:lvl w:ilvl="8" w:tplc="0422001B">
      <w:start w:val="1"/>
      <w:numFmt w:val="lowerRoman"/>
      <w:lvlText w:val="%9."/>
      <w:lvlJc w:val="right"/>
      <w:pPr>
        <w:ind w:left="7394" w:hanging="180"/>
      </w:pPr>
    </w:lvl>
  </w:abstractNum>
  <w:abstractNum w:abstractNumId="5" w15:restartNumberingAfterBreak="0">
    <w:nsid w:val="68012FCC"/>
    <w:multiLevelType w:val="hybridMultilevel"/>
    <w:tmpl w:val="2C6C8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69"/>
    <w:rsid w:val="00034731"/>
    <w:rsid w:val="00062904"/>
    <w:rsid w:val="00080C69"/>
    <w:rsid w:val="001407DC"/>
    <w:rsid w:val="001B2F56"/>
    <w:rsid w:val="002D343E"/>
    <w:rsid w:val="002D3EA6"/>
    <w:rsid w:val="003A54D0"/>
    <w:rsid w:val="003D553F"/>
    <w:rsid w:val="003E7408"/>
    <w:rsid w:val="00484C21"/>
    <w:rsid w:val="00541682"/>
    <w:rsid w:val="006A24AD"/>
    <w:rsid w:val="006C51DC"/>
    <w:rsid w:val="006D3088"/>
    <w:rsid w:val="006E0428"/>
    <w:rsid w:val="006E1B2D"/>
    <w:rsid w:val="007D5E63"/>
    <w:rsid w:val="00832FEB"/>
    <w:rsid w:val="00925FCD"/>
    <w:rsid w:val="0094352E"/>
    <w:rsid w:val="009774C9"/>
    <w:rsid w:val="009B031D"/>
    <w:rsid w:val="00AB48AD"/>
    <w:rsid w:val="00AB5D6C"/>
    <w:rsid w:val="00B70258"/>
    <w:rsid w:val="00C2384F"/>
    <w:rsid w:val="00CD4723"/>
    <w:rsid w:val="00D86B10"/>
    <w:rsid w:val="00DB5400"/>
    <w:rsid w:val="00F526EC"/>
    <w:rsid w:val="00F97CFF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8BA9-1412-4342-8D32-22414DC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7">
    <w:name w:val="Body Text"/>
    <w:basedOn w:val="a"/>
    <w:link w:val="a8"/>
    <w:semiHidden/>
    <w:qFormat/>
    <w:pPr>
      <w:widowControl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character" w:customStyle="1" w:styleId="a8">
    <w:name w:val="Основний текст Знак"/>
    <w:basedOn w:val="a0"/>
    <w:link w:val="a7"/>
    <w:semiHidden/>
    <w:rPr>
      <w:rFonts w:ascii="Times New Roman" w:hAnsi="Times New Roman"/>
      <w:b/>
      <w:bCs/>
      <w:sz w:val="28"/>
      <w:szCs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F9CB-EA4A-498C-BC74-898DDD2F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ДЕРГАЧОВ Денис Валентинович</cp:lastModifiedBy>
  <cp:revision>110</cp:revision>
  <cp:lastPrinted>2023-01-23T12:37:00Z</cp:lastPrinted>
  <dcterms:created xsi:type="dcterms:W3CDTF">2024-01-29T09:21:00Z</dcterms:created>
  <dcterms:modified xsi:type="dcterms:W3CDTF">2025-10-17T08:35:00Z</dcterms:modified>
</cp:coreProperties>
</file>