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A9" w:rsidRDefault="00FE4DA9" w:rsidP="0082640E">
      <w:pPr>
        <w:ind w:firstLine="0"/>
      </w:pPr>
      <w:bookmarkStart w:id="0" w:name="_GoBack"/>
      <w:bookmarkEnd w:id="0"/>
    </w:p>
    <w:p w:rsidR="0059227E" w:rsidRDefault="0059227E" w:rsidP="0059227E">
      <w:pPr>
        <w:ind w:left="5280"/>
        <w:rPr>
          <w:szCs w:val="28"/>
        </w:rPr>
      </w:pPr>
    </w:p>
    <w:p w:rsidR="0059227E" w:rsidRDefault="0059227E" w:rsidP="0059227E">
      <w:pPr>
        <w:ind w:left="5280"/>
        <w:rPr>
          <w:szCs w:val="28"/>
        </w:rPr>
      </w:pPr>
    </w:p>
    <w:p w:rsidR="0059227E" w:rsidRDefault="0059227E" w:rsidP="0059227E">
      <w:pPr>
        <w:ind w:left="5280"/>
        <w:rPr>
          <w:szCs w:val="28"/>
        </w:rPr>
      </w:pPr>
    </w:p>
    <w:p w:rsidR="0059227E" w:rsidRDefault="0059227E" w:rsidP="0059227E">
      <w:pPr>
        <w:ind w:left="5280"/>
        <w:rPr>
          <w:szCs w:val="28"/>
        </w:rPr>
      </w:pPr>
    </w:p>
    <w:p w:rsidR="0059227E" w:rsidRDefault="0059227E" w:rsidP="0059227E">
      <w:pPr>
        <w:ind w:left="5280"/>
        <w:rPr>
          <w:szCs w:val="28"/>
        </w:rPr>
      </w:pPr>
    </w:p>
    <w:p w:rsidR="0059227E" w:rsidRDefault="0059227E" w:rsidP="0059227E">
      <w:pPr>
        <w:ind w:left="5280"/>
        <w:rPr>
          <w:szCs w:val="28"/>
        </w:rPr>
      </w:pPr>
    </w:p>
    <w:p w:rsidR="0059227E" w:rsidRPr="0059227E" w:rsidRDefault="0059227E" w:rsidP="0059227E">
      <w:pPr>
        <w:ind w:left="5280" w:firstLine="0"/>
        <w:rPr>
          <w:szCs w:val="28"/>
        </w:rPr>
      </w:pPr>
      <w:r>
        <w:rPr>
          <w:szCs w:val="28"/>
        </w:rPr>
        <w:t>Державна адміністрація</w:t>
      </w:r>
      <w:r w:rsidRPr="0059227E">
        <w:rPr>
          <w:szCs w:val="28"/>
        </w:rPr>
        <w:t xml:space="preserve"> &lt;…. &gt;</w:t>
      </w:r>
    </w:p>
    <w:p w:rsidR="0059227E" w:rsidRDefault="0059227E" w:rsidP="0059227E">
      <w:pPr>
        <w:ind w:left="5280"/>
        <w:rPr>
          <w:szCs w:val="28"/>
        </w:rPr>
      </w:pPr>
    </w:p>
    <w:p w:rsidR="0059227E" w:rsidRDefault="0059227E" w:rsidP="0059227E">
      <w:pPr>
        <w:ind w:left="5280"/>
        <w:rPr>
          <w:szCs w:val="28"/>
        </w:rPr>
      </w:pPr>
    </w:p>
    <w:p w:rsidR="0059227E" w:rsidRDefault="0059227E" w:rsidP="0059227E">
      <w:pPr>
        <w:ind w:left="170" w:right="57" w:hanging="170"/>
        <w:rPr>
          <w:szCs w:val="28"/>
        </w:rPr>
      </w:pPr>
      <w:r>
        <w:rPr>
          <w:szCs w:val="28"/>
        </w:rPr>
        <w:t>Щодо надання роз’яснення</w:t>
      </w:r>
    </w:p>
    <w:p w:rsidR="0059227E" w:rsidRDefault="0059227E" w:rsidP="0059227E">
      <w:pPr>
        <w:rPr>
          <w:szCs w:val="28"/>
        </w:rPr>
      </w:pPr>
    </w:p>
    <w:p w:rsidR="0059227E" w:rsidRDefault="0059227E" w:rsidP="0059227E">
      <w:pPr>
        <w:rPr>
          <w:szCs w:val="28"/>
        </w:rPr>
      </w:pPr>
    </w:p>
    <w:p w:rsidR="0059227E" w:rsidRDefault="0059227E" w:rsidP="0059227E">
      <w:pPr>
        <w:widowControl w:val="0"/>
        <w:autoSpaceDE w:val="0"/>
        <w:autoSpaceDN w:val="0"/>
        <w:adjustRightInd w:val="0"/>
        <w:spacing w:after="120"/>
        <w:rPr>
          <w:szCs w:val="28"/>
        </w:rPr>
      </w:pPr>
      <w:r>
        <w:rPr>
          <w:szCs w:val="28"/>
        </w:rPr>
        <w:t xml:space="preserve">Міністерство фінансів України розглянуло лист </w:t>
      </w:r>
      <w:r w:rsidRPr="0059227E">
        <w:rPr>
          <w:szCs w:val="28"/>
        </w:rPr>
        <w:t>&lt;</w:t>
      </w:r>
      <w:r>
        <w:rPr>
          <w:szCs w:val="28"/>
          <w:lang w:val="ru-RU"/>
        </w:rPr>
        <w:t>…</w:t>
      </w:r>
      <w:r w:rsidRPr="0059227E">
        <w:rPr>
          <w:szCs w:val="28"/>
          <w:lang w:val="ru-RU"/>
        </w:rPr>
        <w:t>.</w:t>
      </w:r>
      <w:r w:rsidRPr="0059227E">
        <w:rPr>
          <w:szCs w:val="28"/>
        </w:rPr>
        <w:t xml:space="preserve"> &gt;</w:t>
      </w:r>
      <w:r>
        <w:rPr>
          <w:szCs w:val="28"/>
        </w:rPr>
        <w:t xml:space="preserve"> щодо можливості включення до Плану діяльності з внутрішнього аудиту проведення аудитів зведених бюджетів районів (сільських, селищних та бюджетів міст районного значення), а також бюджетів міст обласного значення, та повідомляє.</w:t>
      </w:r>
    </w:p>
    <w:p w:rsidR="0059227E" w:rsidRDefault="0059227E" w:rsidP="0059227E">
      <w:pPr>
        <w:widowControl w:val="0"/>
        <w:autoSpaceDE w:val="0"/>
        <w:autoSpaceDN w:val="0"/>
        <w:adjustRightInd w:val="0"/>
        <w:spacing w:after="120"/>
        <w:rPr>
          <w:szCs w:val="28"/>
        </w:rPr>
      </w:pPr>
      <w:r>
        <w:rPr>
          <w:szCs w:val="28"/>
        </w:rPr>
        <w:t xml:space="preserve">Відповідно до абзацу другого статті 19 </w:t>
      </w:r>
      <w:r w:rsidRPr="00320E84">
        <w:rPr>
          <w:szCs w:val="28"/>
        </w:rPr>
        <w:t>Конституці</w:t>
      </w:r>
      <w:r>
        <w:rPr>
          <w:szCs w:val="28"/>
        </w:rPr>
        <w:t>ї</w:t>
      </w:r>
      <w:r w:rsidRPr="00320E84">
        <w:rPr>
          <w:szCs w:val="28"/>
        </w:rPr>
        <w:t xml:space="preserve">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rsidR="0059227E" w:rsidRDefault="0059227E" w:rsidP="0059227E">
      <w:pPr>
        <w:widowControl w:val="0"/>
        <w:autoSpaceDE w:val="0"/>
        <w:autoSpaceDN w:val="0"/>
        <w:adjustRightInd w:val="0"/>
        <w:spacing w:after="120"/>
        <w:rPr>
          <w:szCs w:val="28"/>
        </w:rPr>
      </w:pPr>
      <w:r>
        <w:rPr>
          <w:szCs w:val="28"/>
        </w:rPr>
        <w:t>За нормами статті</w:t>
      </w:r>
      <w:r w:rsidRPr="0050790C">
        <w:rPr>
          <w:szCs w:val="28"/>
        </w:rPr>
        <w:t xml:space="preserve"> 26 </w:t>
      </w:r>
      <w:r>
        <w:rPr>
          <w:szCs w:val="28"/>
        </w:rPr>
        <w:t xml:space="preserve">Бюджетного кодексу України </w:t>
      </w:r>
      <w:r w:rsidRPr="0050790C">
        <w:rPr>
          <w:szCs w:val="28"/>
        </w:rPr>
        <w:t xml:space="preserve">розпорядники бюджетних коштів в особі їх керівників організовують внутрішній контроль і внутрішній аудит та забезпечують їх здійснення у своїх закладах та підвідомчих установах. </w:t>
      </w:r>
      <w:r>
        <w:rPr>
          <w:szCs w:val="28"/>
        </w:rPr>
        <w:t>Основні засади здійснення внутрішнього контролю і внутрішнього аудиту та порядок утворення підрозділів внутрішнього аудиту визначаються Кабінетом Міністрів України.</w:t>
      </w:r>
    </w:p>
    <w:p w:rsidR="0059227E" w:rsidRDefault="0059227E" w:rsidP="0059227E">
      <w:pPr>
        <w:widowControl w:val="0"/>
        <w:autoSpaceDE w:val="0"/>
        <w:autoSpaceDN w:val="0"/>
        <w:adjustRightInd w:val="0"/>
        <w:spacing w:after="120"/>
        <w:rPr>
          <w:szCs w:val="28"/>
        </w:rPr>
      </w:pPr>
      <w:r>
        <w:rPr>
          <w:szCs w:val="28"/>
        </w:rPr>
        <w:t>П</w:t>
      </w:r>
      <w:r w:rsidRPr="00F4149D">
        <w:rPr>
          <w:szCs w:val="28"/>
        </w:rPr>
        <w:t xml:space="preserve">остановою Кабінету Міністрів України від 28.09.2011 № 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w:t>
      </w:r>
      <w:r>
        <w:rPr>
          <w:szCs w:val="28"/>
        </w:rPr>
        <w:t xml:space="preserve">(далі – постанова № 1001) </w:t>
      </w:r>
      <w:r w:rsidRPr="00F4149D">
        <w:rPr>
          <w:szCs w:val="28"/>
        </w:rPr>
        <w:t xml:space="preserve">та затвердженим </w:t>
      </w:r>
      <w:r>
        <w:rPr>
          <w:szCs w:val="28"/>
        </w:rPr>
        <w:t xml:space="preserve">нею </w:t>
      </w:r>
      <w:r w:rsidRPr="00F4149D">
        <w:rPr>
          <w:szCs w:val="28"/>
        </w:rPr>
        <w:t>Поряд</w:t>
      </w:r>
      <w:r>
        <w:rPr>
          <w:szCs w:val="28"/>
        </w:rPr>
        <w:t>ком</w:t>
      </w:r>
      <w:r w:rsidRPr="00F4149D">
        <w:rPr>
          <w:szCs w:val="28"/>
        </w:rPr>
        <w:t xml:space="preserve"> (далі – Порядок № 1001)</w:t>
      </w:r>
      <w:r>
        <w:rPr>
          <w:szCs w:val="28"/>
        </w:rPr>
        <w:t xml:space="preserve">, </w:t>
      </w:r>
      <w:r w:rsidRPr="00F4149D">
        <w:rPr>
          <w:szCs w:val="28"/>
        </w:rPr>
        <w:t xml:space="preserve">визначено </w:t>
      </w:r>
      <w:r>
        <w:rPr>
          <w:szCs w:val="28"/>
        </w:rPr>
        <w:t>о</w:t>
      </w:r>
      <w:r w:rsidRPr="00F4149D">
        <w:rPr>
          <w:szCs w:val="28"/>
        </w:rPr>
        <w:t>сновні засади здійснення внутрішнього аудиту</w:t>
      </w:r>
      <w:r>
        <w:rPr>
          <w:szCs w:val="28"/>
        </w:rPr>
        <w:t>,</w:t>
      </w:r>
      <w:r w:rsidRPr="00F4149D">
        <w:rPr>
          <w:szCs w:val="28"/>
        </w:rPr>
        <w:t xml:space="preserve"> порядок утворення підрозділів внутрішнього аудиту</w:t>
      </w:r>
      <w:r>
        <w:rPr>
          <w:szCs w:val="28"/>
        </w:rPr>
        <w:t>,</w:t>
      </w:r>
      <w:r w:rsidRPr="00F4149D">
        <w:rPr>
          <w:szCs w:val="28"/>
        </w:rPr>
        <w:t xml:space="preserve"> </w:t>
      </w:r>
      <w:r>
        <w:rPr>
          <w:szCs w:val="28"/>
        </w:rPr>
        <w:t xml:space="preserve">повноваження, права та обов’язки таких підрозділів, а також надано </w:t>
      </w:r>
      <w:r w:rsidRPr="00AA2C8F">
        <w:rPr>
          <w:szCs w:val="28"/>
        </w:rPr>
        <w:t>визначення об'єкту внутрішнього аудиту</w:t>
      </w:r>
      <w:r w:rsidRPr="00F4149D">
        <w:rPr>
          <w:szCs w:val="28"/>
        </w:rPr>
        <w:t>.</w:t>
      </w:r>
    </w:p>
    <w:p w:rsidR="0059227E" w:rsidRDefault="0059227E" w:rsidP="0059227E">
      <w:pPr>
        <w:widowControl w:val="0"/>
        <w:autoSpaceDE w:val="0"/>
        <w:autoSpaceDN w:val="0"/>
        <w:adjustRightInd w:val="0"/>
        <w:spacing w:after="120"/>
        <w:rPr>
          <w:szCs w:val="28"/>
        </w:rPr>
      </w:pPr>
      <w:r w:rsidRPr="00F4149D">
        <w:rPr>
          <w:szCs w:val="28"/>
        </w:rPr>
        <w:t xml:space="preserve">Відповідно до пункту 2 Порядку № 1001 об'єктом внутрішнього аудиту є діяльність центрального органу виконавчої влади, його територіальних органів та бюджетних установ у повному обсязі або з окремих питань (на окремих етапах) та заходи, що здійснюються його керівником 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досягнення результатів відповідно до встановленої мети, виконання завдань, </w:t>
      </w:r>
      <w:r w:rsidRPr="00F4149D">
        <w:rPr>
          <w:szCs w:val="28"/>
        </w:rPr>
        <w:lastRenderedPageBreak/>
        <w:t>планів і дотримання вимог щодо діяльності центрального органу виконавчої влади, його територіальних органів та бюджетних установ, а також підприємств, установ та організацій, які належать до сфери управління центральних органів виконавчої влади).</w:t>
      </w:r>
    </w:p>
    <w:p w:rsidR="0059227E" w:rsidRPr="00F4149D" w:rsidRDefault="0059227E" w:rsidP="0059227E">
      <w:pPr>
        <w:widowControl w:val="0"/>
        <w:autoSpaceDE w:val="0"/>
        <w:autoSpaceDN w:val="0"/>
        <w:adjustRightInd w:val="0"/>
        <w:spacing w:after="120"/>
        <w:rPr>
          <w:szCs w:val="28"/>
        </w:rPr>
      </w:pPr>
      <w:r w:rsidRPr="00F4149D">
        <w:rPr>
          <w:szCs w:val="28"/>
        </w:rPr>
        <w:t>Згідно з підпунктом 1 пункту 5 Порядку № 1001 підрозділ внутрішнього аудиту відповідно до покладених на нього завдань проводить оцінку:</w:t>
      </w:r>
    </w:p>
    <w:p w:rsidR="0059227E" w:rsidRPr="00F4149D" w:rsidRDefault="0059227E" w:rsidP="0059227E">
      <w:pPr>
        <w:widowControl w:val="0"/>
        <w:autoSpaceDE w:val="0"/>
        <w:autoSpaceDN w:val="0"/>
        <w:adjustRightInd w:val="0"/>
        <w:rPr>
          <w:szCs w:val="28"/>
        </w:rPr>
      </w:pPr>
      <w:r w:rsidRPr="00F4149D">
        <w:rPr>
          <w:szCs w:val="28"/>
        </w:rPr>
        <w:t>ефективності функціонування системи внутрішнього контролю;</w:t>
      </w:r>
    </w:p>
    <w:p w:rsidR="0059227E" w:rsidRPr="00F4149D" w:rsidRDefault="0059227E" w:rsidP="0059227E">
      <w:pPr>
        <w:widowControl w:val="0"/>
        <w:autoSpaceDE w:val="0"/>
        <w:autoSpaceDN w:val="0"/>
        <w:adjustRightInd w:val="0"/>
        <w:rPr>
          <w:szCs w:val="28"/>
        </w:rPr>
      </w:pPr>
      <w:r w:rsidRPr="00F4149D">
        <w:rPr>
          <w:szCs w:val="28"/>
        </w:rPr>
        <w:t xml:space="preserve">ступеня виконання і досягнення цілей, визначених у стратегічних та річних планах; </w:t>
      </w:r>
    </w:p>
    <w:p w:rsidR="0059227E" w:rsidRPr="00F4149D" w:rsidRDefault="0059227E" w:rsidP="0059227E">
      <w:pPr>
        <w:widowControl w:val="0"/>
        <w:autoSpaceDE w:val="0"/>
        <w:autoSpaceDN w:val="0"/>
        <w:adjustRightInd w:val="0"/>
        <w:rPr>
          <w:szCs w:val="28"/>
        </w:rPr>
      </w:pPr>
      <w:r w:rsidRPr="00F4149D">
        <w:rPr>
          <w:szCs w:val="28"/>
        </w:rPr>
        <w:t xml:space="preserve">ефективності планування і виконання бюджетних програм та результатів їх виконання; </w:t>
      </w:r>
    </w:p>
    <w:p w:rsidR="0059227E" w:rsidRPr="00F4149D" w:rsidRDefault="0059227E" w:rsidP="0059227E">
      <w:pPr>
        <w:widowControl w:val="0"/>
        <w:autoSpaceDE w:val="0"/>
        <w:autoSpaceDN w:val="0"/>
        <w:adjustRightInd w:val="0"/>
        <w:rPr>
          <w:szCs w:val="28"/>
        </w:rPr>
      </w:pPr>
      <w:r w:rsidRPr="00F4149D">
        <w:rPr>
          <w:szCs w:val="28"/>
        </w:rPr>
        <w:t xml:space="preserve">якості надання адміністративних послуг та виконання контрольно-наглядових функцій, завдань, визначених актами законодавства; </w:t>
      </w:r>
    </w:p>
    <w:p w:rsidR="0059227E" w:rsidRPr="00F4149D" w:rsidRDefault="0059227E" w:rsidP="0059227E">
      <w:pPr>
        <w:widowControl w:val="0"/>
        <w:autoSpaceDE w:val="0"/>
        <w:autoSpaceDN w:val="0"/>
        <w:adjustRightInd w:val="0"/>
        <w:rPr>
          <w:szCs w:val="28"/>
        </w:rPr>
      </w:pPr>
      <w:r w:rsidRPr="00F4149D">
        <w:rPr>
          <w:szCs w:val="28"/>
        </w:rPr>
        <w:t xml:space="preserve">стану збереження активів та інформації; </w:t>
      </w:r>
    </w:p>
    <w:p w:rsidR="0059227E" w:rsidRPr="00F4149D" w:rsidRDefault="0059227E" w:rsidP="0059227E">
      <w:pPr>
        <w:widowControl w:val="0"/>
        <w:autoSpaceDE w:val="0"/>
        <w:autoSpaceDN w:val="0"/>
        <w:adjustRightInd w:val="0"/>
        <w:rPr>
          <w:szCs w:val="28"/>
        </w:rPr>
      </w:pPr>
      <w:r w:rsidRPr="00F4149D">
        <w:rPr>
          <w:szCs w:val="28"/>
        </w:rPr>
        <w:t xml:space="preserve">стану управління державним майном; </w:t>
      </w:r>
    </w:p>
    <w:p w:rsidR="0059227E" w:rsidRPr="00F4149D" w:rsidRDefault="0059227E" w:rsidP="0059227E">
      <w:pPr>
        <w:widowControl w:val="0"/>
        <w:autoSpaceDE w:val="0"/>
        <w:autoSpaceDN w:val="0"/>
        <w:adjustRightInd w:val="0"/>
        <w:rPr>
          <w:szCs w:val="28"/>
        </w:rPr>
      </w:pPr>
      <w:r w:rsidRPr="00F4149D">
        <w:rPr>
          <w:szCs w:val="28"/>
        </w:rPr>
        <w:t xml:space="preserve">правильності ведення бухгалтерського обліку та достовірності фінансової і бюджетної звітності; </w:t>
      </w:r>
    </w:p>
    <w:p w:rsidR="0059227E" w:rsidRPr="00F4149D" w:rsidRDefault="0059227E" w:rsidP="0059227E">
      <w:pPr>
        <w:widowControl w:val="0"/>
        <w:autoSpaceDE w:val="0"/>
        <w:autoSpaceDN w:val="0"/>
        <w:adjustRightInd w:val="0"/>
        <w:spacing w:after="120"/>
        <w:rPr>
          <w:szCs w:val="28"/>
        </w:rPr>
      </w:pPr>
      <w:r w:rsidRPr="00F4149D">
        <w:rPr>
          <w:szCs w:val="28"/>
        </w:rPr>
        <w:t>ризиків, які негативно впливають на виконання функцій і завдань установи.</w:t>
      </w:r>
    </w:p>
    <w:p w:rsidR="0059227E" w:rsidRPr="008F33F8" w:rsidRDefault="0059227E" w:rsidP="0059227E">
      <w:pPr>
        <w:widowControl w:val="0"/>
        <w:autoSpaceDE w:val="0"/>
        <w:autoSpaceDN w:val="0"/>
        <w:adjustRightInd w:val="0"/>
        <w:spacing w:after="120"/>
        <w:rPr>
          <w:szCs w:val="28"/>
          <w:lang w:eastAsia="uk-UA"/>
        </w:rPr>
      </w:pPr>
      <w:r>
        <w:rPr>
          <w:szCs w:val="28"/>
        </w:rPr>
        <w:t>При цьому, підпунктом 3 пункту 2 постанови № 1001 керівникам органів доручено забезпечити організаційну та функціональну незалежність структурних підрозділів внутрішнього аудиту. Відповідно до пункту 3.4 глави 3 розділу ІІ Стандартів внутрішнього аудиту,</w:t>
      </w:r>
      <w:r w:rsidRPr="00B86954">
        <w:rPr>
          <w:szCs w:val="28"/>
        </w:rPr>
        <w:t xml:space="preserve"> затверджених наказом Мін</w:t>
      </w:r>
      <w:r>
        <w:rPr>
          <w:szCs w:val="28"/>
        </w:rPr>
        <w:t xml:space="preserve">фіну </w:t>
      </w:r>
      <w:r w:rsidRPr="00B86954">
        <w:rPr>
          <w:szCs w:val="28"/>
        </w:rPr>
        <w:t>від 04.10.2011</w:t>
      </w:r>
      <w:r>
        <w:rPr>
          <w:szCs w:val="28"/>
        </w:rPr>
        <w:t xml:space="preserve"> </w:t>
      </w:r>
      <w:r w:rsidRPr="00B86954">
        <w:rPr>
          <w:szCs w:val="28"/>
        </w:rPr>
        <w:t xml:space="preserve">№ 1247 та </w:t>
      </w:r>
      <w:r w:rsidRPr="00B86954">
        <w:rPr>
          <w:szCs w:val="28"/>
          <w:lang w:eastAsia="uk-UA"/>
        </w:rPr>
        <w:t>зареєстрован</w:t>
      </w:r>
      <w:r>
        <w:rPr>
          <w:szCs w:val="28"/>
          <w:lang w:eastAsia="uk-UA"/>
        </w:rPr>
        <w:t>их</w:t>
      </w:r>
      <w:r w:rsidRPr="00B86954">
        <w:rPr>
          <w:szCs w:val="28"/>
          <w:lang w:eastAsia="uk-UA"/>
        </w:rPr>
        <w:t xml:space="preserve"> в Мін’</w:t>
      </w:r>
      <w:r>
        <w:rPr>
          <w:szCs w:val="28"/>
          <w:lang w:eastAsia="uk-UA"/>
        </w:rPr>
        <w:t>юсті</w:t>
      </w:r>
      <w:r w:rsidRPr="00B86954">
        <w:rPr>
          <w:szCs w:val="28"/>
          <w:lang w:eastAsia="uk-UA"/>
        </w:rPr>
        <w:t xml:space="preserve"> 20.10.2011 за № 1219/19957</w:t>
      </w:r>
      <w:r>
        <w:rPr>
          <w:szCs w:val="28"/>
          <w:lang w:eastAsia="uk-UA"/>
        </w:rPr>
        <w:t xml:space="preserve"> (далі – Стандарти внутрішнього аудиту),</w:t>
      </w:r>
      <w:r>
        <w:rPr>
          <w:szCs w:val="28"/>
        </w:rPr>
        <w:t xml:space="preserve"> функціональна незалежність передбачає </w:t>
      </w:r>
      <w:r w:rsidRPr="00702512">
        <w:rPr>
          <w:szCs w:val="28"/>
          <w:lang w:eastAsia="uk-UA"/>
        </w:rPr>
        <w:t xml:space="preserve">недопущення виконання працівниками підрозділу внутрішнього аудиту </w:t>
      </w:r>
      <w:r>
        <w:rPr>
          <w:szCs w:val="28"/>
          <w:lang w:eastAsia="uk-UA"/>
        </w:rPr>
        <w:t xml:space="preserve">функцій, </w:t>
      </w:r>
      <w:r w:rsidRPr="00702512">
        <w:rPr>
          <w:szCs w:val="28"/>
          <w:lang w:eastAsia="uk-UA"/>
        </w:rPr>
        <w:t xml:space="preserve">не </w:t>
      </w:r>
      <w:r>
        <w:rPr>
          <w:szCs w:val="28"/>
          <w:lang w:eastAsia="uk-UA"/>
        </w:rPr>
        <w:t>пов'язаних із</w:t>
      </w:r>
      <w:r w:rsidRPr="00702512">
        <w:rPr>
          <w:szCs w:val="28"/>
          <w:lang w:eastAsia="uk-UA"/>
        </w:rPr>
        <w:t xml:space="preserve"> здійсненням внутрішнього аудиту</w:t>
      </w:r>
      <w:r>
        <w:rPr>
          <w:szCs w:val="28"/>
          <w:lang w:eastAsia="uk-UA"/>
        </w:rPr>
        <w:t>.</w:t>
      </w:r>
    </w:p>
    <w:p w:rsidR="0059227E" w:rsidRDefault="0059227E" w:rsidP="0059227E">
      <w:pPr>
        <w:widowControl w:val="0"/>
        <w:autoSpaceDE w:val="0"/>
        <w:autoSpaceDN w:val="0"/>
        <w:adjustRightInd w:val="0"/>
        <w:spacing w:after="120"/>
        <w:rPr>
          <w:szCs w:val="28"/>
        </w:rPr>
      </w:pPr>
      <w:r>
        <w:rPr>
          <w:szCs w:val="28"/>
        </w:rPr>
        <w:t>Статтею 44 Закону України «Про місцеве самоврядування» визначено перелік делегованих повноважень</w:t>
      </w:r>
      <w:r w:rsidRPr="00FE26EE">
        <w:rPr>
          <w:szCs w:val="28"/>
        </w:rPr>
        <w:t xml:space="preserve"> </w:t>
      </w:r>
      <w:r>
        <w:rPr>
          <w:szCs w:val="28"/>
        </w:rPr>
        <w:t xml:space="preserve">районними, обласними радами </w:t>
      </w:r>
      <w:r w:rsidRPr="00FE26EE">
        <w:rPr>
          <w:szCs w:val="28"/>
        </w:rPr>
        <w:t xml:space="preserve">відповідним місцевим державним </w:t>
      </w:r>
      <w:r>
        <w:rPr>
          <w:szCs w:val="28"/>
        </w:rPr>
        <w:t xml:space="preserve">адміністраціям, серед яких відсутні повноваження щодо </w:t>
      </w:r>
      <w:r w:rsidRPr="00C200CC">
        <w:rPr>
          <w:szCs w:val="28"/>
        </w:rPr>
        <w:t>проведення аудиту.</w:t>
      </w:r>
    </w:p>
    <w:p w:rsidR="0059227E" w:rsidRDefault="0059227E" w:rsidP="0059227E">
      <w:pPr>
        <w:widowControl w:val="0"/>
        <w:autoSpaceDE w:val="0"/>
        <w:autoSpaceDN w:val="0"/>
        <w:adjustRightInd w:val="0"/>
        <w:spacing w:after="120"/>
        <w:rPr>
          <w:szCs w:val="28"/>
        </w:rPr>
      </w:pPr>
      <w:r>
        <w:rPr>
          <w:szCs w:val="28"/>
        </w:rPr>
        <w:t>Водночас, в</w:t>
      </w:r>
      <w:r w:rsidRPr="003F3FC9">
        <w:rPr>
          <w:szCs w:val="28"/>
        </w:rPr>
        <w:t>ідповідно до пункту 1 статті 28 Закону України «Про місцеві державні адміністрації» місцеві державні адміністрації для реалізації наданих повноважень мають право проводити перевірки стану додержання Конституції України та законів України, інших актів законодавства органами місцевого самоврядування та їх посадовими особами, керівниками підприємств, установ, організацій, їх філіалів та відділень незалежно від форм власності і підпорядкування по напрямах, визначених статтею 16 цього Закону.</w:t>
      </w:r>
    </w:p>
    <w:p w:rsidR="0059227E" w:rsidRPr="0059227E" w:rsidRDefault="0059227E" w:rsidP="0059227E">
      <w:pPr>
        <w:tabs>
          <w:tab w:val="left" w:pos="567"/>
        </w:tabs>
        <w:spacing w:after="120"/>
        <w:rPr>
          <w:szCs w:val="28"/>
        </w:rPr>
      </w:pPr>
      <w:r>
        <w:rPr>
          <w:szCs w:val="28"/>
        </w:rPr>
        <w:t>Окремо зазначаємо, що відповідно до глави 2 розділу ІІІ Стандартів внутрішнього аудиту</w:t>
      </w:r>
      <w:r w:rsidRPr="005A59D8">
        <w:rPr>
          <w:szCs w:val="28"/>
          <w:lang w:eastAsia="uk-UA"/>
        </w:rPr>
        <w:t xml:space="preserve"> </w:t>
      </w:r>
      <w:r>
        <w:rPr>
          <w:szCs w:val="28"/>
        </w:rPr>
        <w:t>плани діяльності з внутрішнього аудиту</w:t>
      </w:r>
      <w:r>
        <w:rPr>
          <w:szCs w:val="28"/>
          <w:lang w:eastAsia="uk-UA"/>
        </w:rPr>
        <w:t xml:space="preserve"> формуються та затверджуються керівником установи на півріччя</w:t>
      </w:r>
      <w:r>
        <w:rPr>
          <w:szCs w:val="28"/>
        </w:rPr>
        <w:t>.</w:t>
      </w:r>
    </w:p>
    <w:p w:rsidR="0059227E" w:rsidRDefault="0059227E" w:rsidP="0059227E">
      <w:pPr>
        <w:tabs>
          <w:tab w:val="left" w:pos="567"/>
        </w:tabs>
        <w:spacing w:after="120"/>
        <w:rPr>
          <w:szCs w:val="28"/>
        </w:rPr>
      </w:pPr>
      <w:r w:rsidRPr="0050790C">
        <w:rPr>
          <w:szCs w:val="28"/>
        </w:rPr>
        <w:lastRenderedPageBreak/>
        <w:t xml:space="preserve">Враховуючи </w:t>
      </w:r>
      <w:r>
        <w:rPr>
          <w:szCs w:val="28"/>
        </w:rPr>
        <w:t>викладене</w:t>
      </w:r>
      <w:r w:rsidRPr="0050790C">
        <w:rPr>
          <w:szCs w:val="28"/>
        </w:rPr>
        <w:t xml:space="preserve">, планування </w:t>
      </w:r>
      <w:r>
        <w:rPr>
          <w:szCs w:val="28"/>
        </w:rPr>
        <w:t>діяльності з</w:t>
      </w:r>
      <w:r w:rsidRPr="0050790C">
        <w:rPr>
          <w:szCs w:val="28"/>
        </w:rPr>
        <w:t xml:space="preserve"> внутрішнього аудиту </w:t>
      </w:r>
      <w:r>
        <w:rPr>
          <w:szCs w:val="28"/>
        </w:rPr>
        <w:t>повинно здійснюватися</w:t>
      </w:r>
      <w:r w:rsidRPr="0050790C">
        <w:rPr>
          <w:szCs w:val="28"/>
        </w:rPr>
        <w:t xml:space="preserve"> </w:t>
      </w:r>
      <w:r>
        <w:rPr>
          <w:szCs w:val="28"/>
        </w:rPr>
        <w:t>з урахуванням засад, визначених бюджетним законодавством та нормативно-правовими актами, які регулюють діяльність з внутрішнього аудиту</w:t>
      </w:r>
      <w:r w:rsidRPr="0050790C">
        <w:rPr>
          <w:szCs w:val="28"/>
        </w:rPr>
        <w:t>.</w:t>
      </w: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Pr="0059227E" w:rsidRDefault="0059227E" w:rsidP="0059227E">
      <w:pPr>
        <w:tabs>
          <w:tab w:val="left" w:pos="7080"/>
        </w:tabs>
        <w:rPr>
          <w:szCs w:val="28"/>
        </w:rPr>
      </w:pPr>
      <w:r w:rsidRPr="0059227E">
        <w:rPr>
          <w:szCs w:val="28"/>
        </w:rPr>
        <w:t>Перший заступник Міністра</w:t>
      </w:r>
      <w:r w:rsidRPr="0059227E">
        <w:rPr>
          <w:szCs w:val="28"/>
        </w:rPr>
        <w:tab/>
        <w:t xml:space="preserve">  О. МАРКАРОВА</w:t>
      </w: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59227E" w:rsidRDefault="0059227E" w:rsidP="0059227E">
      <w:pPr>
        <w:tabs>
          <w:tab w:val="left" w:pos="7080"/>
        </w:tabs>
        <w:rPr>
          <w:b/>
          <w:szCs w:val="28"/>
        </w:rPr>
      </w:pPr>
    </w:p>
    <w:p w:rsidR="0082640E" w:rsidRDefault="0082640E" w:rsidP="0082640E">
      <w:pPr>
        <w:ind w:firstLine="0"/>
      </w:pPr>
    </w:p>
    <w:sectPr w:rsidR="0082640E" w:rsidSect="00FE4DA9">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9A"/>
    <w:rsid w:val="00042174"/>
    <w:rsid w:val="00043EB1"/>
    <w:rsid w:val="00141002"/>
    <w:rsid w:val="001C0788"/>
    <w:rsid w:val="001D77A5"/>
    <w:rsid w:val="00204B25"/>
    <w:rsid w:val="0028434C"/>
    <w:rsid w:val="003766E6"/>
    <w:rsid w:val="00390099"/>
    <w:rsid w:val="004978FE"/>
    <w:rsid w:val="004B3C25"/>
    <w:rsid w:val="004F2A9A"/>
    <w:rsid w:val="00573E47"/>
    <w:rsid w:val="00585573"/>
    <w:rsid w:val="0059227E"/>
    <w:rsid w:val="0064325E"/>
    <w:rsid w:val="0068500A"/>
    <w:rsid w:val="00703F6E"/>
    <w:rsid w:val="00724664"/>
    <w:rsid w:val="0082640E"/>
    <w:rsid w:val="00831D83"/>
    <w:rsid w:val="00860AB9"/>
    <w:rsid w:val="009F4ED4"/>
    <w:rsid w:val="00AE5FDF"/>
    <w:rsid w:val="00CA69A1"/>
    <w:rsid w:val="00DA5312"/>
    <w:rsid w:val="00E17840"/>
    <w:rsid w:val="00E420FD"/>
    <w:rsid w:val="00EB334E"/>
    <w:rsid w:val="00F56CC5"/>
    <w:rsid w:val="00FB398A"/>
    <w:rsid w:val="00FE4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242E6-F809-4A1D-91EC-3FE3A99B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0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3119</Words>
  <Characters>1779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Онищенко Віталій Володимирович</dc:creator>
  <cp:lastModifiedBy>Груда Наталія Леонідівна</cp:lastModifiedBy>
  <cp:revision>3</cp:revision>
  <cp:lastPrinted>2017-09-19T14:38:00Z</cp:lastPrinted>
  <dcterms:created xsi:type="dcterms:W3CDTF">2017-09-21T13:21:00Z</dcterms:created>
  <dcterms:modified xsi:type="dcterms:W3CDTF">2017-09-22T11:24:00Z</dcterms:modified>
</cp:coreProperties>
</file>