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EB" w:rsidRDefault="001207EB" w:rsidP="001207EB">
      <w:pPr>
        <w:jc w:val="center"/>
        <w:rPr>
          <w:rFonts w:ascii="Times New Roman" w:hAnsi="Times New Roman" w:cs="Times New Roman"/>
          <w:b/>
          <w:noProof/>
          <w:sz w:val="28"/>
          <w:szCs w:val="28"/>
        </w:rPr>
      </w:pPr>
      <w:bookmarkStart w:id="0" w:name="_GoBack"/>
      <w:bookmarkEnd w:id="0"/>
      <w:r>
        <w:rPr>
          <w:rFonts w:ascii="Times New Roman" w:hAnsi="Times New Roman" w:cs="Times New Roman"/>
          <w:b/>
          <w:noProof/>
          <w:sz w:val="28"/>
          <w:szCs w:val="28"/>
          <w:lang w:eastAsia="uk-UA"/>
        </w:rPr>
        <w:drawing>
          <wp:anchor distT="0" distB="0" distL="114300" distR="114300" simplePos="0" relativeHeight="251661312" behindDoc="1" locked="0" layoutInCell="1" allowOverlap="1" wp14:anchorId="5F534234" wp14:editId="14B8E7CD">
            <wp:simplePos x="0" y="0"/>
            <wp:positionH relativeFrom="page">
              <wp:align>center</wp:align>
            </wp:positionH>
            <wp:positionV relativeFrom="paragraph">
              <wp:posOffset>-542290</wp:posOffset>
            </wp:positionV>
            <wp:extent cx="7772312" cy="10056495"/>
            <wp:effectExtent l="0" t="0" r="635" b="190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erialsFrontCover-01.png"/>
                    <pic:cNvPicPr/>
                  </pic:nvPicPr>
                  <pic:blipFill>
                    <a:blip r:embed="rId12">
                      <a:extLst>
                        <a:ext uri="{28A0092B-C50C-407E-A947-70E740481C1C}">
                          <a14:useLocalDpi xmlns:a14="http://schemas.microsoft.com/office/drawing/2010/main" val="0"/>
                        </a:ext>
                      </a:extLst>
                    </a:blip>
                    <a:stretch>
                      <a:fillRect/>
                    </a:stretch>
                  </pic:blipFill>
                  <pic:spPr>
                    <a:xfrm>
                      <a:off x="0" y="0"/>
                      <a:ext cx="7772312" cy="10056495"/>
                    </a:xfrm>
                    <a:prstGeom prst="rect">
                      <a:avLst/>
                    </a:prstGeom>
                  </pic:spPr>
                </pic:pic>
              </a:graphicData>
            </a:graphic>
            <wp14:sizeRelH relativeFrom="page">
              <wp14:pctWidth>0</wp14:pctWidth>
            </wp14:sizeRelH>
            <wp14:sizeRelV relativeFrom="page">
              <wp14:pctHeight>0</wp14:pctHeight>
            </wp14:sizeRelV>
          </wp:anchor>
        </w:drawing>
      </w:r>
    </w:p>
    <w:p w:rsidR="001207EB" w:rsidRDefault="001207EB" w:rsidP="001207EB">
      <w:pPr>
        <w:jc w:val="center"/>
        <w:rPr>
          <w:rFonts w:ascii="Times New Roman" w:hAnsi="Times New Roman" w:cs="Times New Roman"/>
          <w:b/>
          <w:noProof/>
          <w:sz w:val="28"/>
          <w:szCs w:val="28"/>
        </w:rPr>
      </w:pPr>
    </w:p>
    <w:p w:rsidR="001207EB" w:rsidRDefault="001207EB" w:rsidP="001207EB">
      <w:pPr>
        <w:jc w:val="center"/>
        <w:rPr>
          <w:rFonts w:ascii="Times New Roman" w:hAnsi="Times New Roman" w:cs="Times New Roman"/>
          <w:b/>
          <w:noProof/>
          <w:sz w:val="28"/>
          <w:szCs w:val="28"/>
        </w:rPr>
      </w:pPr>
    </w:p>
    <w:p w:rsidR="001207EB" w:rsidRDefault="001207EB" w:rsidP="001207EB">
      <w:pPr>
        <w:jc w:val="center"/>
        <w:rPr>
          <w:rFonts w:ascii="Times New Roman" w:hAnsi="Times New Roman" w:cs="Times New Roman"/>
          <w:b/>
          <w:noProof/>
          <w:sz w:val="28"/>
          <w:szCs w:val="28"/>
        </w:rPr>
      </w:pPr>
    </w:p>
    <w:p w:rsidR="001207EB" w:rsidRDefault="001207EB" w:rsidP="001207EB">
      <w:pPr>
        <w:jc w:val="center"/>
        <w:rPr>
          <w:rFonts w:ascii="Times New Roman" w:hAnsi="Times New Roman" w:cs="Times New Roman"/>
          <w:b/>
          <w:noProof/>
          <w:sz w:val="28"/>
          <w:szCs w:val="28"/>
        </w:rPr>
      </w:pPr>
    </w:p>
    <w:p w:rsidR="001207EB" w:rsidRDefault="001207EB" w:rsidP="001207EB">
      <w:pPr>
        <w:rPr>
          <w:rFonts w:ascii="Verdana" w:hAnsi="Verdana"/>
          <w:b/>
          <w:bCs/>
          <w:sz w:val="56"/>
          <w:szCs w:val="56"/>
          <w:lang w:val="ru-RU"/>
        </w:rPr>
      </w:pPr>
    </w:p>
    <w:p w:rsidR="001207EB" w:rsidRDefault="001207EB" w:rsidP="001207EB">
      <w:pPr>
        <w:rPr>
          <w:rFonts w:ascii="Times New Roman" w:hAnsi="Times New Roman" w:cs="Times New Roman"/>
          <w:b/>
          <w:noProof/>
          <w:sz w:val="28"/>
          <w:szCs w:val="28"/>
          <w:lang w:eastAsia="uk-UA"/>
        </w:rPr>
      </w:pPr>
      <w:r w:rsidRPr="001207EB">
        <w:rPr>
          <w:rFonts w:ascii="Verdana" w:hAnsi="Verdana"/>
          <w:b/>
          <w:bCs/>
          <w:sz w:val="56"/>
          <w:szCs w:val="56"/>
          <w:lang w:val="ru-RU"/>
        </w:rPr>
        <w:t>Інформація про фіскальні ризики та їх вплив на показники державного бюджету у 2020 році</w:t>
      </w:r>
      <w:r>
        <w:rPr>
          <w:rFonts w:ascii="Times New Roman" w:hAnsi="Times New Roman" w:cs="Times New Roman"/>
          <w:b/>
          <w:noProof/>
          <w:sz w:val="28"/>
          <w:szCs w:val="28"/>
          <w:lang w:eastAsia="uk-UA"/>
        </w:rPr>
        <w:t xml:space="preserve"> </w:t>
      </w:r>
    </w:p>
    <w:p w:rsidR="001207EB" w:rsidRDefault="001207EB" w:rsidP="001207EB">
      <w:pPr>
        <w:rPr>
          <w:rFonts w:ascii="Times New Roman" w:hAnsi="Times New Roman" w:cs="Times New Roman"/>
          <w:b/>
          <w:noProof/>
          <w:sz w:val="28"/>
          <w:szCs w:val="28"/>
          <w:lang w:eastAsia="uk-UA"/>
        </w:rPr>
      </w:pPr>
    </w:p>
    <w:p w:rsidR="001207EB" w:rsidRPr="005A0E1F" w:rsidRDefault="001207EB" w:rsidP="001207EB">
      <w:pPr>
        <w:rPr>
          <w:rFonts w:ascii="Times New Roman" w:hAnsi="Times New Roman" w:cs="Times New Roman"/>
          <w:b/>
          <w:noProof/>
          <w:sz w:val="36"/>
          <w:szCs w:val="28"/>
          <w:lang w:eastAsia="uk-UA"/>
        </w:rPr>
      </w:pPr>
      <w:r w:rsidRPr="005A0E1F">
        <w:rPr>
          <w:rFonts w:ascii="Times New Roman" w:hAnsi="Times New Roman"/>
          <w:b/>
          <w:sz w:val="32"/>
          <w:szCs w:val="24"/>
        </w:rPr>
        <w:t>підпункт 1</w:t>
      </w:r>
      <w:r w:rsidRPr="005A0E1F">
        <w:rPr>
          <w:rFonts w:ascii="Times New Roman" w:hAnsi="Times New Roman"/>
          <w:b/>
          <w:sz w:val="32"/>
          <w:szCs w:val="24"/>
          <w:lang w:val="ru-RU"/>
        </w:rPr>
        <w:t>2</w:t>
      </w:r>
      <w:r w:rsidRPr="005A0E1F">
        <w:rPr>
          <w:rFonts w:ascii="Times New Roman" w:hAnsi="Times New Roman"/>
          <w:b/>
          <w:sz w:val="32"/>
          <w:szCs w:val="24"/>
          <w:vertAlign w:val="superscript"/>
          <w:lang w:val="ru-RU"/>
        </w:rPr>
        <w:t>1</w:t>
      </w:r>
      <w:r w:rsidRPr="005A0E1F">
        <w:rPr>
          <w:rFonts w:ascii="Times New Roman" w:hAnsi="Times New Roman"/>
          <w:b/>
          <w:sz w:val="32"/>
          <w:szCs w:val="24"/>
        </w:rPr>
        <w:t xml:space="preserve"> пункту 1 ст. 38 БК</w:t>
      </w:r>
    </w:p>
    <w:p w:rsidR="001207EB" w:rsidRDefault="001207EB" w:rsidP="001207EB">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1207EB" w:rsidRDefault="001207EB" w:rsidP="00490BA1">
      <w:pPr>
        <w:pStyle w:val="Default"/>
        <w:spacing w:line="288" w:lineRule="auto"/>
        <w:jc w:val="center"/>
        <w:rPr>
          <w:rFonts w:ascii="Times New Roman" w:hAnsi="Times New Roman"/>
        </w:rPr>
      </w:pPr>
    </w:p>
    <w:sdt>
      <w:sdtPr>
        <w:rPr>
          <w:rFonts w:asciiTheme="minorHAnsi" w:eastAsiaTheme="minorHAnsi" w:hAnsiTheme="minorHAnsi" w:cstheme="minorBidi"/>
          <w:color w:val="auto"/>
          <w:sz w:val="22"/>
          <w:szCs w:val="22"/>
          <w:lang w:eastAsia="en-US"/>
        </w:rPr>
        <w:id w:val="1097290738"/>
        <w:docPartObj>
          <w:docPartGallery w:val="Table of Contents"/>
          <w:docPartUnique/>
        </w:docPartObj>
      </w:sdtPr>
      <w:sdtEndPr>
        <w:rPr>
          <w:b/>
          <w:bCs/>
        </w:rPr>
      </w:sdtEndPr>
      <w:sdtContent>
        <w:p w:rsidR="001207EB" w:rsidRPr="005A0E1F" w:rsidRDefault="001207EB" w:rsidP="005A0E1F">
          <w:pPr>
            <w:pStyle w:val="aff1"/>
            <w:jc w:val="center"/>
            <w:rPr>
              <w:b/>
              <w:sz w:val="40"/>
            </w:rPr>
          </w:pPr>
          <w:r w:rsidRPr="005A0E1F">
            <w:rPr>
              <w:b/>
              <w:sz w:val="40"/>
            </w:rPr>
            <w:t>Зміст</w:t>
          </w:r>
        </w:p>
        <w:p w:rsidR="001207EB" w:rsidRPr="001207EB" w:rsidRDefault="001207EB">
          <w:pPr>
            <w:pStyle w:val="12"/>
            <w:tabs>
              <w:tab w:val="right" w:leader="dot" w:pos="9627"/>
            </w:tabs>
            <w:rPr>
              <w:noProof/>
            </w:rPr>
          </w:pPr>
          <w:r>
            <w:fldChar w:fldCharType="begin"/>
          </w:r>
          <w:r>
            <w:instrText xml:space="preserve"> TOC \o "1-3" \h \z \u </w:instrText>
          </w:r>
          <w:r>
            <w:fldChar w:fldCharType="separate"/>
          </w:r>
          <w:hyperlink w:anchor="_Toc19289898" w:history="1">
            <w:r w:rsidRPr="005A0E1F">
              <w:rPr>
                <w:rStyle w:val="af6"/>
                <w:noProof/>
              </w:rPr>
              <w:t>ВСТУП</w:t>
            </w:r>
            <w:r w:rsidRPr="001207EB">
              <w:rPr>
                <w:noProof/>
                <w:webHidden/>
              </w:rPr>
              <w:tab/>
            </w:r>
            <w:r w:rsidRPr="00CA2456">
              <w:rPr>
                <w:noProof/>
                <w:webHidden/>
              </w:rPr>
              <w:fldChar w:fldCharType="begin"/>
            </w:r>
            <w:r w:rsidRPr="001207EB">
              <w:rPr>
                <w:noProof/>
                <w:webHidden/>
              </w:rPr>
              <w:instrText xml:space="preserve"> PAGEREF _Toc19289898 \h </w:instrText>
            </w:r>
            <w:r w:rsidRPr="00CA2456">
              <w:rPr>
                <w:noProof/>
                <w:webHidden/>
              </w:rPr>
            </w:r>
            <w:r w:rsidRPr="00CA2456">
              <w:rPr>
                <w:noProof/>
                <w:webHidden/>
              </w:rPr>
              <w:fldChar w:fldCharType="separate"/>
            </w:r>
            <w:r w:rsidR="00D77414">
              <w:rPr>
                <w:noProof/>
                <w:webHidden/>
              </w:rPr>
              <w:t>3</w:t>
            </w:r>
            <w:r w:rsidRPr="00CA2456">
              <w:rPr>
                <w:noProof/>
                <w:webHidden/>
              </w:rPr>
              <w:fldChar w:fldCharType="end"/>
            </w:r>
          </w:hyperlink>
        </w:p>
        <w:p w:rsidR="001207EB" w:rsidRPr="001207EB" w:rsidRDefault="00D77414">
          <w:pPr>
            <w:pStyle w:val="12"/>
            <w:tabs>
              <w:tab w:val="right" w:leader="dot" w:pos="9627"/>
            </w:tabs>
            <w:rPr>
              <w:noProof/>
            </w:rPr>
          </w:pPr>
          <w:hyperlink w:anchor="_Toc19289899" w:history="1">
            <w:r w:rsidR="001207EB" w:rsidRPr="005A0E1F">
              <w:rPr>
                <w:rStyle w:val="af6"/>
                <w:noProof/>
              </w:rPr>
              <w:t>ФІСКАЛЬНІ РИЗИКИ, ПОВ’ЯЗАНІ ІЗ ЗМІНАМИ У  МАКРОЕКОНОМІЧНОМУ СЕРЕДОВИЩІ</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_Toc19289899 \h </w:instrText>
            </w:r>
            <w:r w:rsidR="001207EB" w:rsidRPr="005A0E1F">
              <w:rPr>
                <w:noProof/>
                <w:webHidden/>
              </w:rPr>
            </w:r>
            <w:r w:rsidR="001207EB" w:rsidRPr="005A0E1F">
              <w:rPr>
                <w:noProof/>
                <w:webHidden/>
              </w:rPr>
              <w:fldChar w:fldCharType="separate"/>
            </w:r>
            <w:r>
              <w:rPr>
                <w:noProof/>
                <w:webHidden/>
              </w:rPr>
              <w:t>3</w:t>
            </w:r>
            <w:r w:rsidR="001207EB" w:rsidRPr="005A0E1F">
              <w:rPr>
                <w:noProof/>
                <w:webHidden/>
              </w:rPr>
              <w:fldChar w:fldCharType="end"/>
            </w:r>
          </w:hyperlink>
        </w:p>
        <w:p w:rsidR="001207EB" w:rsidRPr="001207EB" w:rsidRDefault="00D77414">
          <w:pPr>
            <w:pStyle w:val="12"/>
            <w:tabs>
              <w:tab w:val="left" w:pos="440"/>
              <w:tab w:val="right" w:leader="dot" w:pos="9627"/>
            </w:tabs>
            <w:rPr>
              <w:noProof/>
            </w:rPr>
          </w:pPr>
          <w:hyperlink w:anchor="_Toc19289900" w:history="1">
            <w:r w:rsidR="001207EB" w:rsidRPr="005A0E1F">
              <w:rPr>
                <w:rStyle w:val="af6"/>
                <w:rFonts w:eastAsia="Times New Roman"/>
                <w:noProof/>
                <w:lang w:eastAsia="ru-RU"/>
              </w:rPr>
              <w:t>1.</w:t>
            </w:r>
            <w:r w:rsidR="001207EB" w:rsidRPr="001207EB">
              <w:rPr>
                <w:noProof/>
              </w:rPr>
              <w:tab/>
            </w:r>
            <w:r w:rsidR="001207EB" w:rsidRPr="005A0E1F">
              <w:rPr>
                <w:rStyle w:val="af6"/>
                <w:rFonts w:eastAsia="Times New Roman"/>
                <w:noProof/>
                <w:lang w:eastAsia="ru-RU"/>
              </w:rPr>
              <w:t>Оцінка відхилення показників поточного економічного стану від базового  сценарію макроекономічного прогнозу на 2019 рік</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_Toc19289900 \h </w:instrText>
            </w:r>
            <w:r w:rsidR="001207EB" w:rsidRPr="005A0E1F">
              <w:rPr>
                <w:noProof/>
                <w:webHidden/>
              </w:rPr>
            </w:r>
            <w:r w:rsidR="001207EB" w:rsidRPr="005A0E1F">
              <w:rPr>
                <w:noProof/>
                <w:webHidden/>
              </w:rPr>
              <w:fldChar w:fldCharType="separate"/>
            </w:r>
            <w:r>
              <w:rPr>
                <w:noProof/>
                <w:webHidden/>
              </w:rPr>
              <w:t>3</w:t>
            </w:r>
            <w:r w:rsidR="001207EB" w:rsidRPr="005A0E1F">
              <w:rPr>
                <w:noProof/>
                <w:webHidden/>
              </w:rPr>
              <w:fldChar w:fldCharType="end"/>
            </w:r>
          </w:hyperlink>
        </w:p>
        <w:p w:rsidR="001207EB" w:rsidRPr="001207EB" w:rsidRDefault="00D77414">
          <w:pPr>
            <w:pStyle w:val="12"/>
            <w:tabs>
              <w:tab w:val="left" w:pos="440"/>
              <w:tab w:val="right" w:leader="dot" w:pos="9627"/>
            </w:tabs>
            <w:rPr>
              <w:noProof/>
            </w:rPr>
          </w:pPr>
          <w:hyperlink w:anchor="_Toc19289901" w:history="1">
            <w:r w:rsidR="001207EB" w:rsidRPr="005A0E1F">
              <w:rPr>
                <w:rStyle w:val="af6"/>
                <w:rFonts w:eastAsia="Times New Roman"/>
                <w:noProof/>
                <w:lang w:eastAsia="ru-RU"/>
              </w:rPr>
              <w:t>2.</w:t>
            </w:r>
            <w:r w:rsidR="001207EB" w:rsidRPr="001207EB">
              <w:rPr>
                <w:noProof/>
              </w:rPr>
              <w:tab/>
            </w:r>
            <w:r w:rsidR="001207EB" w:rsidRPr="005A0E1F">
              <w:rPr>
                <w:rStyle w:val="af6"/>
                <w:rFonts w:eastAsia="Times New Roman"/>
                <w:noProof/>
                <w:lang w:eastAsia="ru-RU"/>
              </w:rPr>
              <w:t>Сценарії макроекономічного прогнозу на 2020 рік</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_Toc19289901 \h </w:instrText>
            </w:r>
            <w:r w:rsidR="001207EB" w:rsidRPr="005A0E1F">
              <w:rPr>
                <w:noProof/>
                <w:webHidden/>
              </w:rPr>
            </w:r>
            <w:r w:rsidR="001207EB" w:rsidRPr="005A0E1F">
              <w:rPr>
                <w:noProof/>
                <w:webHidden/>
              </w:rPr>
              <w:fldChar w:fldCharType="separate"/>
            </w:r>
            <w:r>
              <w:rPr>
                <w:noProof/>
                <w:webHidden/>
              </w:rPr>
              <w:t>6</w:t>
            </w:r>
            <w:r w:rsidR="001207EB" w:rsidRPr="005A0E1F">
              <w:rPr>
                <w:noProof/>
                <w:webHidden/>
              </w:rPr>
              <w:fldChar w:fldCharType="end"/>
            </w:r>
          </w:hyperlink>
        </w:p>
        <w:p w:rsidR="001207EB" w:rsidRPr="001207EB" w:rsidRDefault="00D77414">
          <w:pPr>
            <w:pStyle w:val="12"/>
            <w:tabs>
              <w:tab w:val="left" w:pos="440"/>
              <w:tab w:val="right" w:leader="dot" w:pos="9627"/>
            </w:tabs>
            <w:rPr>
              <w:noProof/>
            </w:rPr>
          </w:pPr>
          <w:hyperlink w:anchor="_Toc19289902" w:history="1">
            <w:r w:rsidR="001207EB" w:rsidRPr="005A0E1F">
              <w:rPr>
                <w:rStyle w:val="af6"/>
                <w:rFonts w:eastAsia="Times New Roman"/>
                <w:noProof/>
                <w:lang w:eastAsia="ru-RU"/>
              </w:rPr>
              <w:t>3.</w:t>
            </w:r>
            <w:r w:rsidR="001207EB" w:rsidRPr="001207EB">
              <w:rPr>
                <w:noProof/>
              </w:rPr>
              <w:tab/>
            </w:r>
            <w:r w:rsidR="001207EB" w:rsidRPr="005A0E1F">
              <w:rPr>
                <w:rStyle w:val="af6"/>
                <w:rFonts w:eastAsia="Times New Roman"/>
                <w:noProof/>
                <w:lang w:eastAsia="ru-RU"/>
              </w:rPr>
              <w:t>Окремі макроекономічні ризики (шоки)</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_Toc19289902 \h </w:instrText>
            </w:r>
            <w:r w:rsidR="001207EB" w:rsidRPr="005A0E1F">
              <w:rPr>
                <w:noProof/>
                <w:webHidden/>
              </w:rPr>
            </w:r>
            <w:r w:rsidR="001207EB" w:rsidRPr="005A0E1F">
              <w:rPr>
                <w:noProof/>
                <w:webHidden/>
              </w:rPr>
              <w:fldChar w:fldCharType="separate"/>
            </w:r>
            <w:r>
              <w:rPr>
                <w:noProof/>
                <w:webHidden/>
              </w:rPr>
              <w:t>8</w:t>
            </w:r>
            <w:r w:rsidR="001207EB" w:rsidRPr="005A0E1F">
              <w:rPr>
                <w:noProof/>
                <w:webHidden/>
              </w:rPr>
              <w:fldChar w:fldCharType="end"/>
            </w:r>
          </w:hyperlink>
        </w:p>
        <w:p w:rsidR="001207EB" w:rsidRPr="001207EB" w:rsidRDefault="00D77414">
          <w:pPr>
            <w:pStyle w:val="12"/>
            <w:tabs>
              <w:tab w:val="right" w:leader="dot" w:pos="9627"/>
            </w:tabs>
            <w:rPr>
              <w:noProof/>
            </w:rPr>
          </w:pPr>
          <w:hyperlink w:anchor="_Toc19289903" w:history="1">
            <w:r w:rsidR="001207EB" w:rsidRPr="005A0E1F">
              <w:rPr>
                <w:rStyle w:val="af6"/>
                <w:noProof/>
              </w:rPr>
              <w:t>ФІСКАЛЬНІ РИЗИКИ, ПОВ’ЯЗАНІ ІЗ УПРАВЛІННЯМ ДЕРЖАВНИМ БОРГОМ ТА ГАРАНТОВАНИМ ДЕРЖАВОЮ БОРГОМ</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_Toc19289903 \h </w:instrText>
            </w:r>
            <w:r w:rsidR="001207EB" w:rsidRPr="005A0E1F">
              <w:rPr>
                <w:noProof/>
                <w:webHidden/>
              </w:rPr>
            </w:r>
            <w:r w:rsidR="001207EB" w:rsidRPr="005A0E1F">
              <w:rPr>
                <w:noProof/>
                <w:webHidden/>
              </w:rPr>
              <w:fldChar w:fldCharType="separate"/>
            </w:r>
            <w:r>
              <w:rPr>
                <w:noProof/>
                <w:webHidden/>
              </w:rPr>
              <w:t>10</w:t>
            </w:r>
            <w:r w:rsidR="001207EB" w:rsidRPr="005A0E1F">
              <w:rPr>
                <w:noProof/>
                <w:webHidden/>
              </w:rPr>
              <w:fldChar w:fldCharType="end"/>
            </w:r>
          </w:hyperlink>
        </w:p>
        <w:p w:rsidR="001207EB" w:rsidRPr="001207EB" w:rsidRDefault="00D77414">
          <w:pPr>
            <w:pStyle w:val="12"/>
            <w:tabs>
              <w:tab w:val="right" w:leader="dot" w:pos="9627"/>
            </w:tabs>
            <w:rPr>
              <w:noProof/>
            </w:rPr>
          </w:pPr>
          <w:hyperlink w:anchor="_Toc19289904" w:history="1">
            <w:r w:rsidR="001207EB" w:rsidRPr="005A0E1F">
              <w:rPr>
                <w:rStyle w:val="af6"/>
                <w:noProof/>
              </w:rPr>
              <w:t>ФІСКАЛЬНІ РИЗИКИ, ПОВ’ЯЗАНІ ІЗ ДІЯЛЬНІСТЮ СУБ’ЄКТІВ ГОСПОДАРЮВАННЯ ДЕРЖАВНОГО СЕКТОРУ ЕКОНОМІКИ</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_Toc19289904 \h </w:instrText>
            </w:r>
            <w:r w:rsidR="001207EB" w:rsidRPr="005A0E1F">
              <w:rPr>
                <w:noProof/>
                <w:webHidden/>
              </w:rPr>
            </w:r>
            <w:r w:rsidR="001207EB" w:rsidRPr="005A0E1F">
              <w:rPr>
                <w:noProof/>
                <w:webHidden/>
              </w:rPr>
              <w:fldChar w:fldCharType="separate"/>
            </w:r>
            <w:r>
              <w:rPr>
                <w:noProof/>
                <w:webHidden/>
              </w:rPr>
              <w:t>12</w:t>
            </w:r>
            <w:r w:rsidR="001207EB" w:rsidRPr="005A0E1F">
              <w:rPr>
                <w:noProof/>
                <w:webHidden/>
              </w:rPr>
              <w:fldChar w:fldCharType="end"/>
            </w:r>
          </w:hyperlink>
        </w:p>
        <w:p w:rsidR="001207EB" w:rsidRPr="001207EB" w:rsidRDefault="00D77414">
          <w:pPr>
            <w:pStyle w:val="12"/>
            <w:tabs>
              <w:tab w:val="right" w:leader="dot" w:pos="9627"/>
            </w:tabs>
            <w:rPr>
              <w:noProof/>
            </w:rPr>
          </w:pPr>
          <w:hyperlink w:anchor="_Toc19289905" w:history="1">
            <w:r w:rsidR="001207EB" w:rsidRPr="005A0E1F">
              <w:rPr>
                <w:rStyle w:val="af6"/>
                <w:noProof/>
              </w:rPr>
              <w:t>ФІСКАЛЬНІ РИЗИКИ, ПОВ’ЯЗАНІ ІЗ НЕВИКОНАННЯМ ПЛАНУ НАДХОДЖЕНЬ ВІД ПРИВАТИЗАЦІЇ ДЕРЖАВНОГО МАЙНА</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_Toc19289905 \h </w:instrText>
            </w:r>
            <w:r w:rsidR="001207EB" w:rsidRPr="005A0E1F">
              <w:rPr>
                <w:noProof/>
                <w:webHidden/>
              </w:rPr>
            </w:r>
            <w:r w:rsidR="001207EB" w:rsidRPr="005A0E1F">
              <w:rPr>
                <w:noProof/>
                <w:webHidden/>
              </w:rPr>
              <w:fldChar w:fldCharType="separate"/>
            </w:r>
            <w:r>
              <w:rPr>
                <w:noProof/>
                <w:webHidden/>
              </w:rPr>
              <w:t>20</w:t>
            </w:r>
            <w:r w:rsidR="001207EB" w:rsidRPr="005A0E1F">
              <w:rPr>
                <w:noProof/>
                <w:webHidden/>
              </w:rPr>
              <w:fldChar w:fldCharType="end"/>
            </w:r>
          </w:hyperlink>
        </w:p>
        <w:p w:rsidR="001207EB" w:rsidRPr="001207EB" w:rsidRDefault="00D77414">
          <w:pPr>
            <w:pStyle w:val="12"/>
            <w:tabs>
              <w:tab w:val="right" w:leader="dot" w:pos="9627"/>
            </w:tabs>
            <w:rPr>
              <w:noProof/>
            </w:rPr>
          </w:pPr>
          <w:hyperlink w:anchor="_Toc19289906" w:history="1">
            <w:r w:rsidR="001207EB" w:rsidRPr="005A0E1F">
              <w:rPr>
                <w:rStyle w:val="af6"/>
                <w:noProof/>
              </w:rPr>
              <w:t>ФІСКАЛЬНІ РИЗИКИ, ПОВ’ЯЗАНІ ІЗ СФЕРОЮ ПЕНСІЙНОГО ЗАБЕЗПЕЧЕННЯ</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_Toc19289906 \h </w:instrText>
            </w:r>
            <w:r w:rsidR="001207EB" w:rsidRPr="005A0E1F">
              <w:rPr>
                <w:noProof/>
                <w:webHidden/>
              </w:rPr>
            </w:r>
            <w:r w:rsidR="001207EB" w:rsidRPr="005A0E1F">
              <w:rPr>
                <w:noProof/>
                <w:webHidden/>
              </w:rPr>
              <w:fldChar w:fldCharType="separate"/>
            </w:r>
            <w:r>
              <w:rPr>
                <w:noProof/>
                <w:webHidden/>
              </w:rPr>
              <w:t>21</w:t>
            </w:r>
            <w:r w:rsidR="001207EB" w:rsidRPr="005A0E1F">
              <w:rPr>
                <w:noProof/>
                <w:webHidden/>
              </w:rPr>
              <w:fldChar w:fldCharType="end"/>
            </w:r>
          </w:hyperlink>
        </w:p>
        <w:p w:rsidR="001207EB" w:rsidRPr="001207EB" w:rsidRDefault="00D77414">
          <w:pPr>
            <w:pStyle w:val="12"/>
            <w:tabs>
              <w:tab w:val="right" w:leader="dot" w:pos="9627"/>
            </w:tabs>
            <w:rPr>
              <w:noProof/>
            </w:rPr>
          </w:pPr>
          <w:hyperlink w:anchor="_Toc19289907" w:history="1">
            <w:r w:rsidR="001207EB" w:rsidRPr="005A0E1F">
              <w:rPr>
                <w:rStyle w:val="af6"/>
                <w:noProof/>
              </w:rPr>
              <w:t>ФІСКАЛЬНІ РИЗИКИ, ПОВ’ЯЗАНІ ІЗ ФУНКЦІОНУВАННЯМ  ФІНАНСОВОГО СЕКТОРУ</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_Toc19289907 \h </w:instrText>
            </w:r>
            <w:r w:rsidR="001207EB" w:rsidRPr="005A0E1F">
              <w:rPr>
                <w:noProof/>
                <w:webHidden/>
              </w:rPr>
            </w:r>
            <w:r w:rsidR="001207EB" w:rsidRPr="005A0E1F">
              <w:rPr>
                <w:noProof/>
                <w:webHidden/>
              </w:rPr>
              <w:fldChar w:fldCharType="separate"/>
            </w:r>
            <w:r>
              <w:rPr>
                <w:noProof/>
                <w:webHidden/>
              </w:rPr>
              <w:t>22</w:t>
            </w:r>
            <w:r w:rsidR="001207EB" w:rsidRPr="005A0E1F">
              <w:rPr>
                <w:noProof/>
                <w:webHidden/>
              </w:rPr>
              <w:fldChar w:fldCharType="end"/>
            </w:r>
          </w:hyperlink>
        </w:p>
        <w:p w:rsidR="001207EB" w:rsidRDefault="00D77414">
          <w:pPr>
            <w:pStyle w:val="12"/>
            <w:tabs>
              <w:tab w:val="right" w:leader="dot" w:pos="9627"/>
            </w:tabs>
            <w:rPr>
              <w:noProof/>
            </w:rPr>
          </w:pPr>
          <w:hyperlink w:anchor="_Toc19289908" w:history="1">
            <w:r w:rsidR="001207EB" w:rsidRPr="005A0E1F">
              <w:rPr>
                <w:rStyle w:val="af6"/>
                <w:noProof/>
              </w:rPr>
              <w:t>ФІСКАЛЬНІ РИЗИКИ, ПОВ’ЯЗАНІ ІЗ ЛІКВІДАЦІЄЮ НАСЛІДКІВ НАДЗВИЧАЙНИХ СИТУАЦІЙ ТЕХНОГЕННОГО, ПРИРОДНОГО ТА ІНШОГО ХАРАКТЕРУ</w:t>
            </w:r>
            <w:r w:rsidR="001207EB" w:rsidRPr="001207EB">
              <w:rPr>
                <w:noProof/>
                <w:webHidden/>
              </w:rPr>
              <w:tab/>
            </w:r>
            <w:r w:rsidR="001207EB" w:rsidRPr="005A0E1F">
              <w:rPr>
                <w:noProof/>
                <w:webHidden/>
              </w:rPr>
              <w:fldChar w:fldCharType="begin"/>
            </w:r>
            <w:r w:rsidR="001207EB" w:rsidRPr="001207EB">
              <w:rPr>
                <w:noProof/>
                <w:webHidden/>
              </w:rPr>
              <w:instrText xml:space="preserve"> PAGEREF _Toc19289908 \h </w:instrText>
            </w:r>
            <w:r w:rsidR="001207EB" w:rsidRPr="005A0E1F">
              <w:rPr>
                <w:noProof/>
                <w:webHidden/>
              </w:rPr>
            </w:r>
            <w:r w:rsidR="001207EB" w:rsidRPr="005A0E1F">
              <w:rPr>
                <w:noProof/>
                <w:webHidden/>
              </w:rPr>
              <w:fldChar w:fldCharType="separate"/>
            </w:r>
            <w:r>
              <w:rPr>
                <w:noProof/>
                <w:webHidden/>
              </w:rPr>
              <w:t>23</w:t>
            </w:r>
            <w:r w:rsidR="001207EB" w:rsidRPr="005A0E1F">
              <w:rPr>
                <w:noProof/>
                <w:webHidden/>
              </w:rPr>
              <w:fldChar w:fldCharType="end"/>
            </w:r>
          </w:hyperlink>
        </w:p>
        <w:p w:rsidR="001207EB" w:rsidRDefault="001207EB">
          <w:r>
            <w:rPr>
              <w:b/>
              <w:bCs/>
            </w:rPr>
            <w:fldChar w:fldCharType="end"/>
          </w:r>
        </w:p>
      </w:sdtContent>
    </w:sdt>
    <w:p w:rsidR="001207EB" w:rsidRDefault="001207EB" w:rsidP="00490BA1">
      <w:pPr>
        <w:pStyle w:val="Default"/>
        <w:spacing w:line="288" w:lineRule="auto"/>
        <w:jc w:val="center"/>
        <w:rPr>
          <w:rFonts w:ascii="Times New Roman" w:hAnsi="Times New Roman"/>
        </w:rPr>
      </w:pPr>
    </w:p>
    <w:p w:rsidR="001207EB" w:rsidRDefault="001207EB" w:rsidP="00490BA1">
      <w:pPr>
        <w:pStyle w:val="Default"/>
        <w:spacing w:line="288" w:lineRule="auto"/>
        <w:jc w:val="center"/>
        <w:rPr>
          <w:rFonts w:ascii="Times New Roman" w:hAnsi="Times New Roman"/>
        </w:rPr>
      </w:pPr>
    </w:p>
    <w:p w:rsidR="00CA3068" w:rsidRPr="00594FDE" w:rsidRDefault="00CA3068" w:rsidP="00490BA1">
      <w:pPr>
        <w:pStyle w:val="Default"/>
        <w:spacing w:line="288" w:lineRule="auto"/>
        <w:jc w:val="center"/>
        <w:rPr>
          <w:rFonts w:ascii="Times New Roman" w:hAnsi="Times New Roman" w:cs="Times New Roman"/>
          <w:b/>
          <w:bCs/>
          <w:color w:val="365F91" w:themeColor="accent1" w:themeShade="BF"/>
        </w:rPr>
      </w:pPr>
    </w:p>
    <w:p w:rsidR="00796398" w:rsidRPr="00594FDE" w:rsidRDefault="00796398" w:rsidP="005A0E1F">
      <w:pPr>
        <w:pStyle w:val="1"/>
        <w:pageBreakBefore/>
        <w:spacing w:after="120"/>
        <w:jc w:val="center"/>
        <w:rPr>
          <w:b/>
          <w:sz w:val="28"/>
        </w:rPr>
      </w:pPr>
      <w:bookmarkStart w:id="1" w:name="_Toc19289898"/>
      <w:r w:rsidRPr="00594FDE">
        <w:rPr>
          <w:b/>
          <w:sz w:val="28"/>
        </w:rPr>
        <w:lastRenderedPageBreak/>
        <w:t>ВСТУП</w:t>
      </w:r>
      <w:bookmarkEnd w:id="1"/>
    </w:p>
    <w:p w:rsidR="00461B26" w:rsidRPr="000B0D73" w:rsidRDefault="00E30AEA" w:rsidP="00490BA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461B26" w:rsidRPr="000B0D73">
        <w:rPr>
          <w:rFonts w:ascii="Times New Roman" w:hAnsi="Times New Roman" w:cs="Times New Roman"/>
          <w:sz w:val="24"/>
          <w:szCs w:val="24"/>
        </w:rPr>
        <w:t>ержавні фінанси в Україні є чутливими до фіскальних ризиків</w:t>
      </w:r>
      <w:r w:rsidR="00B87C39">
        <w:rPr>
          <w:rFonts w:ascii="Times New Roman" w:hAnsi="Times New Roman" w:cs="Times New Roman"/>
          <w:sz w:val="24"/>
          <w:szCs w:val="24"/>
        </w:rPr>
        <w:t xml:space="preserve">, які </w:t>
      </w:r>
      <w:r w:rsidR="00461B26" w:rsidRPr="000B0D73">
        <w:rPr>
          <w:rFonts w:ascii="Times New Roman" w:hAnsi="Times New Roman" w:cs="Times New Roman"/>
          <w:sz w:val="24"/>
          <w:szCs w:val="24"/>
        </w:rPr>
        <w:t xml:space="preserve">включать: макроекономічні ризики, ризики, пов’язані із державним боргом та державними гарантіями, </w:t>
      </w:r>
      <w:r w:rsidR="00F23C9B" w:rsidRPr="000B0D73">
        <w:rPr>
          <w:rFonts w:ascii="Times New Roman" w:hAnsi="Times New Roman" w:cs="Times New Roman"/>
          <w:sz w:val="24"/>
          <w:szCs w:val="24"/>
        </w:rPr>
        <w:t>діяльністю суб’єктів господарювання державного сектору економіки</w:t>
      </w:r>
      <w:r w:rsidR="00183856" w:rsidRPr="000B0D73">
        <w:rPr>
          <w:rFonts w:ascii="Times New Roman" w:hAnsi="Times New Roman" w:cs="Times New Roman"/>
          <w:sz w:val="24"/>
          <w:szCs w:val="24"/>
        </w:rPr>
        <w:t>,</w:t>
      </w:r>
      <w:r w:rsidR="00461B26" w:rsidRPr="000B0D73">
        <w:rPr>
          <w:rFonts w:ascii="Times New Roman" w:hAnsi="Times New Roman" w:cs="Times New Roman"/>
          <w:sz w:val="24"/>
          <w:szCs w:val="24"/>
        </w:rPr>
        <w:t xml:space="preserve"> </w:t>
      </w:r>
      <w:r w:rsidR="00183856" w:rsidRPr="000B0D73">
        <w:rPr>
          <w:rFonts w:ascii="Times New Roman" w:hAnsi="Times New Roman" w:cs="Times New Roman"/>
          <w:sz w:val="24"/>
          <w:szCs w:val="24"/>
        </w:rPr>
        <w:t>виконанням плану надходжень від приватизації державного майна,</w:t>
      </w:r>
      <w:r w:rsidR="00461B26" w:rsidRPr="000B0D73">
        <w:rPr>
          <w:rFonts w:ascii="Times New Roman" w:hAnsi="Times New Roman" w:cs="Times New Roman"/>
          <w:sz w:val="24"/>
          <w:szCs w:val="24"/>
        </w:rPr>
        <w:t xml:space="preserve"> фінансовим сектором</w:t>
      </w:r>
      <w:r w:rsidR="00183856" w:rsidRPr="000B0D73">
        <w:rPr>
          <w:rFonts w:ascii="Times New Roman" w:hAnsi="Times New Roman" w:cs="Times New Roman"/>
          <w:sz w:val="24"/>
          <w:szCs w:val="24"/>
        </w:rPr>
        <w:t>, сферою пенсійного забезпечення</w:t>
      </w:r>
      <w:r w:rsidR="00461B26" w:rsidRPr="000B0D73">
        <w:rPr>
          <w:rFonts w:ascii="Times New Roman" w:hAnsi="Times New Roman" w:cs="Times New Roman"/>
          <w:sz w:val="24"/>
          <w:szCs w:val="24"/>
        </w:rPr>
        <w:t>.</w:t>
      </w:r>
      <w:r w:rsidR="00B87C39">
        <w:rPr>
          <w:rFonts w:ascii="Times New Roman" w:hAnsi="Times New Roman" w:cs="Times New Roman"/>
          <w:sz w:val="24"/>
          <w:szCs w:val="24"/>
        </w:rPr>
        <w:t xml:space="preserve"> </w:t>
      </w:r>
    </w:p>
    <w:p w:rsidR="00A93FFA" w:rsidRPr="000B0D73" w:rsidRDefault="00B87C39" w:rsidP="00350117">
      <w:pPr>
        <w:pStyle w:val="a4"/>
        <w:spacing w:after="0" w:line="288" w:lineRule="auto"/>
        <w:ind w:left="0" w:firstLine="709"/>
        <w:contextualSpacing w:val="0"/>
        <w:jc w:val="both"/>
        <w:rPr>
          <w:rFonts w:ascii="Times New Roman" w:hAnsi="Times New Roman" w:cs="Times New Roman"/>
          <w:sz w:val="24"/>
          <w:szCs w:val="24"/>
          <w:highlight w:val="cyan"/>
        </w:rPr>
      </w:pPr>
      <w:r>
        <w:rPr>
          <w:rFonts w:ascii="Times New Roman" w:hAnsi="Times New Roman" w:cs="Times New Roman"/>
          <w:sz w:val="24"/>
          <w:szCs w:val="24"/>
        </w:rPr>
        <w:t xml:space="preserve">На відміну від ряду інших країн, в Україні поки що немає укладених договорів в рамках </w:t>
      </w:r>
      <w:r w:rsidRPr="000B0D73">
        <w:rPr>
          <w:rFonts w:ascii="Times New Roman" w:hAnsi="Times New Roman" w:cs="Times New Roman"/>
          <w:sz w:val="24"/>
          <w:szCs w:val="24"/>
        </w:rPr>
        <w:t>державно-приватного партнерства</w:t>
      </w:r>
      <w:r>
        <w:rPr>
          <w:rFonts w:ascii="Times New Roman" w:hAnsi="Times New Roman" w:cs="Times New Roman"/>
          <w:sz w:val="24"/>
          <w:szCs w:val="24"/>
        </w:rPr>
        <w:t xml:space="preserve"> (ДПП), але вже наступного року Міністерство фінансів України здійснюватиме </w:t>
      </w:r>
      <w:r w:rsidR="00A93FFA" w:rsidRPr="000B0D73">
        <w:rPr>
          <w:rFonts w:ascii="Times New Roman" w:hAnsi="Times New Roman" w:cs="Times New Roman"/>
          <w:sz w:val="24"/>
          <w:szCs w:val="24"/>
        </w:rPr>
        <w:t xml:space="preserve">оцінку та моніторинг загального рівня ризиків державного партнера за договорами, укладеними в рамках </w:t>
      </w:r>
      <w:r>
        <w:rPr>
          <w:rFonts w:ascii="Times New Roman" w:hAnsi="Times New Roman" w:cs="Times New Roman"/>
          <w:sz w:val="24"/>
          <w:szCs w:val="24"/>
        </w:rPr>
        <w:t>ДПП.</w:t>
      </w:r>
      <w:r w:rsidR="00A93FFA" w:rsidRPr="000B0D73">
        <w:rPr>
          <w:rFonts w:ascii="Times New Roman" w:hAnsi="Times New Roman" w:cs="Times New Roman"/>
          <w:sz w:val="24"/>
          <w:szCs w:val="24"/>
        </w:rPr>
        <w:t xml:space="preserve"> </w:t>
      </w:r>
      <w:r>
        <w:rPr>
          <w:rFonts w:ascii="Times New Roman" w:hAnsi="Times New Roman" w:cs="Times New Roman"/>
          <w:sz w:val="24"/>
          <w:szCs w:val="24"/>
        </w:rPr>
        <w:t>Т</w:t>
      </w:r>
      <w:r w:rsidR="00A93FFA" w:rsidRPr="000B0D73">
        <w:rPr>
          <w:rFonts w:ascii="Times New Roman" w:hAnsi="Times New Roman" w:cs="Times New Roman"/>
          <w:sz w:val="24"/>
          <w:szCs w:val="24"/>
        </w:rPr>
        <w:t xml:space="preserve">ак, по проекту </w:t>
      </w:r>
      <w:r w:rsidR="00152B31" w:rsidRPr="000B0D73">
        <w:rPr>
          <w:rFonts w:ascii="Times New Roman" w:hAnsi="Times New Roman" w:cs="Times New Roman"/>
          <w:sz w:val="24"/>
          <w:szCs w:val="24"/>
        </w:rPr>
        <w:t>«</w:t>
      </w:r>
      <w:r w:rsidR="00A93FFA" w:rsidRPr="000B0D73">
        <w:rPr>
          <w:rFonts w:ascii="Times New Roman" w:hAnsi="Times New Roman" w:cs="Times New Roman"/>
          <w:sz w:val="24"/>
          <w:szCs w:val="24"/>
        </w:rPr>
        <w:t xml:space="preserve">Енергетичний міст </w:t>
      </w:r>
      <w:r w:rsidR="00152B31" w:rsidRPr="000B0D73">
        <w:rPr>
          <w:rFonts w:ascii="Times New Roman" w:hAnsi="Times New Roman" w:cs="Times New Roman"/>
          <w:sz w:val="24"/>
          <w:szCs w:val="24"/>
        </w:rPr>
        <w:t>«</w:t>
      </w:r>
      <w:r w:rsidR="00A93FFA" w:rsidRPr="000B0D73">
        <w:rPr>
          <w:rFonts w:ascii="Times New Roman" w:hAnsi="Times New Roman" w:cs="Times New Roman"/>
          <w:sz w:val="24"/>
          <w:szCs w:val="24"/>
        </w:rPr>
        <w:t>Україна – ЄС</w:t>
      </w:r>
      <w:r w:rsidR="00152B31" w:rsidRPr="000B0D73">
        <w:rPr>
          <w:rFonts w:ascii="Times New Roman" w:hAnsi="Times New Roman" w:cs="Times New Roman"/>
          <w:sz w:val="24"/>
          <w:szCs w:val="24"/>
        </w:rPr>
        <w:t>»</w:t>
      </w:r>
      <w:r w:rsidR="00A93FFA" w:rsidRPr="000B0D73">
        <w:rPr>
          <w:rFonts w:ascii="Times New Roman" w:hAnsi="Times New Roman" w:cs="Times New Roman"/>
          <w:sz w:val="24"/>
          <w:szCs w:val="24"/>
        </w:rPr>
        <w:t xml:space="preserve"> за підсумками проведення конкурсу з визначення приватного партнера </w:t>
      </w:r>
      <w:r>
        <w:rPr>
          <w:rFonts w:ascii="Times New Roman" w:hAnsi="Times New Roman" w:cs="Times New Roman"/>
          <w:sz w:val="24"/>
          <w:szCs w:val="24"/>
        </w:rPr>
        <w:t>вже</w:t>
      </w:r>
      <w:r w:rsidRPr="000B0D73">
        <w:rPr>
          <w:rFonts w:ascii="Times New Roman" w:hAnsi="Times New Roman" w:cs="Times New Roman"/>
          <w:sz w:val="24"/>
          <w:szCs w:val="24"/>
        </w:rPr>
        <w:t xml:space="preserve"> </w:t>
      </w:r>
      <w:r w:rsidR="00A93FFA" w:rsidRPr="000B0D73">
        <w:rPr>
          <w:rFonts w:ascii="Times New Roman" w:hAnsi="Times New Roman" w:cs="Times New Roman"/>
          <w:sz w:val="24"/>
          <w:szCs w:val="24"/>
        </w:rPr>
        <w:t xml:space="preserve">визначено переможця конкурсу, по проекту </w:t>
      </w:r>
      <w:r w:rsidR="00152B31" w:rsidRPr="000B0D73">
        <w:rPr>
          <w:rFonts w:ascii="Times New Roman" w:hAnsi="Times New Roman" w:cs="Times New Roman"/>
          <w:sz w:val="24"/>
          <w:szCs w:val="24"/>
        </w:rPr>
        <w:t>«</w:t>
      </w:r>
      <w:r w:rsidR="00A93FFA" w:rsidRPr="000B0D73">
        <w:rPr>
          <w:rFonts w:ascii="Times New Roman" w:hAnsi="Times New Roman" w:cs="Times New Roman"/>
          <w:sz w:val="24"/>
          <w:szCs w:val="24"/>
        </w:rPr>
        <w:t>Реконструкція існуючого та створення нового вантажного терміналу в аеропорту "Бориспіль"</w:t>
      </w:r>
      <w:r w:rsidR="00152B31" w:rsidRPr="000B0D73">
        <w:rPr>
          <w:rFonts w:ascii="Times New Roman" w:hAnsi="Times New Roman" w:cs="Times New Roman"/>
          <w:sz w:val="24"/>
          <w:szCs w:val="24"/>
        </w:rPr>
        <w:t>»</w:t>
      </w:r>
      <w:r w:rsidR="00A93FFA" w:rsidRPr="000B0D73">
        <w:rPr>
          <w:rFonts w:ascii="Times New Roman" w:hAnsi="Times New Roman" w:cs="Times New Roman"/>
          <w:sz w:val="24"/>
          <w:szCs w:val="24"/>
        </w:rPr>
        <w:t xml:space="preserve"> оголошено конкурс з визначення приватного партнера, по проектах стосовно надання в концесію цілісних майнових комплексів ДП "Стивідорна компанія "Ольвія" та ДП "Херсонський морський торговельний порт" державна підтримка не передбачена.</w:t>
      </w:r>
    </w:p>
    <w:p w:rsidR="00D84140" w:rsidRPr="000B0D73" w:rsidRDefault="00D84140" w:rsidP="00490BA1">
      <w:pPr>
        <w:tabs>
          <w:tab w:val="left" w:pos="993"/>
        </w:tabs>
        <w:spacing w:after="0" w:line="288" w:lineRule="auto"/>
        <w:ind w:firstLine="709"/>
        <w:jc w:val="both"/>
        <w:rPr>
          <w:rFonts w:ascii="Times New Roman" w:hAnsi="Times New Roman" w:cs="Times New Roman"/>
          <w:sz w:val="24"/>
          <w:szCs w:val="24"/>
        </w:rPr>
      </w:pPr>
      <w:r w:rsidRPr="000B0D73">
        <w:rPr>
          <w:rFonts w:ascii="Times New Roman" w:hAnsi="Times New Roman" w:cs="Times New Roman"/>
          <w:sz w:val="24"/>
          <w:szCs w:val="24"/>
        </w:rPr>
        <w:t xml:space="preserve">Повне представлення інформації про наявні фіскальні ризики у сфері державних фінансів підвищує ступінь обґрунтованості рішень при проведенні бюджетної політики і створює підґрунтя для вжиття адекватних заходів, спрямованих </w:t>
      </w:r>
      <w:r w:rsidR="00B87C39">
        <w:rPr>
          <w:rFonts w:ascii="Times New Roman" w:hAnsi="Times New Roman" w:cs="Times New Roman"/>
          <w:sz w:val="24"/>
          <w:szCs w:val="24"/>
        </w:rPr>
        <w:t>на мінімізацію можливого негативного впливу на бюджетні показники та забезпечення повного і вчасного фінансування основних зобов’язань держави</w:t>
      </w:r>
      <w:r w:rsidRPr="000B0D73">
        <w:rPr>
          <w:rFonts w:ascii="Times New Roman" w:hAnsi="Times New Roman" w:cs="Times New Roman"/>
          <w:sz w:val="24"/>
          <w:szCs w:val="24"/>
        </w:rPr>
        <w:t xml:space="preserve">. </w:t>
      </w:r>
    </w:p>
    <w:p w:rsidR="00CA3068" w:rsidRDefault="00CA3068" w:rsidP="00490BA1">
      <w:pPr>
        <w:pStyle w:val="Default"/>
        <w:spacing w:line="288" w:lineRule="auto"/>
        <w:jc w:val="center"/>
        <w:rPr>
          <w:rFonts w:ascii="Times New Roman" w:hAnsi="Times New Roman" w:cs="Times New Roman"/>
          <w:sz w:val="28"/>
          <w:szCs w:val="28"/>
        </w:rPr>
      </w:pPr>
    </w:p>
    <w:p w:rsidR="0010154A" w:rsidRPr="0060340D" w:rsidRDefault="0010154A" w:rsidP="00490BA1">
      <w:pPr>
        <w:pStyle w:val="Default"/>
        <w:spacing w:line="288" w:lineRule="auto"/>
        <w:jc w:val="center"/>
        <w:rPr>
          <w:rFonts w:ascii="Times New Roman" w:hAnsi="Times New Roman" w:cs="Times New Roman"/>
          <w:sz w:val="28"/>
          <w:szCs w:val="28"/>
        </w:rPr>
      </w:pPr>
    </w:p>
    <w:p w:rsidR="00CA3068" w:rsidRPr="00594FDE" w:rsidRDefault="00D84140" w:rsidP="00594FDE">
      <w:pPr>
        <w:pStyle w:val="1"/>
        <w:spacing w:after="120"/>
        <w:jc w:val="center"/>
        <w:rPr>
          <w:b/>
          <w:sz w:val="28"/>
        </w:rPr>
      </w:pPr>
      <w:bookmarkStart w:id="2" w:name="_Toc19289899"/>
      <w:r w:rsidRPr="00594FDE">
        <w:rPr>
          <w:b/>
          <w:sz w:val="28"/>
        </w:rPr>
        <w:t xml:space="preserve">ФІСКАЛЬНІ РИЗИКИ, ПОВ’ЯЗАНІ ІЗ ЗМІНАМИ У </w:t>
      </w:r>
      <w:r w:rsidR="00490BA1" w:rsidRPr="00594FDE">
        <w:rPr>
          <w:b/>
          <w:sz w:val="28"/>
        </w:rPr>
        <w:br/>
      </w:r>
      <w:r w:rsidR="000A7C29" w:rsidRPr="00594FDE">
        <w:rPr>
          <w:b/>
          <w:sz w:val="28"/>
        </w:rPr>
        <w:t>МАКРОЕКОНОМІЧН</w:t>
      </w:r>
      <w:r w:rsidRPr="00594FDE">
        <w:rPr>
          <w:b/>
          <w:sz w:val="28"/>
        </w:rPr>
        <w:t>ОМУ СЕРЕДОВИЩІ</w:t>
      </w:r>
      <w:bookmarkEnd w:id="2"/>
    </w:p>
    <w:p w:rsidR="00086D1C" w:rsidRPr="00594FDE" w:rsidRDefault="00086D1C" w:rsidP="00594FDE">
      <w:pPr>
        <w:pStyle w:val="1"/>
        <w:numPr>
          <w:ilvl w:val="0"/>
          <w:numId w:val="33"/>
        </w:numPr>
        <w:spacing w:after="120"/>
        <w:ind w:left="426" w:hanging="426"/>
        <w:rPr>
          <w:rFonts w:eastAsia="Times New Roman"/>
          <w:b/>
          <w:sz w:val="24"/>
          <w:lang w:eastAsia="ru-RU"/>
        </w:rPr>
      </w:pPr>
      <w:bookmarkStart w:id="3" w:name="_Toc19289900"/>
      <w:r w:rsidRPr="00594FDE">
        <w:rPr>
          <w:rFonts w:eastAsia="Times New Roman"/>
          <w:b/>
          <w:sz w:val="24"/>
          <w:lang w:eastAsia="ru-RU"/>
        </w:rPr>
        <w:t>Оцінка відхилення показників поточного економічного стан</w:t>
      </w:r>
      <w:r w:rsidR="00B46D21" w:rsidRPr="00594FDE">
        <w:rPr>
          <w:rFonts w:eastAsia="Times New Roman"/>
          <w:b/>
          <w:sz w:val="24"/>
          <w:lang w:eastAsia="ru-RU"/>
        </w:rPr>
        <w:t>у</w:t>
      </w:r>
      <w:r w:rsidRPr="00594FDE">
        <w:rPr>
          <w:rFonts w:eastAsia="Times New Roman"/>
          <w:b/>
          <w:sz w:val="24"/>
          <w:lang w:eastAsia="ru-RU"/>
        </w:rPr>
        <w:t xml:space="preserve"> від базового </w:t>
      </w:r>
      <w:r w:rsidRPr="00594FDE">
        <w:rPr>
          <w:rFonts w:eastAsia="Times New Roman"/>
          <w:b/>
          <w:sz w:val="24"/>
          <w:lang w:eastAsia="ru-RU"/>
        </w:rPr>
        <w:br/>
        <w:t>сценарію макроекономічного прогнозу на 2019 рік</w:t>
      </w:r>
      <w:bookmarkEnd w:id="3"/>
      <w:r w:rsidRPr="00594FDE">
        <w:rPr>
          <w:rFonts w:eastAsia="Times New Roman"/>
          <w:b/>
          <w:sz w:val="24"/>
          <w:lang w:eastAsia="ru-RU"/>
        </w:rPr>
        <w:t xml:space="preserve">  </w:t>
      </w:r>
    </w:p>
    <w:p w:rsidR="00086D1C" w:rsidRPr="00653F9A" w:rsidRDefault="00086D1C" w:rsidP="00490BA1">
      <w:pPr>
        <w:spacing w:after="0" w:line="288" w:lineRule="auto"/>
        <w:ind w:firstLine="567"/>
        <w:jc w:val="both"/>
        <w:rPr>
          <w:rFonts w:ascii="Times New Roman" w:eastAsia="Times New Roman" w:hAnsi="Times New Roman" w:cs="Times New Roman"/>
          <w:sz w:val="24"/>
          <w:szCs w:val="24"/>
          <w:lang w:eastAsia="ru-RU"/>
        </w:rPr>
      </w:pPr>
      <w:r w:rsidRPr="00653F9A">
        <w:rPr>
          <w:rFonts w:ascii="Times New Roman" w:eastAsia="Times New Roman" w:hAnsi="Times New Roman" w:cs="Times New Roman"/>
          <w:sz w:val="24"/>
          <w:szCs w:val="24"/>
          <w:lang w:eastAsia="ru-RU"/>
        </w:rPr>
        <w:t xml:space="preserve">Траєкторія економічного розвитку за </w:t>
      </w:r>
      <w:r w:rsidR="00B87C39">
        <w:rPr>
          <w:rFonts w:ascii="Times New Roman" w:eastAsia="Times New Roman" w:hAnsi="Times New Roman" w:cs="Times New Roman"/>
          <w:sz w:val="24"/>
          <w:szCs w:val="24"/>
          <w:lang w:eastAsia="ru-RU"/>
        </w:rPr>
        <w:t>8</w:t>
      </w:r>
      <w:r w:rsidR="00B87C39" w:rsidRPr="00653F9A">
        <w:rPr>
          <w:rFonts w:ascii="Times New Roman" w:eastAsia="Times New Roman" w:hAnsi="Times New Roman" w:cs="Times New Roman"/>
          <w:sz w:val="24"/>
          <w:szCs w:val="24"/>
          <w:lang w:eastAsia="ru-RU"/>
        </w:rPr>
        <w:t xml:space="preserve"> </w:t>
      </w:r>
      <w:r w:rsidRPr="00653F9A">
        <w:rPr>
          <w:rFonts w:ascii="Times New Roman" w:eastAsia="Times New Roman" w:hAnsi="Times New Roman" w:cs="Times New Roman"/>
          <w:sz w:val="24"/>
          <w:szCs w:val="24"/>
          <w:lang w:eastAsia="ru-RU"/>
        </w:rPr>
        <w:t>місяців 2019 року в цілому відповідає прогнозним значенням основних макроекономічних показників, які були враховані у Державно</w:t>
      </w:r>
      <w:r>
        <w:rPr>
          <w:rFonts w:ascii="Times New Roman" w:eastAsia="Times New Roman" w:hAnsi="Times New Roman" w:cs="Times New Roman"/>
          <w:sz w:val="24"/>
          <w:szCs w:val="24"/>
          <w:lang w:eastAsia="ru-RU"/>
        </w:rPr>
        <w:t>му</w:t>
      </w:r>
      <w:r w:rsidRPr="00653F9A">
        <w:rPr>
          <w:rFonts w:ascii="Times New Roman" w:eastAsia="Times New Roman" w:hAnsi="Times New Roman" w:cs="Times New Roman"/>
          <w:sz w:val="24"/>
          <w:szCs w:val="24"/>
          <w:lang w:eastAsia="ru-RU"/>
        </w:rPr>
        <w:t xml:space="preserve"> бюджет</w:t>
      </w:r>
      <w:r>
        <w:rPr>
          <w:rFonts w:ascii="Times New Roman" w:eastAsia="Times New Roman" w:hAnsi="Times New Roman" w:cs="Times New Roman"/>
          <w:sz w:val="24"/>
          <w:szCs w:val="24"/>
          <w:lang w:eastAsia="ru-RU"/>
        </w:rPr>
        <w:t>і</w:t>
      </w:r>
      <w:r w:rsidRPr="00653F9A">
        <w:rPr>
          <w:rFonts w:ascii="Times New Roman" w:eastAsia="Times New Roman" w:hAnsi="Times New Roman" w:cs="Times New Roman"/>
          <w:sz w:val="24"/>
          <w:szCs w:val="24"/>
          <w:lang w:eastAsia="ru-RU"/>
        </w:rPr>
        <w:t xml:space="preserve"> України </w:t>
      </w:r>
      <w:r w:rsidR="00B46D21">
        <w:rPr>
          <w:rFonts w:ascii="Times New Roman" w:eastAsia="Times New Roman" w:hAnsi="Times New Roman" w:cs="Times New Roman"/>
          <w:sz w:val="24"/>
          <w:szCs w:val="24"/>
          <w:lang w:eastAsia="ru-RU"/>
        </w:rPr>
        <w:t>на 2019 рік. В</w:t>
      </w:r>
      <w:r w:rsidRPr="00653F9A">
        <w:rPr>
          <w:rFonts w:ascii="Times New Roman" w:eastAsia="Times New Roman" w:hAnsi="Times New Roman" w:cs="Times New Roman"/>
          <w:sz w:val="24"/>
          <w:szCs w:val="24"/>
          <w:lang w:eastAsia="ru-RU"/>
        </w:rPr>
        <w:t>ідхилен</w:t>
      </w:r>
      <w:r w:rsidR="00B46D21">
        <w:rPr>
          <w:rFonts w:ascii="Times New Roman" w:eastAsia="Times New Roman" w:hAnsi="Times New Roman" w:cs="Times New Roman"/>
          <w:sz w:val="24"/>
          <w:szCs w:val="24"/>
          <w:lang w:eastAsia="ru-RU"/>
        </w:rPr>
        <w:t>ня</w:t>
      </w:r>
      <w:r w:rsidRPr="00653F9A">
        <w:rPr>
          <w:rFonts w:ascii="Times New Roman" w:eastAsia="Times New Roman" w:hAnsi="Times New Roman" w:cs="Times New Roman"/>
          <w:sz w:val="24"/>
          <w:szCs w:val="24"/>
          <w:lang w:eastAsia="ru-RU"/>
        </w:rPr>
        <w:t xml:space="preserve"> між очікуваними </w:t>
      </w:r>
      <w:r w:rsidR="00AD5F33">
        <w:rPr>
          <w:rFonts w:ascii="Times New Roman" w:eastAsia="Times New Roman" w:hAnsi="Times New Roman" w:cs="Times New Roman"/>
          <w:sz w:val="24"/>
          <w:szCs w:val="24"/>
          <w:lang w:eastAsia="ru-RU"/>
        </w:rPr>
        <w:t xml:space="preserve">Мінекономіки </w:t>
      </w:r>
      <w:r w:rsidRPr="00653F9A">
        <w:rPr>
          <w:rFonts w:ascii="Times New Roman" w:eastAsia="Times New Roman" w:hAnsi="Times New Roman" w:cs="Times New Roman"/>
          <w:sz w:val="24"/>
          <w:szCs w:val="24"/>
          <w:lang w:eastAsia="ru-RU"/>
        </w:rPr>
        <w:t xml:space="preserve">значеннями </w:t>
      </w:r>
      <w:r>
        <w:rPr>
          <w:rFonts w:ascii="Times New Roman" w:eastAsia="Times New Roman" w:hAnsi="Times New Roman" w:cs="Times New Roman"/>
          <w:sz w:val="24"/>
          <w:szCs w:val="24"/>
          <w:lang w:eastAsia="ru-RU"/>
        </w:rPr>
        <w:t xml:space="preserve">основних макроекономічних показників та </w:t>
      </w:r>
      <w:r w:rsidRPr="00653F9A">
        <w:rPr>
          <w:rFonts w:ascii="Times New Roman" w:eastAsia="Times New Roman" w:hAnsi="Times New Roman" w:cs="Times New Roman"/>
          <w:sz w:val="24"/>
          <w:szCs w:val="24"/>
          <w:lang w:eastAsia="ru-RU"/>
        </w:rPr>
        <w:t>прогнозни</w:t>
      </w:r>
      <w:r w:rsidR="00B46D21">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показник</w:t>
      </w:r>
      <w:r w:rsidR="00B46D21">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затверджени</w:t>
      </w:r>
      <w:r w:rsidR="00B46D21">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Кабінетом Міністрів України (</w:t>
      </w:r>
      <w:r w:rsidRPr="00653F9A">
        <w:rPr>
          <w:rFonts w:ascii="Times New Roman" w:eastAsia="Times New Roman" w:hAnsi="Times New Roman" w:cs="Times New Roman"/>
          <w:sz w:val="24"/>
          <w:szCs w:val="24"/>
          <w:lang w:eastAsia="ru-RU"/>
        </w:rPr>
        <w:t>сценарі</w:t>
      </w:r>
      <w:r>
        <w:rPr>
          <w:rFonts w:ascii="Times New Roman" w:eastAsia="Times New Roman" w:hAnsi="Times New Roman" w:cs="Times New Roman"/>
          <w:sz w:val="24"/>
          <w:szCs w:val="24"/>
          <w:lang w:eastAsia="ru-RU"/>
        </w:rPr>
        <w:t>й</w:t>
      </w:r>
      <w:r w:rsidRPr="00653F9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00B1314E">
        <w:rPr>
          <w:rFonts w:ascii="Times New Roman" w:eastAsia="Times New Roman" w:hAnsi="Times New Roman" w:cs="Times New Roman"/>
          <w:sz w:val="24"/>
          <w:szCs w:val="24"/>
          <w:lang w:eastAsia="ru-RU"/>
        </w:rPr>
        <w:t>,</w:t>
      </w:r>
      <w:r w:rsidRPr="00653F9A">
        <w:rPr>
          <w:rFonts w:ascii="Times New Roman" w:eastAsia="Times New Roman" w:hAnsi="Times New Roman" w:cs="Times New Roman"/>
          <w:sz w:val="24"/>
          <w:szCs w:val="24"/>
          <w:lang w:eastAsia="ru-RU"/>
        </w:rPr>
        <w:t xml:space="preserve"> наведено у таблиці</w:t>
      </w:r>
      <w:r w:rsidR="0046155A">
        <w:rPr>
          <w:rFonts w:ascii="Times New Roman" w:eastAsia="Times New Roman" w:hAnsi="Times New Roman" w:cs="Times New Roman"/>
          <w:sz w:val="24"/>
          <w:szCs w:val="24"/>
          <w:lang w:eastAsia="ru-RU"/>
        </w:rPr>
        <w:t xml:space="preserve"> 1</w:t>
      </w:r>
      <w:r w:rsidRPr="00653F9A">
        <w:rPr>
          <w:rFonts w:ascii="Times New Roman" w:eastAsia="Times New Roman" w:hAnsi="Times New Roman" w:cs="Times New Roman"/>
          <w:sz w:val="24"/>
          <w:szCs w:val="24"/>
          <w:lang w:eastAsia="ru-RU"/>
        </w:rPr>
        <w:t xml:space="preserve">. </w:t>
      </w:r>
    </w:p>
    <w:p w:rsidR="00086D1C" w:rsidRPr="00653F9A" w:rsidRDefault="00086D1C" w:rsidP="00490BA1">
      <w:pPr>
        <w:spacing w:after="0" w:line="288" w:lineRule="auto"/>
        <w:ind w:firstLine="567"/>
        <w:jc w:val="both"/>
        <w:rPr>
          <w:rFonts w:ascii="Times New Roman" w:eastAsia="Times New Roman" w:hAnsi="Times New Roman" w:cs="Times New Roman"/>
          <w:sz w:val="24"/>
          <w:szCs w:val="24"/>
          <w:lang w:eastAsia="ru-RU"/>
        </w:rPr>
      </w:pPr>
      <w:r w:rsidRPr="00653F9A">
        <w:rPr>
          <w:rFonts w:ascii="Times New Roman" w:eastAsia="Times New Roman" w:hAnsi="Times New Roman" w:cs="Times New Roman"/>
          <w:sz w:val="24"/>
          <w:szCs w:val="24"/>
          <w:lang w:eastAsia="ru-RU"/>
        </w:rPr>
        <w:t>Основні відхилення поточного стану економіки та показників базового сценарію стосуються показників зовнішнього сектору економіки та</w:t>
      </w:r>
      <w:r>
        <w:rPr>
          <w:rFonts w:ascii="Times New Roman" w:eastAsia="Times New Roman" w:hAnsi="Times New Roman" w:cs="Times New Roman"/>
          <w:sz w:val="24"/>
          <w:szCs w:val="24"/>
          <w:lang w:eastAsia="ru-RU"/>
        </w:rPr>
        <w:t xml:space="preserve"> обмінного курсу гривні до долару США, який є</w:t>
      </w:r>
      <w:r w:rsidRPr="00653F9A">
        <w:rPr>
          <w:rFonts w:ascii="Times New Roman" w:eastAsia="Times New Roman" w:hAnsi="Times New Roman" w:cs="Times New Roman"/>
          <w:sz w:val="24"/>
          <w:szCs w:val="24"/>
          <w:lang w:eastAsia="ru-RU"/>
        </w:rPr>
        <w:t xml:space="preserve"> припущен</w:t>
      </w:r>
      <w:r>
        <w:rPr>
          <w:rFonts w:ascii="Times New Roman" w:eastAsia="Times New Roman" w:hAnsi="Times New Roman" w:cs="Times New Roman"/>
          <w:sz w:val="24"/>
          <w:szCs w:val="24"/>
          <w:lang w:eastAsia="ru-RU"/>
        </w:rPr>
        <w:t xml:space="preserve">ням для макроекономічного прогнозу.  </w:t>
      </w:r>
    </w:p>
    <w:p w:rsidR="00490BA1" w:rsidRDefault="00490BA1" w:rsidP="00B17D0B">
      <w:pPr>
        <w:spacing w:after="0" w:line="316" w:lineRule="auto"/>
        <w:ind w:left="567" w:firstLine="566"/>
        <w:jc w:val="right"/>
        <w:rPr>
          <w:rFonts w:ascii="Times New Roman" w:eastAsia="Times New Roman" w:hAnsi="Times New Roman" w:cs="Times New Roman"/>
          <w:i/>
          <w:sz w:val="24"/>
          <w:szCs w:val="24"/>
          <w:lang w:eastAsia="ru-RU"/>
        </w:rPr>
      </w:pPr>
    </w:p>
    <w:p w:rsidR="0001423B" w:rsidRDefault="0001423B" w:rsidP="00B17D0B">
      <w:pPr>
        <w:spacing w:after="0" w:line="316" w:lineRule="auto"/>
        <w:ind w:left="567" w:firstLine="566"/>
        <w:jc w:val="right"/>
        <w:rPr>
          <w:rFonts w:ascii="Times New Roman" w:eastAsia="Times New Roman" w:hAnsi="Times New Roman" w:cs="Times New Roman"/>
          <w:i/>
          <w:sz w:val="24"/>
          <w:szCs w:val="24"/>
          <w:lang w:eastAsia="ru-RU"/>
        </w:rPr>
      </w:pPr>
    </w:p>
    <w:p w:rsidR="0010154A" w:rsidRDefault="0010154A" w:rsidP="00B17D0B">
      <w:pPr>
        <w:spacing w:after="0" w:line="316" w:lineRule="auto"/>
        <w:ind w:left="567" w:firstLine="566"/>
        <w:jc w:val="right"/>
        <w:rPr>
          <w:rFonts w:ascii="Times New Roman" w:eastAsia="Times New Roman" w:hAnsi="Times New Roman" w:cs="Times New Roman"/>
          <w:i/>
          <w:sz w:val="24"/>
          <w:szCs w:val="24"/>
          <w:lang w:eastAsia="ru-RU"/>
        </w:rPr>
      </w:pPr>
    </w:p>
    <w:p w:rsidR="0010154A" w:rsidRDefault="0010154A" w:rsidP="00B17D0B">
      <w:pPr>
        <w:spacing w:after="0" w:line="316" w:lineRule="auto"/>
        <w:ind w:left="567" w:firstLine="566"/>
        <w:jc w:val="right"/>
        <w:rPr>
          <w:rFonts w:ascii="Times New Roman" w:eastAsia="Times New Roman" w:hAnsi="Times New Roman" w:cs="Times New Roman"/>
          <w:i/>
          <w:sz w:val="24"/>
          <w:szCs w:val="24"/>
          <w:lang w:eastAsia="ru-RU"/>
        </w:rPr>
      </w:pPr>
    </w:p>
    <w:p w:rsidR="0010154A" w:rsidRDefault="0010154A" w:rsidP="00B17D0B">
      <w:pPr>
        <w:spacing w:after="0" w:line="316" w:lineRule="auto"/>
        <w:ind w:left="567" w:firstLine="566"/>
        <w:jc w:val="right"/>
        <w:rPr>
          <w:rFonts w:ascii="Times New Roman" w:eastAsia="Times New Roman" w:hAnsi="Times New Roman" w:cs="Times New Roman"/>
          <w:i/>
          <w:sz w:val="24"/>
          <w:szCs w:val="24"/>
          <w:lang w:eastAsia="ru-RU"/>
        </w:rPr>
      </w:pPr>
    </w:p>
    <w:p w:rsidR="00490BA1" w:rsidRDefault="00490BA1" w:rsidP="00B17D0B">
      <w:pPr>
        <w:spacing w:after="0" w:line="316" w:lineRule="auto"/>
        <w:ind w:left="567" w:firstLine="566"/>
        <w:jc w:val="right"/>
        <w:rPr>
          <w:rFonts w:ascii="Times New Roman" w:eastAsia="Times New Roman" w:hAnsi="Times New Roman" w:cs="Times New Roman"/>
          <w:i/>
          <w:sz w:val="24"/>
          <w:szCs w:val="24"/>
          <w:lang w:eastAsia="ru-RU"/>
        </w:rPr>
      </w:pPr>
    </w:p>
    <w:p w:rsidR="00AD26E2" w:rsidRDefault="00AD26E2" w:rsidP="00B17D0B">
      <w:pPr>
        <w:spacing w:after="0" w:line="316" w:lineRule="auto"/>
        <w:ind w:left="567" w:firstLine="566"/>
        <w:jc w:val="right"/>
        <w:rPr>
          <w:rFonts w:ascii="Times New Roman" w:eastAsia="Times New Roman" w:hAnsi="Times New Roman" w:cs="Times New Roman"/>
          <w:i/>
          <w:sz w:val="24"/>
          <w:szCs w:val="24"/>
          <w:lang w:eastAsia="ru-RU"/>
        </w:rPr>
      </w:pPr>
    </w:p>
    <w:p w:rsidR="00CA2A2A" w:rsidRDefault="0046155A" w:rsidP="00B17D0B">
      <w:pPr>
        <w:spacing w:after="0" w:line="316" w:lineRule="auto"/>
        <w:ind w:left="567" w:firstLine="566"/>
        <w:jc w:val="right"/>
        <w:rPr>
          <w:rFonts w:ascii="Times New Roman" w:eastAsia="Times New Roman" w:hAnsi="Times New Roman" w:cs="Times New Roman"/>
          <w:i/>
          <w:sz w:val="24"/>
          <w:szCs w:val="24"/>
          <w:lang w:eastAsia="ru-RU"/>
        </w:rPr>
      </w:pPr>
      <w:r w:rsidRPr="00B17D0B">
        <w:rPr>
          <w:rFonts w:ascii="Times New Roman" w:eastAsia="Times New Roman" w:hAnsi="Times New Roman" w:cs="Times New Roman"/>
          <w:i/>
          <w:sz w:val="24"/>
          <w:szCs w:val="24"/>
          <w:lang w:eastAsia="ru-RU"/>
        </w:rPr>
        <w:t>Таблиця 1</w:t>
      </w:r>
    </w:p>
    <w:p w:rsidR="006D6FE3" w:rsidRDefault="006D6FE3" w:rsidP="006D6FE3">
      <w:pPr>
        <w:spacing w:after="0" w:line="316" w:lineRule="auto"/>
        <w:ind w:left="567" w:firstLine="566"/>
        <w:jc w:val="center"/>
        <w:rPr>
          <w:rFonts w:ascii="Times New Roman" w:eastAsia="Times New Roman" w:hAnsi="Times New Roman" w:cs="Times New Roman"/>
          <w:b/>
          <w:bCs/>
          <w:sz w:val="24"/>
          <w:szCs w:val="24"/>
          <w:lang w:eastAsia="uk-UA"/>
        </w:rPr>
      </w:pPr>
      <w:r w:rsidRPr="004A1C19">
        <w:rPr>
          <w:rFonts w:ascii="Times New Roman" w:eastAsia="Times New Roman" w:hAnsi="Times New Roman" w:cs="Times New Roman"/>
          <w:b/>
          <w:bCs/>
          <w:sz w:val="24"/>
          <w:szCs w:val="24"/>
          <w:lang w:eastAsia="uk-UA"/>
        </w:rPr>
        <w:t xml:space="preserve">Основні макропоказники економічного і соціального розвитку України </w:t>
      </w:r>
      <w:r>
        <w:rPr>
          <w:rFonts w:ascii="Times New Roman" w:eastAsia="Times New Roman" w:hAnsi="Times New Roman" w:cs="Times New Roman"/>
          <w:b/>
          <w:bCs/>
          <w:sz w:val="24"/>
          <w:szCs w:val="24"/>
          <w:lang w:eastAsia="uk-UA"/>
        </w:rPr>
        <w:br/>
      </w:r>
      <w:r w:rsidRPr="004A1C19">
        <w:rPr>
          <w:rFonts w:ascii="Times New Roman" w:eastAsia="Times New Roman" w:hAnsi="Times New Roman" w:cs="Times New Roman"/>
          <w:b/>
          <w:bCs/>
          <w:sz w:val="24"/>
          <w:szCs w:val="24"/>
          <w:lang w:eastAsia="uk-UA"/>
        </w:rPr>
        <w:t>та окремі припущення прогнозу</w:t>
      </w:r>
      <w:r w:rsidRPr="004A1C19">
        <w:rPr>
          <w:rFonts w:ascii="Times New Roman" w:eastAsia="Times New Roman" w:hAnsi="Times New Roman" w:cs="Times New Roman"/>
          <w:b/>
          <w:bCs/>
          <w:sz w:val="24"/>
          <w:szCs w:val="24"/>
          <w:lang w:val="ru-RU" w:eastAsia="uk-UA"/>
        </w:rPr>
        <w:t xml:space="preserve"> </w:t>
      </w:r>
      <w:r w:rsidRPr="004A1C19">
        <w:rPr>
          <w:rFonts w:ascii="Times New Roman" w:eastAsia="Times New Roman" w:hAnsi="Times New Roman" w:cs="Times New Roman"/>
          <w:b/>
          <w:bCs/>
          <w:sz w:val="24"/>
          <w:szCs w:val="24"/>
          <w:lang w:eastAsia="uk-UA"/>
        </w:rPr>
        <w:t>на 2019 рік</w:t>
      </w:r>
    </w:p>
    <w:tbl>
      <w:tblPr>
        <w:tblW w:w="5000" w:type="pct"/>
        <w:tblLook w:val="0480" w:firstRow="0" w:lastRow="0" w:firstColumn="1" w:lastColumn="0" w:noHBand="0" w:noVBand="1"/>
      </w:tblPr>
      <w:tblGrid>
        <w:gridCol w:w="505"/>
        <w:gridCol w:w="3062"/>
        <w:gridCol w:w="1308"/>
        <w:gridCol w:w="1234"/>
        <w:gridCol w:w="2164"/>
        <w:gridCol w:w="1580"/>
      </w:tblGrid>
      <w:tr w:rsidR="006D6FE3" w:rsidRPr="002C4420" w:rsidTr="006D6FE3">
        <w:trPr>
          <w:trHeight w:val="102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b/>
                <w:bCs/>
                <w:lang w:eastAsia="uk-UA"/>
              </w:rPr>
            </w:pPr>
            <w:r w:rsidRPr="002C4420">
              <w:rPr>
                <w:rFonts w:ascii="Times New Roman" w:eastAsia="Times New Roman" w:hAnsi="Times New Roman" w:cs="Times New Roman"/>
                <w:b/>
                <w:bCs/>
                <w:lang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eastAsia="uk-UA"/>
              </w:rPr>
              <w:br/>
              <w:t>з</w:t>
            </w:r>
            <w:r w:rsidRPr="002C4420">
              <w:rPr>
                <w:rFonts w:ascii="Times New Roman" w:eastAsia="Times New Roman" w:hAnsi="Times New Roman" w:cs="Times New Roman"/>
                <w:b/>
                <w:bCs/>
                <w:lang w:eastAsia="uk-UA"/>
              </w:rPr>
              <w:t>/п</w:t>
            </w:r>
          </w:p>
        </w:tc>
        <w:tc>
          <w:tcPr>
            <w:tcW w:w="1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b/>
                <w:bCs/>
                <w:lang w:eastAsia="uk-UA"/>
              </w:rPr>
            </w:pPr>
            <w:r w:rsidRPr="002C4420">
              <w:rPr>
                <w:rFonts w:ascii="Times New Roman" w:eastAsia="Times New Roman" w:hAnsi="Times New Roman" w:cs="Times New Roman"/>
                <w:b/>
                <w:bCs/>
                <w:lang w:eastAsia="uk-UA"/>
              </w:rPr>
              <w:t>Назва показника</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lang w:eastAsia="uk-UA"/>
              </w:rPr>
              <w:t>Постанова КМУ від 11.07.2018</w:t>
            </w:r>
            <w:r w:rsidRPr="002C4420">
              <w:rPr>
                <w:rFonts w:ascii="Times New Roman" w:eastAsia="Times New Roman" w:hAnsi="Times New Roman" w:cs="Times New Roman"/>
                <w:b/>
                <w:bCs/>
                <w:lang w:eastAsia="uk-UA"/>
              </w:rPr>
              <w:br/>
              <w:t>№546</w:t>
            </w:r>
          </w:p>
        </w:tc>
        <w:tc>
          <w:tcPr>
            <w:tcW w:w="1724" w:type="pct"/>
            <w:gridSpan w:val="2"/>
            <w:tcBorders>
              <w:top w:val="single" w:sz="4" w:space="0" w:color="auto"/>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b/>
                <w:bCs/>
                <w:lang w:eastAsia="uk-UA"/>
              </w:rPr>
            </w:pPr>
            <w:r w:rsidRPr="002C4420">
              <w:rPr>
                <w:rFonts w:ascii="Times New Roman" w:eastAsia="Times New Roman" w:hAnsi="Times New Roman" w:cs="Times New Roman"/>
                <w:b/>
                <w:bCs/>
                <w:lang w:eastAsia="uk-UA"/>
              </w:rPr>
              <w:t>Очікуване</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xml:space="preserve">Відхилення </w:t>
            </w:r>
            <w:r w:rsidRPr="002C4420">
              <w:rPr>
                <w:rFonts w:ascii="Times New Roman" w:eastAsia="Times New Roman" w:hAnsi="Times New Roman" w:cs="Times New Roman"/>
                <w:b/>
                <w:bCs/>
                <w:color w:val="000000"/>
                <w:sz w:val="20"/>
                <w:szCs w:val="20"/>
                <w:lang w:eastAsia="uk-UA"/>
              </w:rPr>
              <w:t>очікування</w:t>
            </w:r>
            <w:r w:rsidRPr="002C4420">
              <w:rPr>
                <w:rFonts w:ascii="Times New Roman" w:eastAsia="Times New Roman" w:hAnsi="Times New Roman" w:cs="Times New Roman"/>
                <w:color w:val="000000"/>
                <w:sz w:val="20"/>
                <w:szCs w:val="20"/>
                <w:lang w:eastAsia="uk-UA"/>
              </w:rPr>
              <w:t xml:space="preserve"> (на 15.08.2019 від </w:t>
            </w:r>
            <w:r w:rsidRPr="002C4420">
              <w:rPr>
                <w:rFonts w:ascii="Times New Roman" w:eastAsia="Times New Roman" w:hAnsi="Times New Roman" w:cs="Times New Roman"/>
                <w:b/>
                <w:bCs/>
                <w:color w:val="000000"/>
                <w:sz w:val="20"/>
                <w:szCs w:val="20"/>
                <w:lang w:eastAsia="uk-UA"/>
              </w:rPr>
              <w:t>затвердженого</w:t>
            </w:r>
            <w:r w:rsidRPr="002C4420">
              <w:rPr>
                <w:rFonts w:ascii="Times New Roman" w:eastAsia="Times New Roman" w:hAnsi="Times New Roman" w:cs="Times New Roman"/>
                <w:color w:val="000000"/>
                <w:sz w:val="20"/>
                <w:szCs w:val="20"/>
                <w:lang w:eastAsia="uk-UA"/>
              </w:rPr>
              <w:t xml:space="preserve"> у </w:t>
            </w:r>
            <w:r>
              <w:rPr>
                <w:rFonts w:ascii="Times New Roman" w:eastAsia="Times New Roman" w:hAnsi="Times New Roman" w:cs="Times New Roman"/>
                <w:color w:val="000000"/>
                <w:sz w:val="20"/>
                <w:szCs w:val="20"/>
                <w:lang w:eastAsia="uk-UA"/>
              </w:rPr>
              <w:t>п</w:t>
            </w:r>
            <w:r w:rsidRPr="002C4420">
              <w:rPr>
                <w:rFonts w:ascii="Times New Roman" w:eastAsia="Times New Roman" w:hAnsi="Times New Roman" w:cs="Times New Roman"/>
                <w:color w:val="000000"/>
                <w:sz w:val="20"/>
                <w:szCs w:val="20"/>
                <w:lang w:eastAsia="uk-UA"/>
              </w:rPr>
              <w:t xml:space="preserve">останові КМУ № 546 </w:t>
            </w:r>
            <w:r>
              <w:rPr>
                <w:rFonts w:ascii="Times New Roman" w:eastAsia="Times New Roman" w:hAnsi="Times New Roman" w:cs="Times New Roman"/>
                <w:color w:val="000000"/>
                <w:sz w:val="20"/>
                <w:szCs w:val="20"/>
                <w:lang w:eastAsia="uk-UA"/>
              </w:rPr>
              <w:br/>
            </w:r>
            <w:r w:rsidRPr="002C4420">
              <w:rPr>
                <w:rFonts w:ascii="Times New Roman" w:eastAsia="Times New Roman" w:hAnsi="Times New Roman" w:cs="Times New Roman"/>
                <w:color w:val="000000"/>
                <w:sz w:val="20"/>
                <w:szCs w:val="20"/>
                <w:lang w:eastAsia="uk-UA"/>
              </w:rPr>
              <w:t xml:space="preserve">(у одиницях) </w:t>
            </w:r>
          </w:p>
        </w:tc>
      </w:tr>
      <w:tr w:rsidR="006D6FE3" w:rsidRPr="002C4420" w:rsidTr="006D6FE3">
        <w:trPr>
          <w:trHeight w:val="127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lang w:eastAsia="uk-UA"/>
              </w:rPr>
            </w:pPr>
          </w:p>
        </w:tc>
        <w:tc>
          <w:tcPr>
            <w:tcW w:w="1554"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lang w:eastAsia="uk-UA"/>
              </w:rPr>
            </w:pPr>
          </w:p>
        </w:tc>
        <w:tc>
          <w:tcPr>
            <w:tcW w:w="664" w:type="pct"/>
            <w:tcBorders>
              <w:top w:val="nil"/>
              <w:left w:val="nil"/>
              <w:bottom w:val="single" w:sz="4" w:space="0" w:color="auto"/>
              <w:right w:val="single" w:sz="4" w:space="0" w:color="auto"/>
            </w:tcBorders>
            <w:shd w:val="clear" w:color="auto" w:fill="auto"/>
            <w:vAlign w:val="center"/>
            <w:hideMark/>
          </w:tcPr>
          <w:p w:rsidR="006D6FE3" w:rsidRPr="002C4420" w:rsidRDefault="00C331BC" w:rsidP="0037551E">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b/>
                <w:bCs/>
                <w:lang w:eastAsia="uk-UA"/>
              </w:rPr>
              <w:t>Сценарій 1</w:t>
            </w:r>
          </w:p>
        </w:tc>
        <w:tc>
          <w:tcPr>
            <w:tcW w:w="626"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lang w:eastAsia="uk-UA"/>
              </w:rPr>
              <w:t xml:space="preserve">під </w:t>
            </w:r>
            <w:r>
              <w:rPr>
                <w:rFonts w:ascii="Times New Roman" w:eastAsia="Times New Roman" w:hAnsi="Times New Roman" w:cs="Times New Roman"/>
                <w:lang w:eastAsia="uk-UA"/>
              </w:rPr>
              <w:t>п</w:t>
            </w:r>
            <w:r w:rsidRPr="002C4420">
              <w:rPr>
                <w:rFonts w:ascii="Times New Roman" w:eastAsia="Times New Roman" w:hAnsi="Times New Roman" w:cs="Times New Roman"/>
                <w:lang w:eastAsia="uk-UA"/>
              </w:rPr>
              <w:t>останову КМУ від 15.05.2019</w:t>
            </w:r>
            <w:r w:rsidRPr="002C4420">
              <w:rPr>
                <w:rFonts w:ascii="Times New Roman" w:eastAsia="Times New Roman" w:hAnsi="Times New Roman" w:cs="Times New Roman"/>
                <w:lang w:eastAsia="uk-UA"/>
              </w:rPr>
              <w:br/>
              <w:t>№555</w:t>
            </w:r>
          </w:p>
        </w:tc>
        <w:tc>
          <w:tcPr>
            <w:tcW w:w="1098"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станом на 15.08.2019</w:t>
            </w:r>
            <w:r>
              <w:rPr>
                <w:rFonts w:ascii="Times New Roman" w:eastAsia="Times New Roman" w:hAnsi="Times New Roman" w:cs="Times New Roman"/>
                <w:lang w:eastAsia="uk-UA"/>
              </w:rPr>
              <w:t xml:space="preserve"> (лист Мінекономрозвитку від</w:t>
            </w:r>
            <w:r w:rsidRPr="00594FDE">
              <w:rPr>
                <w:rFonts w:ascii="Times New Roman" w:eastAsia="Times New Roman" w:hAnsi="Times New Roman" w:cs="Times New Roman"/>
                <w:lang w:eastAsia="uk-UA"/>
              </w:rPr>
              <w:t xml:space="preserve"> 19.08.2019</w:t>
            </w:r>
            <w:r>
              <w:rPr>
                <w:rFonts w:ascii="Times New Roman" w:eastAsia="Times New Roman" w:hAnsi="Times New Roman" w:cs="Times New Roman"/>
                <w:lang w:eastAsia="uk-UA"/>
              </w:rPr>
              <w:t xml:space="preserve"> №</w:t>
            </w:r>
            <w:r w:rsidRPr="00594FDE">
              <w:rPr>
                <w:rFonts w:ascii="Times New Roman" w:eastAsia="Times New Roman" w:hAnsi="Times New Roman" w:cs="Times New Roman"/>
                <w:lang w:eastAsia="uk-UA"/>
              </w:rPr>
              <w:t>3011-01/34772-01</w:t>
            </w:r>
            <w:r>
              <w:rPr>
                <w:rFonts w:ascii="Times New Roman" w:eastAsia="Times New Roman" w:hAnsi="Times New Roman" w:cs="Times New Roman"/>
                <w:lang w:eastAsia="uk-UA"/>
              </w:rPr>
              <w:t>)</w:t>
            </w: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p>
        </w:tc>
      </w:tr>
      <w:tr w:rsidR="006D6FE3" w:rsidRPr="002C4420" w:rsidTr="006D6FE3">
        <w:trPr>
          <w:trHeight w:val="490"/>
        </w:trPr>
        <w:tc>
          <w:tcPr>
            <w:tcW w:w="2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sidRPr="002C4420">
              <w:rPr>
                <w:rFonts w:ascii="Times New Roman" w:eastAsia="Times New Roman" w:hAnsi="Times New Roman" w:cs="Times New Roman"/>
                <w:b/>
                <w:bCs/>
                <w:color w:val="000000"/>
                <w:lang w:eastAsia="uk-UA"/>
              </w:rPr>
              <w:t>1</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b/>
                <w:bCs/>
                <w:lang w:eastAsia="uk-UA"/>
              </w:rPr>
            </w:pPr>
            <w:r w:rsidRPr="002C4420">
              <w:rPr>
                <w:rFonts w:ascii="Times New Roman" w:eastAsia="Times New Roman" w:hAnsi="Times New Roman" w:cs="Times New Roman"/>
                <w:b/>
                <w:bCs/>
                <w:lang w:eastAsia="uk-UA"/>
              </w:rPr>
              <w:t>Валовий внутрішній продукт:</w:t>
            </w:r>
          </w:p>
        </w:tc>
        <w:tc>
          <w:tcPr>
            <w:tcW w:w="664"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626"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1098"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r>
      <w:tr w:rsidR="006D6FE3" w:rsidRPr="002C4420" w:rsidTr="006D6FE3">
        <w:trPr>
          <w:trHeight w:val="58"/>
        </w:trPr>
        <w:tc>
          <w:tcPr>
            <w:tcW w:w="256" w:type="pct"/>
            <w:vMerge/>
            <w:tcBorders>
              <w:top w:val="nil"/>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номінальний, млрд гривень</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3 946</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9</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4 035</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2</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4 014</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7</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67</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8</w:t>
            </w:r>
          </w:p>
        </w:tc>
      </w:tr>
      <w:tr w:rsidR="006D6FE3" w:rsidRPr="002C4420" w:rsidTr="00C331BC">
        <w:tblPrEx>
          <w:tblLook w:val="04A0" w:firstRow="1" w:lastRow="0" w:firstColumn="1" w:lastColumn="0" w:noHBand="0" w:noVBand="1"/>
        </w:tblPrEx>
        <w:trPr>
          <w:trHeight w:val="58"/>
        </w:trPr>
        <w:tc>
          <w:tcPr>
            <w:tcW w:w="256" w:type="pct"/>
            <w:vMerge/>
            <w:tcBorders>
              <w:top w:val="nil"/>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A643C6">
              <w:rPr>
                <w:rFonts w:ascii="Times New Roman" w:eastAsia="Times New Roman" w:hAnsi="Times New Roman" w:cs="Times New Roman"/>
                <w:lang w:eastAsia="uk-UA"/>
              </w:rPr>
              <w:t>реальний, у % р/р</w:t>
            </w:r>
            <w:r w:rsidDel="00D82C0D">
              <w:rPr>
                <w:rFonts w:ascii="Times New Roman" w:eastAsia="Times New Roman" w:hAnsi="Times New Roman" w:cs="Times New Roman"/>
                <w:lang w:eastAsia="uk-UA"/>
              </w:rPr>
              <w:t xml:space="preserve"> </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3,0</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2,8</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3,0</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0</w:t>
            </w:r>
          </w:p>
        </w:tc>
      </w:tr>
      <w:tr w:rsidR="006D6FE3" w:rsidRPr="002C4420" w:rsidTr="00C331BC">
        <w:tblPrEx>
          <w:tblLook w:val="04A0" w:firstRow="1" w:lastRow="0" w:firstColumn="1" w:lastColumn="0" w:noHBand="0" w:noVBand="1"/>
        </w:tblPrEx>
        <w:trPr>
          <w:trHeight w:val="58"/>
        </w:trPr>
        <w:tc>
          <w:tcPr>
            <w:tcW w:w="256" w:type="pct"/>
            <w:tcBorders>
              <w:top w:val="nil"/>
              <w:left w:val="single" w:sz="4" w:space="0" w:color="auto"/>
              <w:bottom w:val="single" w:sz="4" w:space="0" w:color="auto"/>
              <w:right w:val="nil"/>
            </w:tcBorders>
            <w:shd w:val="clear" w:color="auto" w:fill="auto"/>
            <w:noWrap/>
            <w:vAlign w:val="center"/>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w:t>
            </w:r>
          </w:p>
        </w:tc>
        <w:tc>
          <w:tcPr>
            <w:tcW w:w="1554" w:type="pct"/>
            <w:tcBorders>
              <w:top w:val="nil"/>
              <w:left w:val="single" w:sz="4" w:space="0" w:color="auto"/>
              <w:bottom w:val="single" w:sz="4" w:space="0" w:color="auto"/>
              <w:right w:val="single" w:sz="4" w:space="0" w:color="auto"/>
            </w:tcBorders>
            <w:shd w:val="clear" w:color="auto" w:fill="auto"/>
            <w:vAlign w:val="center"/>
          </w:tcPr>
          <w:p w:rsidR="006D6FE3" w:rsidRPr="002C4420" w:rsidRDefault="006D6FE3" w:rsidP="0037551E">
            <w:pPr>
              <w:spacing w:after="0" w:line="240" w:lineRule="auto"/>
              <w:rPr>
                <w:rFonts w:ascii="Times New Roman" w:eastAsia="Times New Roman" w:hAnsi="Times New Roman" w:cs="Times New Roman"/>
                <w:lang w:eastAsia="uk-UA"/>
              </w:rPr>
            </w:pPr>
            <w:r w:rsidRPr="00594FDE">
              <w:rPr>
                <w:rFonts w:ascii="Times New Roman" w:eastAsia="Times New Roman" w:hAnsi="Times New Roman" w:cs="Times New Roman"/>
                <w:lang w:eastAsia="uk-UA"/>
              </w:rPr>
              <w:t>Індекс споживчих цін</w:t>
            </w:r>
            <w:r>
              <w:rPr>
                <w:rFonts w:ascii="Times New Roman" w:eastAsia="Times New Roman" w:hAnsi="Times New Roman" w:cs="Times New Roman"/>
                <w:lang w:eastAsia="uk-UA"/>
              </w:rPr>
              <w:t>, % р/р</w:t>
            </w:r>
          </w:p>
        </w:tc>
        <w:tc>
          <w:tcPr>
            <w:tcW w:w="664" w:type="pct"/>
            <w:tcBorders>
              <w:top w:val="nil"/>
              <w:left w:val="nil"/>
              <w:bottom w:val="single" w:sz="4" w:space="0" w:color="auto"/>
              <w:right w:val="single" w:sz="4" w:space="0" w:color="auto"/>
            </w:tcBorders>
            <w:shd w:val="clear" w:color="auto" w:fill="auto"/>
            <w:noWrap/>
            <w:vAlign w:val="center"/>
          </w:tcPr>
          <w:p w:rsidR="006D6FE3" w:rsidRPr="00594FDE" w:rsidDel="00594FDE" w:rsidRDefault="006D6FE3" w:rsidP="0037551E">
            <w:pPr>
              <w:spacing w:after="0" w:line="240" w:lineRule="auto"/>
              <w:jc w:val="center"/>
              <w:rPr>
                <w:rFonts w:ascii="Times New Roman" w:eastAsia="Times New Roman" w:hAnsi="Times New Roman" w:cs="Times New Roman"/>
                <w:color w:val="000000"/>
                <w:lang w:eastAsia="uk-UA"/>
              </w:rPr>
            </w:pPr>
            <w:r w:rsidRPr="00594FDE">
              <w:rPr>
                <w:rFonts w:ascii="Times New Roman" w:eastAsia="Times New Roman" w:hAnsi="Times New Roman" w:cs="Times New Roman"/>
                <w:color w:val="000000"/>
                <w:lang w:eastAsia="uk-UA"/>
              </w:rPr>
              <w:t>7,4</w:t>
            </w:r>
          </w:p>
        </w:tc>
        <w:tc>
          <w:tcPr>
            <w:tcW w:w="626" w:type="pct"/>
            <w:tcBorders>
              <w:top w:val="nil"/>
              <w:left w:val="nil"/>
              <w:bottom w:val="single" w:sz="4" w:space="0" w:color="auto"/>
              <w:right w:val="single" w:sz="4" w:space="0" w:color="auto"/>
            </w:tcBorders>
            <w:shd w:val="clear" w:color="auto" w:fill="auto"/>
            <w:noWrap/>
            <w:vAlign w:val="center"/>
          </w:tcPr>
          <w:p w:rsidR="006D6FE3" w:rsidRPr="00594FDE" w:rsidDel="00594FDE" w:rsidRDefault="006D6FE3" w:rsidP="0037551E">
            <w:pPr>
              <w:spacing w:after="0" w:line="240" w:lineRule="auto"/>
              <w:jc w:val="center"/>
              <w:rPr>
                <w:rFonts w:ascii="Times New Roman" w:eastAsia="Times New Roman" w:hAnsi="Times New Roman" w:cs="Times New Roman"/>
                <w:color w:val="000000"/>
                <w:lang w:eastAsia="uk-UA"/>
              </w:rPr>
            </w:pPr>
            <w:r w:rsidRPr="00594FDE">
              <w:rPr>
                <w:rFonts w:ascii="Times New Roman" w:eastAsia="Times New Roman" w:hAnsi="Times New Roman" w:cs="Times New Roman"/>
                <w:color w:val="000000"/>
                <w:lang w:eastAsia="uk-UA"/>
              </w:rPr>
              <w:t>7,4</w:t>
            </w:r>
          </w:p>
        </w:tc>
        <w:tc>
          <w:tcPr>
            <w:tcW w:w="1098" w:type="pct"/>
            <w:tcBorders>
              <w:top w:val="nil"/>
              <w:left w:val="nil"/>
              <w:bottom w:val="single" w:sz="4" w:space="0" w:color="auto"/>
              <w:right w:val="single" w:sz="4" w:space="0" w:color="auto"/>
            </w:tcBorders>
            <w:shd w:val="clear" w:color="auto" w:fill="auto"/>
            <w:noWrap/>
            <w:vAlign w:val="center"/>
          </w:tcPr>
          <w:p w:rsidR="006D6FE3" w:rsidRPr="00594FDE" w:rsidDel="00594FDE" w:rsidRDefault="006D6FE3" w:rsidP="0037551E">
            <w:pPr>
              <w:spacing w:after="0" w:line="240" w:lineRule="auto"/>
              <w:jc w:val="center"/>
              <w:rPr>
                <w:rFonts w:ascii="Times New Roman" w:eastAsia="Times New Roman" w:hAnsi="Times New Roman" w:cs="Times New Roman"/>
                <w:color w:val="000000"/>
                <w:lang w:eastAsia="uk-UA"/>
              </w:rPr>
            </w:pPr>
            <w:r w:rsidRPr="00594FDE">
              <w:rPr>
                <w:rFonts w:ascii="Times New Roman" w:eastAsia="Times New Roman" w:hAnsi="Times New Roman" w:cs="Times New Roman"/>
                <w:color w:val="000000"/>
                <w:lang w:eastAsia="uk-UA"/>
              </w:rPr>
              <w:t>7,4</w:t>
            </w:r>
          </w:p>
        </w:tc>
        <w:tc>
          <w:tcPr>
            <w:tcW w:w="802" w:type="pct"/>
            <w:tcBorders>
              <w:top w:val="nil"/>
              <w:left w:val="nil"/>
              <w:bottom w:val="single" w:sz="4" w:space="0" w:color="auto"/>
              <w:right w:val="single" w:sz="4" w:space="0" w:color="auto"/>
            </w:tcBorders>
            <w:shd w:val="clear" w:color="auto" w:fill="auto"/>
            <w:noWrap/>
            <w:vAlign w:val="center"/>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0</w:t>
            </w:r>
          </w:p>
        </w:tc>
      </w:tr>
      <w:tr w:rsidR="006D6FE3" w:rsidRPr="002C4420" w:rsidTr="00C331BC">
        <w:tblPrEx>
          <w:tblLook w:val="04A0" w:firstRow="1" w:lastRow="0" w:firstColumn="1" w:lastColumn="0" w:noHBand="0" w:noVBand="1"/>
        </w:tblPrEx>
        <w:trPr>
          <w:trHeight w:val="336"/>
        </w:trPr>
        <w:tc>
          <w:tcPr>
            <w:tcW w:w="256" w:type="pc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3</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lang w:eastAsia="uk-UA"/>
              </w:rPr>
              <w:t xml:space="preserve">Індекс промислової продукції, </w:t>
            </w:r>
            <w:r>
              <w:rPr>
                <w:rFonts w:ascii="Times New Roman" w:eastAsia="Times New Roman" w:hAnsi="Times New Roman" w:cs="Times New Roman"/>
                <w:lang w:eastAsia="uk-UA"/>
              </w:rPr>
              <w:t>% р/р</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3,9</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2,5</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1,7</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-2</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2</w:t>
            </w:r>
          </w:p>
        </w:tc>
      </w:tr>
      <w:tr w:rsidR="006D6FE3" w:rsidRPr="002C4420" w:rsidTr="00C331BC">
        <w:trPr>
          <w:trHeight w:val="259"/>
        </w:trPr>
        <w:tc>
          <w:tcPr>
            <w:tcW w:w="256" w:type="pc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4</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lang w:eastAsia="uk-UA"/>
              </w:rPr>
              <w:t xml:space="preserve">Продукція сільського господарства, </w:t>
            </w:r>
            <w:r>
              <w:rPr>
                <w:rFonts w:ascii="Times New Roman" w:eastAsia="Times New Roman" w:hAnsi="Times New Roman" w:cs="Times New Roman"/>
                <w:lang w:eastAsia="uk-UA"/>
              </w:rPr>
              <w:t>% р/р</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0,9</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-2,7</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BC762E" w:rsidRDefault="006D6FE3" w:rsidP="0037551E">
            <w:pPr>
              <w:spacing w:after="0" w:line="240" w:lineRule="auto"/>
              <w:jc w:val="center"/>
              <w:rPr>
                <w:rFonts w:ascii="Times New Roman" w:eastAsia="Times New Roman" w:hAnsi="Times New Roman" w:cs="Times New Roman"/>
                <w:color w:val="000000"/>
                <w:lang w:eastAsia="uk-UA"/>
              </w:rPr>
            </w:pPr>
            <w:r w:rsidRPr="00BC762E">
              <w:rPr>
                <w:rFonts w:ascii="Times New Roman" w:eastAsia="Times New Roman" w:hAnsi="Times New Roman" w:cs="Times New Roman"/>
                <w:color w:val="000000"/>
                <w:lang w:eastAsia="uk-UA"/>
              </w:rPr>
              <w:t>-0,5</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4</w:t>
            </w:r>
          </w:p>
        </w:tc>
      </w:tr>
      <w:tr w:rsidR="006D6FE3" w:rsidRPr="002C4420" w:rsidTr="006D6FE3">
        <w:trPr>
          <w:trHeight w:val="770"/>
        </w:trPr>
        <w:tc>
          <w:tcPr>
            <w:tcW w:w="256" w:type="pc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5</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lang w:eastAsia="uk-UA"/>
              </w:rPr>
              <w:t>Сальдо торговельного балансу,</w:t>
            </w:r>
            <w:r w:rsidRPr="002C4420">
              <w:rPr>
                <w:rFonts w:ascii="Times New Roman" w:eastAsia="Times New Roman" w:hAnsi="Times New Roman" w:cs="Times New Roman"/>
                <w:b/>
                <w:bCs/>
                <w:lang w:eastAsia="uk-UA"/>
              </w:rPr>
              <w:br/>
              <w:t xml:space="preserve">визначене за методологією платіжного балансу, </w:t>
            </w:r>
            <w:r w:rsidRPr="002C4420">
              <w:rPr>
                <w:rFonts w:ascii="Times New Roman" w:eastAsia="Times New Roman" w:hAnsi="Times New Roman" w:cs="Times New Roman"/>
                <w:lang w:eastAsia="uk-UA"/>
              </w:rPr>
              <w:t>млн доларів США</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-11</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747</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-12</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541</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-11</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985</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-238</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0</w:t>
            </w:r>
          </w:p>
        </w:tc>
      </w:tr>
      <w:tr w:rsidR="006D6FE3" w:rsidRPr="002C4420" w:rsidTr="006D6FE3">
        <w:trPr>
          <w:trHeight w:val="945"/>
        </w:trPr>
        <w:tc>
          <w:tcPr>
            <w:tcW w:w="256" w:type="pct"/>
            <w:vMerge w:val="restar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6</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C331BC">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lang w:eastAsia="uk-UA"/>
              </w:rPr>
              <w:t>Експорт товарів та послуг (за</w:t>
            </w:r>
            <w:r w:rsidR="00C331BC" w:rsidRPr="005A0E1F">
              <w:rPr>
                <w:rFonts w:ascii="Times New Roman" w:eastAsia="Times New Roman" w:hAnsi="Times New Roman" w:cs="Times New Roman"/>
                <w:b/>
                <w:bCs/>
                <w:lang w:val="ru-RU" w:eastAsia="uk-UA"/>
              </w:rPr>
              <w:t xml:space="preserve"> </w:t>
            </w:r>
            <w:r w:rsidRPr="002C4420">
              <w:rPr>
                <w:rFonts w:ascii="Times New Roman" w:eastAsia="Times New Roman" w:hAnsi="Times New Roman" w:cs="Times New Roman"/>
                <w:b/>
                <w:bCs/>
                <w:lang w:eastAsia="uk-UA"/>
              </w:rPr>
              <w:t xml:space="preserve">методологією платіжного балансу), </w:t>
            </w:r>
            <w:r w:rsidRPr="002C4420">
              <w:rPr>
                <w:rFonts w:ascii="Times New Roman" w:eastAsia="Times New Roman" w:hAnsi="Times New Roman" w:cs="Times New Roman"/>
                <w:lang w:eastAsia="uk-UA"/>
              </w:rPr>
              <w:t>млн</w:t>
            </w:r>
            <w:r w:rsidRPr="002C4420">
              <w:rPr>
                <w:rFonts w:ascii="Times New Roman" w:eastAsia="Times New Roman" w:hAnsi="Times New Roman" w:cs="Times New Roman"/>
                <w:lang w:eastAsia="uk-UA"/>
              </w:rPr>
              <w:br/>
              <w:t>доларів США</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63</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006</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63</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353</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63</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424</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418</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0</w:t>
            </w:r>
          </w:p>
        </w:tc>
      </w:tr>
      <w:tr w:rsidR="006D6FE3" w:rsidRPr="002C4420" w:rsidTr="006D6FE3">
        <w:trPr>
          <w:trHeight w:val="58"/>
        </w:trPr>
        <w:tc>
          <w:tcPr>
            <w:tcW w:w="256" w:type="pct"/>
            <w:vMerge/>
            <w:tcBorders>
              <w:top w:val="nil"/>
              <w:left w:val="single" w:sz="4" w:space="0" w:color="auto"/>
              <w:bottom w:val="single" w:sz="4" w:space="0" w:color="auto"/>
              <w:right w:val="nil"/>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9447F6"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lang w:eastAsia="uk-UA"/>
              </w:rPr>
              <w:t xml:space="preserve">Експорт товарів та послуг, </w:t>
            </w:r>
            <w:r w:rsidRPr="00594FDE">
              <w:rPr>
                <w:rFonts w:ascii="Times New Roman" w:eastAsia="Times New Roman" w:hAnsi="Times New Roman" w:cs="Times New Roman"/>
                <w:lang w:val="ru-RU" w:eastAsia="uk-UA"/>
              </w:rPr>
              <w:t xml:space="preserve">% </w:t>
            </w:r>
            <w:r>
              <w:rPr>
                <w:rFonts w:ascii="Times New Roman" w:eastAsia="Times New Roman" w:hAnsi="Times New Roman" w:cs="Times New Roman"/>
                <w:lang w:eastAsia="uk-UA"/>
              </w:rPr>
              <w:t>р/р</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108</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3</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2</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3</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0</w:t>
            </w:r>
          </w:p>
        </w:tc>
      </w:tr>
      <w:tr w:rsidR="006D6FE3" w:rsidRPr="002C4420" w:rsidTr="006D6FE3">
        <w:trPr>
          <w:trHeight w:val="840"/>
        </w:trPr>
        <w:tc>
          <w:tcPr>
            <w:tcW w:w="256" w:type="pct"/>
            <w:vMerge w:val="restar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7</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lang w:eastAsia="uk-UA"/>
              </w:rPr>
              <w:t>Імпорт товарів та послуг (за</w:t>
            </w:r>
            <w:r w:rsidRPr="002C4420">
              <w:rPr>
                <w:rFonts w:ascii="Times New Roman" w:eastAsia="Times New Roman" w:hAnsi="Times New Roman" w:cs="Times New Roman"/>
                <w:b/>
                <w:bCs/>
                <w:lang w:eastAsia="uk-UA"/>
              </w:rPr>
              <w:br/>
              <w:t xml:space="preserve">методологією платіжного балансу), </w:t>
            </w:r>
            <w:r w:rsidRPr="002C4420">
              <w:rPr>
                <w:rFonts w:ascii="Times New Roman" w:eastAsia="Times New Roman" w:hAnsi="Times New Roman" w:cs="Times New Roman"/>
                <w:lang w:eastAsia="uk-UA"/>
              </w:rPr>
              <w:t>млн доларів США</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74</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753</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75</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894</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75</w:t>
            </w:r>
            <w:r>
              <w:rPr>
                <w:rFonts w:ascii="Times New Roman" w:eastAsia="Times New Roman" w:hAnsi="Times New Roman" w:cs="Times New Roman"/>
                <w:color w:val="000000"/>
                <w:lang w:eastAsia="uk-UA"/>
              </w:rPr>
              <w:t> </w:t>
            </w:r>
            <w:r w:rsidRPr="002C4420">
              <w:rPr>
                <w:rFonts w:ascii="Times New Roman" w:eastAsia="Times New Roman" w:hAnsi="Times New Roman" w:cs="Times New Roman"/>
                <w:color w:val="000000"/>
                <w:lang w:eastAsia="uk-UA"/>
              </w:rPr>
              <w:t>409</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656</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0</w:t>
            </w:r>
          </w:p>
        </w:tc>
      </w:tr>
      <w:tr w:rsidR="006D6FE3" w:rsidRPr="002C4420" w:rsidTr="006D6FE3">
        <w:trPr>
          <w:trHeight w:val="305"/>
        </w:trPr>
        <w:tc>
          <w:tcPr>
            <w:tcW w:w="256" w:type="pct"/>
            <w:vMerge/>
            <w:tcBorders>
              <w:top w:val="nil"/>
              <w:left w:val="single" w:sz="4" w:space="0" w:color="auto"/>
              <w:bottom w:val="single" w:sz="4" w:space="0" w:color="auto"/>
              <w:right w:val="nil"/>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lang w:eastAsia="uk-UA"/>
              </w:rPr>
              <w:t xml:space="preserve">Імпорт товарів та послуг, </w:t>
            </w:r>
            <w:r>
              <w:rPr>
                <w:rFonts w:ascii="Times New Roman" w:eastAsia="Times New Roman" w:hAnsi="Times New Roman" w:cs="Times New Roman"/>
                <w:lang w:eastAsia="uk-UA"/>
              </w:rPr>
              <w:t>% р/р</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109</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1</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9</w:t>
            </w:r>
          </w:p>
        </w:tc>
        <w:tc>
          <w:tcPr>
            <w:tcW w:w="1098"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107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1</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-2</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0</w:t>
            </w:r>
          </w:p>
        </w:tc>
      </w:tr>
      <w:tr w:rsidR="006D6FE3" w:rsidRPr="002C4420" w:rsidTr="006D6FE3">
        <w:trPr>
          <w:trHeight w:val="560"/>
        </w:trPr>
        <w:tc>
          <w:tcPr>
            <w:tcW w:w="256" w:type="pct"/>
            <w:vMerge w:val="restart"/>
            <w:tcBorders>
              <w:top w:val="nil"/>
              <w:left w:val="single" w:sz="4" w:space="0" w:color="auto"/>
              <w:bottom w:val="single" w:sz="4" w:space="0" w:color="auto"/>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8</w:t>
            </w: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lang w:eastAsia="uk-UA"/>
              </w:rPr>
            </w:pPr>
            <w:r w:rsidRPr="00594FDE">
              <w:rPr>
                <w:rFonts w:ascii="Times New Roman" w:eastAsia="Times New Roman" w:hAnsi="Times New Roman" w:cs="Times New Roman"/>
                <w:b/>
                <w:lang w:eastAsia="uk-UA"/>
              </w:rPr>
              <w:t>Обмінний курс гривні до долара США</w:t>
            </w:r>
            <w:r w:rsidRPr="002C4420">
              <w:rPr>
                <w:rFonts w:ascii="Times New Roman" w:eastAsia="Times New Roman" w:hAnsi="Times New Roman" w:cs="Times New Roman"/>
                <w:lang w:eastAsia="uk-UA"/>
              </w:rPr>
              <w:t>, гривень за долар США:</w:t>
            </w:r>
          </w:p>
        </w:tc>
        <w:tc>
          <w:tcPr>
            <w:tcW w:w="664"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626"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1098"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 </w:t>
            </w:r>
          </w:p>
        </w:tc>
      </w:tr>
      <w:tr w:rsidR="006D6FE3" w:rsidRPr="002C4420" w:rsidTr="006D6FE3">
        <w:trPr>
          <w:trHeight w:val="319"/>
        </w:trPr>
        <w:tc>
          <w:tcPr>
            <w:tcW w:w="256" w:type="pct"/>
            <w:vMerge/>
            <w:tcBorders>
              <w:top w:val="nil"/>
              <w:left w:val="single" w:sz="4" w:space="0" w:color="auto"/>
              <w:bottom w:val="single" w:sz="4" w:space="0" w:color="auto"/>
              <w:right w:val="nil"/>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в середньому за період</w:t>
            </w:r>
          </w:p>
        </w:tc>
        <w:tc>
          <w:tcPr>
            <w:tcW w:w="664"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28</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2</w:t>
            </w:r>
          </w:p>
        </w:tc>
        <w:tc>
          <w:tcPr>
            <w:tcW w:w="626"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27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4</w:t>
            </w:r>
          </w:p>
        </w:tc>
        <w:tc>
          <w:tcPr>
            <w:tcW w:w="1098"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26,5 [±1]</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-1</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7</w:t>
            </w:r>
          </w:p>
        </w:tc>
      </w:tr>
      <w:tr w:rsidR="006D6FE3" w:rsidRPr="002C4420" w:rsidTr="005A206C">
        <w:trPr>
          <w:trHeight w:val="58"/>
        </w:trPr>
        <w:tc>
          <w:tcPr>
            <w:tcW w:w="256" w:type="pct"/>
            <w:vMerge/>
            <w:tcBorders>
              <w:top w:val="nil"/>
              <w:left w:val="single" w:sz="4" w:space="0" w:color="auto"/>
              <w:bottom w:val="single" w:sz="4" w:space="0" w:color="auto"/>
              <w:right w:val="nil"/>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nil"/>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на кінець періоду</w:t>
            </w:r>
          </w:p>
        </w:tc>
        <w:tc>
          <w:tcPr>
            <w:tcW w:w="664"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29,4 [±2]</w:t>
            </w:r>
          </w:p>
        </w:tc>
        <w:tc>
          <w:tcPr>
            <w:tcW w:w="626"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28,0 [±2]</w:t>
            </w:r>
          </w:p>
        </w:tc>
        <w:tc>
          <w:tcPr>
            <w:tcW w:w="1098" w:type="pct"/>
            <w:tcBorders>
              <w:top w:val="nil"/>
              <w:left w:val="nil"/>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27,2  [±1]</w:t>
            </w:r>
          </w:p>
        </w:tc>
        <w:tc>
          <w:tcPr>
            <w:tcW w:w="802" w:type="pct"/>
            <w:tcBorders>
              <w:top w:val="nil"/>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sz w:val="20"/>
                <w:szCs w:val="20"/>
                <w:lang w:eastAsia="uk-UA"/>
              </w:rPr>
            </w:pPr>
            <w:r w:rsidRPr="002C4420">
              <w:rPr>
                <w:rFonts w:ascii="Times New Roman" w:eastAsia="Times New Roman" w:hAnsi="Times New Roman" w:cs="Times New Roman"/>
                <w:b/>
                <w:bCs/>
                <w:color w:val="000000"/>
                <w:sz w:val="20"/>
                <w:szCs w:val="20"/>
                <w:lang w:eastAsia="uk-UA"/>
              </w:rPr>
              <w:t>-2</w:t>
            </w:r>
            <w:r>
              <w:rPr>
                <w:rFonts w:ascii="Times New Roman" w:eastAsia="Times New Roman" w:hAnsi="Times New Roman" w:cs="Times New Roman"/>
                <w:b/>
                <w:bCs/>
                <w:color w:val="000000"/>
                <w:sz w:val="20"/>
                <w:szCs w:val="20"/>
                <w:lang w:eastAsia="uk-UA"/>
              </w:rPr>
              <w:t>,</w:t>
            </w:r>
            <w:r w:rsidRPr="002C4420">
              <w:rPr>
                <w:rFonts w:ascii="Times New Roman" w:eastAsia="Times New Roman" w:hAnsi="Times New Roman" w:cs="Times New Roman"/>
                <w:b/>
                <w:bCs/>
                <w:color w:val="000000"/>
                <w:sz w:val="20"/>
                <w:szCs w:val="20"/>
                <w:lang w:eastAsia="uk-UA"/>
              </w:rPr>
              <w:t>2</w:t>
            </w:r>
          </w:p>
        </w:tc>
      </w:tr>
      <w:tr w:rsidR="006D6FE3" w:rsidRPr="002C4420" w:rsidTr="005A206C">
        <w:trPr>
          <w:trHeight w:val="30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9</w:t>
            </w:r>
          </w:p>
        </w:tc>
        <w:tc>
          <w:tcPr>
            <w:tcW w:w="474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sz w:val="24"/>
                <w:szCs w:val="24"/>
                <w:lang w:eastAsia="uk-UA"/>
              </w:rPr>
              <w:t>Зовнішні умови</w:t>
            </w:r>
            <w:r w:rsidRPr="002C4420">
              <w:rPr>
                <w:rFonts w:ascii="Times New Roman" w:eastAsia="Times New Roman" w:hAnsi="Times New Roman" w:cs="Times New Roman"/>
                <w:color w:val="000000"/>
                <w:sz w:val="20"/>
                <w:szCs w:val="20"/>
                <w:lang w:eastAsia="uk-UA"/>
              </w:rPr>
              <w:t> </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Середньорічна ціна на нафту марки Brent</w:t>
            </w:r>
            <w:r w:rsidRPr="002C4420">
              <w:rPr>
                <w:rFonts w:ascii="Times New Roman" w:eastAsia="Times New Roman" w:hAnsi="Times New Roman" w:cs="Times New Roman"/>
                <w:lang w:eastAsia="uk-UA"/>
              </w:rPr>
              <w:t>,</w:t>
            </w:r>
            <w:r w:rsidRPr="002C4420">
              <w:rPr>
                <w:rFonts w:ascii="Times New Roman" w:eastAsia="Times New Roman" w:hAnsi="Times New Roman" w:cs="Times New Roman"/>
                <w:lang w:eastAsia="uk-UA"/>
              </w:rPr>
              <w:br/>
              <w:t>дол.США за барель</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66,2 [±5]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67,7 [±5]</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64,8 [±5]</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4</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Середньорічна ціна на імпортований</w:t>
            </w:r>
            <w:r w:rsidRPr="00594FDE">
              <w:rPr>
                <w:rFonts w:ascii="Times New Roman" w:eastAsia="Times New Roman" w:hAnsi="Times New Roman" w:cs="Times New Roman"/>
                <w:b/>
                <w:lang w:eastAsia="uk-UA"/>
              </w:rPr>
              <w:br/>
              <w:t>природний газ</w:t>
            </w:r>
            <w:r w:rsidRPr="002C4420">
              <w:rPr>
                <w:rFonts w:ascii="Times New Roman" w:eastAsia="Times New Roman" w:hAnsi="Times New Roman" w:cs="Times New Roman"/>
                <w:lang w:eastAsia="uk-UA"/>
              </w:rPr>
              <w:t>, дол.США за 1 тис.куб.м</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275,7 [±10]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238,6 [±5]</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230,6 [±5]</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-45</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1</w:t>
            </w:r>
          </w:p>
        </w:tc>
      </w:tr>
      <w:tr w:rsidR="006D6FE3" w:rsidRPr="002C4420" w:rsidTr="005A206C">
        <w:trPr>
          <w:trHeight w:val="84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 xml:space="preserve">Індекс світових цін на базові метали, </w:t>
            </w:r>
            <w:r w:rsidRPr="002C4420">
              <w:rPr>
                <w:rFonts w:ascii="Times New Roman" w:eastAsia="Times New Roman" w:hAnsi="Times New Roman" w:cs="Times New Roman"/>
                <w:lang w:eastAsia="uk-UA"/>
              </w:rPr>
              <w:t xml:space="preserve">середньорічний приріст/зниження, </w:t>
            </w:r>
            <w:r>
              <w:rPr>
                <w:rFonts w:ascii="Times New Roman" w:eastAsia="Times New Roman" w:hAnsi="Times New Roman" w:cs="Times New Roman"/>
                <w:lang w:eastAsia="uk-UA"/>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-,6 [±2]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-3,5 [±2]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-8 [±2]</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-6</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4</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Світова ціна на залізні руди,</w:t>
            </w:r>
            <w:r w:rsidRPr="00594FDE">
              <w:rPr>
                <w:rFonts w:ascii="Times New Roman" w:eastAsia="Times New Roman" w:hAnsi="Times New Roman" w:cs="Times New Roman"/>
                <w:b/>
                <w:lang w:eastAsia="uk-UA"/>
              </w:rPr>
              <w:br/>
            </w:r>
            <w:r w:rsidRPr="002C4420">
              <w:rPr>
                <w:rFonts w:ascii="Times New Roman" w:eastAsia="Times New Roman" w:hAnsi="Times New Roman" w:cs="Times New Roman"/>
                <w:lang w:eastAsia="uk-UA"/>
              </w:rPr>
              <w:t xml:space="preserve">середньорічний приріст/зниження, </w:t>
            </w:r>
            <w:r>
              <w:rPr>
                <w:rFonts w:ascii="Times New Roman" w:eastAsia="Times New Roman" w:hAnsi="Times New Roman" w:cs="Times New Roman"/>
                <w:lang w:eastAsia="uk-UA"/>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-6,3 [±3]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11,3 [±3]</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32,5 [±2]</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38</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8</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Світова ціна на добрива (мочевина),</w:t>
            </w:r>
            <w:r>
              <w:rPr>
                <w:rFonts w:ascii="Times New Roman" w:eastAsia="Times New Roman" w:hAnsi="Times New Roman" w:cs="Times New Roman"/>
                <w:lang w:eastAsia="uk-UA"/>
              </w:rPr>
              <w:t xml:space="preserve"> </w:t>
            </w:r>
            <w:r w:rsidRPr="002C4420">
              <w:rPr>
                <w:rFonts w:ascii="Times New Roman" w:eastAsia="Times New Roman" w:hAnsi="Times New Roman" w:cs="Times New Roman"/>
                <w:lang w:eastAsia="uk-UA"/>
              </w:rPr>
              <w:t xml:space="preserve">середньорічний приріст/зниження, </w:t>
            </w:r>
            <w:r>
              <w:rPr>
                <w:rFonts w:ascii="Times New Roman" w:eastAsia="Times New Roman" w:hAnsi="Times New Roman" w:cs="Times New Roman"/>
                <w:lang w:eastAsia="uk-UA"/>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2,7 [±2]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0,4 [±2]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3,2 [±2]</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5</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Світова ціна на кукурудзу</w:t>
            </w:r>
            <w:r w:rsidRPr="002C4420">
              <w:rPr>
                <w:rFonts w:ascii="Times New Roman" w:eastAsia="Times New Roman" w:hAnsi="Times New Roman" w:cs="Times New Roman"/>
                <w:lang w:eastAsia="uk-UA"/>
              </w:rPr>
              <w:t>,</w:t>
            </w:r>
            <w:r w:rsidRPr="002C4420">
              <w:rPr>
                <w:rFonts w:ascii="Times New Roman" w:eastAsia="Times New Roman" w:hAnsi="Times New Roman" w:cs="Times New Roman"/>
                <w:lang w:eastAsia="uk-UA"/>
              </w:rPr>
              <w:br/>
              <w:t xml:space="preserve">середньорічний приріст/зниження, </w:t>
            </w:r>
            <w:r>
              <w:rPr>
                <w:rFonts w:ascii="Times New Roman" w:eastAsia="Times New Roman" w:hAnsi="Times New Roman" w:cs="Times New Roman"/>
                <w:lang w:eastAsia="uk-UA"/>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1,8 [±2]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2,2 [±2]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2,2 [±2]</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4</w:t>
            </w:r>
          </w:p>
        </w:tc>
      </w:tr>
      <w:tr w:rsidR="006D6FE3" w:rsidRPr="002C4420" w:rsidTr="005A206C">
        <w:trPr>
          <w:trHeight w:val="56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D6FE3" w:rsidRPr="002C4420" w:rsidRDefault="006D6FE3" w:rsidP="0037551E">
            <w:pPr>
              <w:spacing w:after="0" w:line="240" w:lineRule="auto"/>
              <w:rPr>
                <w:rFonts w:ascii="Times New Roman" w:eastAsia="Times New Roman" w:hAnsi="Times New Roman" w:cs="Times New Roman"/>
                <w:b/>
                <w:bCs/>
                <w:color w:val="000000"/>
                <w:lang w:eastAsia="uk-UA"/>
              </w:rPr>
            </w:pP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594FDE">
              <w:rPr>
                <w:rFonts w:ascii="Times New Roman" w:eastAsia="Times New Roman" w:hAnsi="Times New Roman" w:cs="Times New Roman"/>
                <w:b/>
                <w:lang w:eastAsia="uk-UA"/>
              </w:rPr>
              <w:t>Світова ціна на пшеницю,</w:t>
            </w:r>
            <w:r w:rsidRPr="002C4420">
              <w:rPr>
                <w:rFonts w:ascii="Times New Roman" w:eastAsia="Times New Roman" w:hAnsi="Times New Roman" w:cs="Times New Roman"/>
                <w:lang w:eastAsia="uk-UA"/>
              </w:rPr>
              <w:t xml:space="preserve"> середньорічний</w:t>
            </w:r>
            <w:r>
              <w:rPr>
                <w:rFonts w:ascii="Times New Roman" w:eastAsia="Times New Roman" w:hAnsi="Times New Roman" w:cs="Times New Roman"/>
                <w:lang w:eastAsia="uk-UA"/>
              </w:rPr>
              <w:t xml:space="preserve"> </w:t>
            </w:r>
            <w:r w:rsidRPr="002C4420">
              <w:rPr>
                <w:rFonts w:ascii="Times New Roman" w:eastAsia="Times New Roman" w:hAnsi="Times New Roman" w:cs="Times New Roman"/>
                <w:lang w:eastAsia="uk-UA"/>
              </w:rPr>
              <w:t xml:space="preserve">приріст/зниження, </w:t>
            </w:r>
            <w:r>
              <w:rPr>
                <w:rFonts w:ascii="Times New Roman" w:eastAsia="Times New Roman" w:hAnsi="Times New Roman" w:cs="Times New Roman"/>
                <w:lang w:eastAsia="uk-UA"/>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2,1 [±2]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1,0 [±2]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jc w:val="center"/>
              <w:rPr>
                <w:rFonts w:ascii="Times New Roman" w:eastAsia="Times New Roman" w:hAnsi="Times New Roman" w:cs="Times New Roman"/>
                <w:lang w:eastAsia="uk-UA"/>
              </w:rPr>
            </w:pPr>
            <w:r w:rsidRPr="002C4420">
              <w:rPr>
                <w:rFonts w:ascii="Times New Roman" w:eastAsia="Times New Roman" w:hAnsi="Times New Roman" w:cs="Times New Roman"/>
                <w:lang w:eastAsia="uk-UA"/>
              </w:rPr>
              <w:t>-4,5 [±2]</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-6</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6</w:t>
            </w:r>
          </w:p>
        </w:tc>
      </w:tr>
      <w:tr w:rsidR="006D6FE3" w:rsidRPr="002C4420" w:rsidTr="005A206C">
        <w:trPr>
          <w:trHeight w:val="560"/>
        </w:trPr>
        <w:tc>
          <w:tcPr>
            <w:tcW w:w="256" w:type="pct"/>
            <w:tcBorders>
              <w:top w:val="single" w:sz="4" w:space="0" w:color="auto"/>
              <w:left w:val="single" w:sz="4" w:space="0" w:color="000000"/>
              <w:bottom w:val="single" w:sz="4" w:space="0" w:color="000000"/>
              <w:right w:val="nil"/>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10</w:t>
            </w:r>
          </w:p>
        </w:tc>
        <w:tc>
          <w:tcPr>
            <w:tcW w:w="1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6FE3" w:rsidRPr="002C4420" w:rsidRDefault="006D6FE3" w:rsidP="0037551E">
            <w:pPr>
              <w:spacing w:after="0" w:line="240" w:lineRule="auto"/>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b/>
                <w:bCs/>
                <w:lang w:eastAsia="uk-UA"/>
              </w:rPr>
              <w:t xml:space="preserve">Валовий збір зернових, </w:t>
            </w:r>
            <w:r w:rsidRPr="002C4420">
              <w:rPr>
                <w:rFonts w:ascii="Times New Roman" w:eastAsia="Times New Roman" w:hAnsi="Times New Roman" w:cs="Times New Roman"/>
                <w:lang w:eastAsia="uk-UA"/>
              </w:rPr>
              <w:t>млн тонн</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62</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67</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4</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lang w:eastAsia="uk-UA"/>
              </w:rPr>
            </w:pPr>
            <w:r w:rsidRPr="002C4420">
              <w:rPr>
                <w:rFonts w:ascii="Times New Roman" w:eastAsia="Times New Roman" w:hAnsi="Times New Roman" w:cs="Times New Roman"/>
                <w:color w:val="000000"/>
                <w:lang w:eastAsia="uk-UA"/>
              </w:rPr>
              <w:t>70</w:t>
            </w:r>
            <w:r>
              <w:rPr>
                <w:rFonts w:ascii="Times New Roman" w:eastAsia="Times New Roman" w:hAnsi="Times New Roman" w:cs="Times New Roman"/>
                <w:color w:val="000000"/>
                <w:lang w:eastAsia="uk-UA"/>
              </w:rPr>
              <w:t>,</w:t>
            </w:r>
            <w:r w:rsidRPr="002C4420">
              <w:rPr>
                <w:rFonts w:ascii="Times New Roman" w:eastAsia="Times New Roman" w:hAnsi="Times New Roman" w:cs="Times New Roman"/>
                <w:color w:val="000000"/>
                <w:lang w:eastAsia="uk-UA"/>
              </w:rPr>
              <w:t>8</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6D6FE3" w:rsidRPr="002C4420" w:rsidRDefault="006D6FE3" w:rsidP="0037551E">
            <w:pPr>
              <w:spacing w:after="0" w:line="240" w:lineRule="auto"/>
              <w:jc w:val="center"/>
              <w:rPr>
                <w:rFonts w:ascii="Times New Roman" w:eastAsia="Times New Roman" w:hAnsi="Times New Roman" w:cs="Times New Roman"/>
                <w:color w:val="000000"/>
                <w:sz w:val="20"/>
                <w:szCs w:val="20"/>
                <w:lang w:eastAsia="uk-UA"/>
              </w:rPr>
            </w:pPr>
            <w:r w:rsidRPr="002C4420">
              <w:rPr>
                <w:rFonts w:ascii="Times New Roman" w:eastAsia="Times New Roman" w:hAnsi="Times New Roman" w:cs="Times New Roman"/>
                <w:color w:val="000000"/>
                <w:sz w:val="20"/>
                <w:szCs w:val="20"/>
                <w:lang w:eastAsia="uk-UA"/>
              </w:rPr>
              <w:t>8</w:t>
            </w:r>
            <w:r>
              <w:rPr>
                <w:rFonts w:ascii="Times New Roman" w:eastAsia="Times New Roman" w:hAnsi="Times New Roman" w:cs="Times New Roman"/>
                <w:color w:val="000000"/>
                <w:sz w:val="20"/>
                <w:szCs w:val="20"/>
                <w:lang w:eastAsia="uk-UA"/>
              </w:rPr>
              <w:t>,</w:t>
            </w:r>
            <w:r w:rsidRPr="002C4420">
              <w:rPr>
                <w:rFonts w:ascii="Times New Roman" w:eastAsia="Times New Roman" w:hAnsi="Times New Roman" w:cs="Times New Roman"/>
                <w:color w:val="000000"/>
                <w:sz w:val="20"/>
                <w:szCs w:val="20"/>
                <w:lang w:eastAsia="uk-UA"/>
              </w:rPr>
              <w:t>7</w:t>
            </w:r>
          </w:p>
        </w:tc>
      </w:tr>
    </w:tbl>
    <w:p w:rsidR="006D6FE3" w:rsidRDefault="006D6FE3" w:rsidP="006D6FE3">
      <w:pPr>
        <w:spacing w:after="0" w:line="316" w:lineRule="auto"/>
        <w:rPr>
          <w:rFonts w:ascii="Times New Roman" w:eastAsia="Times New Roman" w:hAnsi="Times New Roman" w:cs="Times New Roman"/>
          <w:i/>
          <w:sz w:val="24"/>
          <w:szCs w:val="24"/>
          <w:lang w:eastAsia="ru-RU"/>
        </w:rPr>
      </w:pPr>
      <w:r w:rsidRPr="00DA5597">
        <w:rPr>
          <w:rFonts w:ascii="Times New Roman" w:eastAsia="Times New Roman" w:hAnsi="Times New Roman" w:cs="Times New Roman"/>
          <w:i/>
          <w:iCs/>
          <w:sz w:val="20"/>
          <w:szCs w:val="20"/>
          <w:lang w:eastAsia="uk-UA"/>
        </w:rPr>
        <w:t xml:space="preserve">Джерело: </w:t>
      </w:r>
      <w:r w:rsidRPr="00330DF4">
        <w:rPr>
          <w:rFonts w:ascii="Times New Roman" w:eastAsia="Times New Roman" w:hAnsi="Times New Roman" w:cs="Times New Roman"/>
          <w:i/>
          <w:iCs/>
          <w:sz w:val="20"/>
          <w:szCs w:val="20"/>
          <w:lang w:eastAsia="uk-UA"/>
        </w:rPr>
        <w:t>розрахунки Мінекономіки</w:t>
      </w:r>
    </w:p>
    <w:p w:rsidR="00B1314E" w:rsidRPr="00EB5720" w:rsidRDefault="00B1314E" w:rsidP="006D6FE3">
      <w:pPr>
        <w:spacing w:before="240" w:after="0" w:line="240" w:lineRule="auto"/>
        <w:ind w:firstLine="567"/>
        <w:jc w:val="both"/>
        <w:rPr>
          <w:rFonts w:ascii="Times New Roman" w:eastAsia="Times New Roman" w:hAnsi="Times New Roman" w:cs="Times New Roman"/>
          <w:b/>
          <w:sz w:val="24"/>
          <w:szCs w:val="24"/>
          <w:lang w:eastAsia="ru-RU"/>
        </w:rPr>
      </w:pPr>
      <w:r w:rsidRPr="00EB5720">
        <w:rPr>
          <w:rFonts w:ascii="Times New Roman" w:eastAsia="Times New Roman" w:hAnsi="Times New Roman" w:cs="Times New Roman"/>
          <w:b/>
          <w:sz w:val="24"/>
          <w:szCs w:val="24"/>
          <w:lang w:eastAsia="ru-RU"/>
        </w:rPr>
        <w:t xml:space="preserve">Випуск </w:t>
      </w:r>
    </w:p>
    <w:p w:rsidR="00B1314E" w:rsidRPr="00CB0C20" w:rsidRDefault="00B64FA0" w:rsidP="00B1314E">
      <w:pPr>
        <w:pStyle w:val="af1"/>
        <w:spacing w:before="12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CB0C20">
        <w:rPr>
          <w:rFonts w:ascii="Times New Roman" w:hAnsi="Times New Roman" w:cs="Times New Roman"/>
          <w:sz w:val="24"/>
          <w:szCs w:val="24"/>
          <w:lang w:val="uk-UA"/>
        </w:rPr>
        <w:t>січн</w:t>
      </w:r>
      <w:r>
        <w:rPr>
          <w:rFonts w:ascii="Times New Roman" w:hAnsi="Times New Roman" w:cs="Times New Roman"/>
          <w:sz w:val="24"/>
          <w:szCs w:val="24"/>
          <w:lang w:val="uk-UA"/>
        </w:rPr>
        <w:t>і</w:t>
      </w:r>
      <w:r w:rsidRPr="00CB0C20">
        <w:rPr>
          <w:rFonts w:ascii="Times New Roman" w:hAnsi="Times New Roman" w:cs="Times New Roman"/>
          <w:sz w:val="24"/>
          <w:szCs w:val="24"/>
          <w:lang w:val="uk-UA"/>
        </w:rPr>
        <w:t>-липн</w:t>
      </w:r>
      <w:r>
        <w:rPr>
          <w:rFonts w:ascii="Times New Roman" w:hAnsi="Times New Roman" w:cs="Times New Roman"/>
          <w:sz w:val="24"/>
          <w:szCs w:val="24"/>
          <w:lang w:val="uk-UA"/>
        </w:rPr>
        <w:t>і</w:t>
      </w:r>
      <w:r w:rsidRPr="00CB0C20">
        <w:rPr>
          <w:rFonts w:ascii="Times New Roman" w:hAnsi="Times New Roman" w:cs="Times New Roman"/>
          <w:sz w:val="24"/>
          <w:szCs w:val="24"/>
          <w:lang w:val="uk-UA"/>
        </w:rPr>
        <w:t xml:space="preserve"> 2019</w:t>
      </w:r>
      <w:r>
        <w:rPr>
          <w:rFonts w:ascii="Times New Roman" w:hAnsi="Times New Roman" w:cs="Times New Roman"/>
          <w:sz w:val="24"/>
          <w:szCs w:val="24"/>
          <w:lang w:val="uk-UA"/>
        </w:rPr>
        <w:t> </w:t>
      </w:r>
      <w:r w:rsidRPr="00CB0C20">
        <w:rPr>
          <w:rFonts w:ascii="Times New Roman" w:hAnsi="Times New Roman" w:cs="Times New Roman"/>
          <w:sz w:val="24"/>
          <w:szCs w:val="24"/>
          <w:lang w:val="uk-UA"/>
        </w:rPr>
        <w:t xml:space="preserve">року </w:t>
      </w:r>
      <w:r w:rsidRPr="00CB0C20">
        <w:rPr>
          <w:rFonts w:ascii="Times New Roman" w:eastAsia="Times New Roman" w:hAnsi="Times New Roman" w:cs="Times New Roman"/>
          <w:sz w:val="24"/>
          <w:szCs w:val="24"/>
          <w:lang w:val="uk-UA" w:eastAsia="uk-UA"/>
        </w:rPr>
        <w:t>промислов</w:t>
      </w:r>
      <w:r>
        <w:rPr>
          <w:rFonts w:ascii="Times New Roman" w:eastAsia="Times New Roman" w:hAnsi="Times New Roman" w:cs="Times New Roman"/>
          <w:sz w:val="24"/>
          <w:szCs w:val="24"/>
          <w:lang w:val="uk-UA" w:eastAsia="uk-UA"/>
        </w:rPr>
        <w:t>е</w:t>
      </w:r>
      <w:r w:rsidRPr="00CB0C20">
        <w:rPr>
          <w:rFonts w:ascii="Times New Roman" w:eastAsia="Times New Roman" w:hAnsi="Times New Roman" w:cs="Times New Roman"/>
          <w:sz w:val="24"/>
          <w:szCs w:val="24"/>
          <w:lang w:val="uk-UA" w:eastAsia="uk-UA"/>
        </w:rPr>
        <w:t xml:space="preserve"> виробництв</w:t>
      </w:r>
      <w:r>
        <w:rPr>
          <w:rFonts w:ascii="Times New Roman" w:eastAsia="Times New Roman" w:hAnsi="Times New Roman" w:cs="Times New Roman"/>
          <w:sz w:val="24"/>
          <w:szCs w:val="24"/>
          <w:lang w:val="uk-UA" w:eastAsia="uk-UA"/>
        </w:rPr>
        <w:t>о зросло на 0</w:t>
      </w:r>
      <w:r w:rsidRPr="00CB0C20">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CB0C20">
        <w:rPr>
          <w:rFonts w:ascii="Times New Roman" w:eastAsia="Times New Roman" w:hAnsi="Times New Roman" w:cs="Times New Roman"/>
          <w:sz w:val="24"/>
          <w:szCs w:val="24"/>
          <w:lang w:val="uk-UA" w:eastAsia="uk-UA"/>
        </w:rPr>
        <w:t>.</w:t>
      </w:r>
      <w:r w:rsidRPr="00CB0C20">
        <w:rPr>
          <w:rFonts w:ascii="Times New Roman" w:hAnsi="Times New Roman" w:cs="Times New Roman"/>
          <w:sz w:val="24"/>
          <w:szCs w:val="24"/>
          <w:lang w:val="uk-UA"/>
        </w:rPr>
        <w:t xml:space="preserve"> </w:t>
      </w:r>
      <w:r w:rsidR="00B1314E" w:rsidRPr="00CB0C20">
        <w:rPr>
          <w:rFonts w:ascii="Times New Roman" w:hAnsi="Times New Roman" w:cs="Times New Roman"/>
          <w:sz w:val="24"/>
          <w:szCs w:val="24"/>
          <w:lang w:val="uk-UA"/>
        </w:rPr>
        <w:t xml:space="preserve">За підсумками </w:t>
      </w:r>
      <w:r w:rsidR="00016546">
        <w:rPr>
          <w:rFonts w:ascii="Times New Roman" w:hAnsi="Times New Roman" w:cs="Times New Roman"/>
          <w:sz w:val="24"/>
          <w:szCs w:val="24"/>
          <w:lang w:val="uk-UA"/>
        </w:rPr>
        <w:br/>
      </w:r>
      <w:r w:rsidR="00B1314E" w:rsidRPr="00CB0C20">
        <w:rPr>
          <w:rFonts w:ascii="Times New Roman" w:hAnsi="Times New Roman" w:cs="Times New Roman"/>
          <w:sz w:val="24"/>
          <w:szCs w:val="24"/>
          <w:lang w:val="uk-UA"/>
        </w:rPr>
        <w:t>2019 року</w:t>
      </w:r>
      <w:r w:rsidR="00B1314E" w:rsidRPr="00CB0C20">
        <w:rPr>
          <w:rFonts w:ascii="Times New Roman" w:eastAsia="Times New Roman" w:hAnsi="Times New Roman" w:cs="Times New Roman"/>
          <w:sz w:val="24"/>
          <w:szCs w:val="24"/>
          <w:lang w:val="uk-UA" w:eastAsia="uk-UA"/>
        </w:rPr>
        <w:t xml:space="preserve"> </w:t>
      </w:r>
      <w:r w:rsidR="009447F6">
        <w:rPr>
          <w:rFonts w:ascii="Times New Roman" w:hAnsi="Times New Roman" w:cs="Times New Roman"/>
          <w:sz w:val="24"/>
          <w:szCs w:val="24"/>
          <w:lang w:val="uk-UA"/>
        </w:rPr>
        <w:t>Мінекономіки очікує зростання</w:t>
      </w:r>
      <w:r w:rsidR="009447F6" w:rsidRPr="00CB0C20">
        <w:rPr>
          <w:rFonts w:ascii="Times New Roman" w:hAnsi="Times New Roman" w:cs="Times New Roman"/>
          <w:sz w:val="24"/>
          <w:szCs w:val="24"/>
          <w:lang w:val="uk-UA"/>
        </w:rPr>
        <w:t xml:space="preserve"> </w:t>
      </w:r>
      <w:r w:rsidR="00B1314E" w:rsidRPr="00CB0C20">
        <w:rPr>
          <w:rFonts w:ascii="Times New Roman" w:eastAsia="Times New Roman" w:hAnsi="Times New Roman" w:cs="Times New Roman"/>
          <w:sz w:val="24"/>
          <w:szCs w:val="24"/>
          <w:lang w:val="uk-UA" w:eastAsia="uk-UA"/>
        </w:rPr>
        <w:t>промислового виробництва</w:t>
      </w:r>
      <w:r w:rsidR="00B1314E" w:rsidRPr="00CB0C20">
        <w:rPr>
          <w:rFonts w:ascii="Times New Roman" w:hAnsi="Times New Roman" w:cs="Times New Roman"/>
          <w:sz w:val="24"/>
          <w:szCs w:val="24"/>
          <w:lang w:val="uk-UA"/>
        </w:rPr>
        <w:t xml:space="preserve"> на </w:t>
      </w:r>
      <w:r w:rsidR="00B1314E" w:rsidRPr="00CB0C20">
        <w:rPr>
          <w:rFonts w:ascii="Times New Roman" w:eastAsia="Times New Roman" w:hAnsi="Times New Roman" w:cs="Times New Roman"/>
          <w:color w:val="000000"/>
          <w:sz w:val="24"/>
          <w:szCs w:val="24"/>
          <w:lang w:val="uk-UA" w:eastAsia="uk-UA" w:bidi="ar-SA"/>
        </w:rPr>
        <w:t>1,7%</w:t>
      </w:r>
      <w:r w:rsidR="00B1314E" w:rsidRPr="00CB0C20">
        <w:rPr>
          <w:rFonts w:ascii="Times New Roman" w:hAnsi="Times New Roman" w:cs="Times New Roman"/>
          <w:sz w:val="24"/>
          <w:szCs w:val="24"/>
          <w:lang w:val="uk-UA"/>
        </w:rPr>
        <w:t xml:space="preserve">, що </w:t>
      </w:r>
      <w:r w:rsidR="00B1314E" w:rsidRPr="00CB0C20">
        <w:rPr>
          <w:rFonts w:ascii="Times New Roman" w:eastAsia="Times New Roman" w:hAnsi="Times New Roman" w:cs="Times New Roman"/>
          <w:sz w:val="24"/>
          <w:szCs w:val="24"/>
          <w:lang w:val="uk-UA" w:eastAsia="uk-UA"/>
        </w:rPr>
        <w:t xml:space="preserve">менше за прогнозне значення цього показника </w:t>
      </w:r>
      <w:r w:rsidR="009447F6">
        <w:rPr>
          <w:rFonts w:ascii="Times New Roman" w:eastAsia="Times New Roman" w:hAnsi="Times New Roman" w:cs="Times New Roman"/>
          <w:sz w:val="24"/>
          <w:szCs w:val="24"/>
          <w:lang w:val="uk-UA" w:eastAsia="uk-UA"/>
        </w:rPr>
        <w:t xml:space="preserve">відповідно до </w:t>
      </w:r>
      <w:r w:rsidR="00B1314E" w:rsidRPr="00CB0C20">
        <w:rPr>
          <w:rFonts w:ascii="Times New Roman" w:eastAsia="Times New Roman" w:hAnsi="Times New Roman" w:cs="Times New Roman"/>
          <w:sz w:val="24"/>
          <w:szCs w:val="24"/>
          <w:lang w:val="uk-UA" w:eastAsia="uk-UA"/>
        </w:rPr>
        <w:t xml:space="preserve">базового сценарію </w:t>
      </w:r>
      <w:r w:rsidR="00B1314E">
        <w:rPr>
          <w:rFonts w:ascii="Times New Roman" w:hAnsi="Times New Roman" w:cs="Times New Roman"/>
          <w:sz w:val="24"/>
          <w:szCs w:val="24"/>
          <w:lang w:val="ru-RU"/>
        </w:rPr>
        <w:t xml:space="preserve">у </w:t>
      </w:r>
      <w:r w:rsidR="00B1314E" w:rsidRPr="00CB0C20">
        <w:rPr>
          <w:rFonts w:ascii="Times New Roman" w:eastAsia="Times New Roman" w:hAnsi="Times New Roman" w:cs="Times New Roman"/>
          <w:color w:val="000000"/>
          <w:sz w:val="24"/>
          <w:szCs w:val="24"/>
          <w:lang w:val="uk-UA" w:eastAsia="uk-UA" w:bidi="ar-SA"/>
        </w:rPr>
        <w:t>3,9</w:t>
      </w:r>
      <w:r w:rsidR="00B1314E" w:rsidRPr="00CB0C20">
        <w:rPr>
          <w:rFonts w:ascii="Times New Roman" w:hAnsi="Times New Roman" w:cs="Times New Roman"/>
          <w:sz w:val="24"/>
          <w:szCs w:val="24"/>
          <w:lang w:val="uk-UA"/>
        </w:rPr>
        <w:t>%. Так</w:t>
      </w:r>
      <w:r w:rsidR="009447F6">
        <w:rPr>
          <w:rFonts w:ascii="Times New Roman" w:hAnsi="Times New Roman" w:cs="Times New Roman"/>
          <w:sz w:val="24"/>
          <w:szCs w:val="24"/>
          <w:lang w:val="uk-UA"/>
        </w:rPr>
        <w:t xml:space="preserve">е погіршення оцінки зростання галузі пов’язано передусім із іншим, ніж очікували початково, розвитком таких видів </w:t>
      </w:r>
      <w:r w:rsidR="00B1314E">
        <w:rPr>
          <w:rFonts w:ascii="Times New Roman" w:hAnsi="Times New Roman" w:cs="Times New Roman"/>
          <w:sz w:val="24"/>
          <w:szCs w:val="24"/>
          <w:lang w:val="uk-UA"/>
        </w:rPr>
        <w:t>промислової</w:t>
      </w:r>
      <w:r w:rsidR="00B1314E" w:rsidRPr="00CB0C20">
        <w:rPr>
          <w:rFonts w:ascii="Times New Roman" w:hAnsi="Times New Roman" w:cs="Times New Roman"/>
          <w:sz w:val="24"/>
          <w:szCs w:val="24"/>
          <w:lang w:val="uk-UA"/>
        </w:rPr>
        <w:t xml:space="preserve"> діяльності, </w:t>
      </w:r>
      <w:r w:rsidR="009447F6">
        <w:rPr>
          <w:rFonts w:ascii="Times New Roman" w:hAnsi="Times New Roman" w:cs="Times New Roman"/>
          <w:sz w:val="24"/>
          <w:szCs w:val="24"/>
          <w:lang w:val="uk-UA"/>
        </w:rPr>
        <w:t>як</w:t>
      </w:r>
      <w:r w:rsidR="00B1314E" w:rsidRPr="00CB0C20">
        <w:rPr>
          <w:rFonts w:ascii="Times New Roman" w:hAnsi="Times New Roman" w:cs="Times New Roman"/>
          <w:sz w:val="24"/>
          <w:szCs w:val="24"/>
          <w:lang w:val="uk-UA"/>
        </w:rPr>
        <w:t xml:space="preserve"> машинобудуванн</w:t>
      </w:r>
      <w:r w:rsidR="009447F6">
        <w:rPr>
          <w:rFonts w:ascii="Times New Roman" w:hAnsi="Times New Roman" w:cs="Times New Roman"/>
          <w:sz w:val="24"/>
          <w:szCs w:val="24"/>
          <w:lang w:val="uk-UA"/>
        </w:rPr>
        <w:t>я</w:t>
      </w:r>
      <w:r w:rsidR="00B1314E" w:rsidRPr="00CB0C20">
        <w:rPr>
          <w:rFonts w:ascii="Times New Roman" w:hAnsi="Times New Roman" w:cs="Times New Roman"/>
          <w:sz w:val="24"/>
          <w:szCs w:val="24"/>
          <w:lang w:val="uk-UA"/>
        </w:rPr>
        <w:t xml:space="preserve"> та постачанн</w:t>
      </w:r>
      <w:r>
        <w:rPr>
          <w:rFonts w:ascii="Times New Roman" w:hAnsi="Times New Roman" w:cs="Times New Roman"/>
          <w:sz w:val="24"/>
          <w:szCs w:val="24"/>
          <w:lang w:val="uk-UA"/>
        </w:rPr>
        <w:t>я</w:t>
      </w:r>
      <w:r w:rsidR="00B1314E" w:rsidRPr="00CB0C20">
        <w:rPr>
          <w:rFonts w:ascii="Times New Roman" w:hAnsi="Times New Roman" w:cs="Times New Roman"/>
          <w:sz w:val="24"/>
          <w:szCs w:val="24"/>
          <w:lang w:val="uk-UA"/>
        </w:rPr>
        <w:t xml:space="preserve"> електроенергії, газу та води. Очікується, що позитивний внесок за підсумками 2019 року буде сформований за рахунок</w:t>
      </w:r>
      <w:r>
        <w:rPr>
          <w:rFonts w:ascii="Times New Roman" w:hAnsi="Times New Roman" w:cs="Times New Roman"/>
          <w:sz w:val="24"/>
          <w:szCs w:val="24"/>
          <w:lang w:val="uk-UA"/>
        </w:rPr>
        <w:t xml:space="preserve"> зростання</w:t>
      </w:r>
      <w:r w:rsidR="00B1314E" w:rsidRPr="00CB0C20">
        <w:rPr>
          <w:rFonts w:ascii="Times New Roman" w:hAnsi="Times New Roman" w:cs="Times New Roman"/>
          <w:sz w:val="24"/>
          <w:szCs w:val="24"/>
          <w:lang w:val="uk-UA"/>
        </w:rPr>
        <w:t xml:space="preserve"> добувної та переробної промисловості. </w:t>
      </w:r>
    </w:p>
    <w:p w:rsidR="00B1314E" w:rsidRPr="00DF5B00" w:rsidRDefault="00E95B53" w:rsidP="00B1314E">
      <w:pPr>
        <w:pStyle w:val="af1"/>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Однією з причин </w:t>
      </w:r>
      <w:r w:rsidR="00B1314E" w:rsidRPr="00EB5720">
        <w:rPr>
          <w:rFonts w:ascii="Times New Roman" w:hAnsi="Times New Roman" w:cs="Times New Roman"/>
          <w:sz w:val="24"/>
          <w:szCs w:val="24"/>
          <w:lang w:val="uk-UA"/>
        </w:rPr>
        <w:t xml:space="preserve">відхилення очікуваного номінального значення ВВП у 2019 році від прогнозного значення є уточнення бази розрахунку прогнозу за 2018 рік. Так, </w:t>
      </w:r>
      <w:r w:rsidR="00B1314E">
        <w:rPr>
          <w:rFonts w:ascii="Times New Roman" w:hAnsi="Times New Roman" w:cs="Times New Roman"/>
          <w:sz w:val="24"/>
          <w:szCs w:val="24"/>
          <w:lang w:val="uk-UA"/>
        </w:rPr>
        <w:t xml:space="preserve">у </w:t>
      </w:r>
      <w:r w:rsidR="00B1314E" w:rsidRPr="00EB5720">
        <w:rPr>
          <w:rFonts w:ascii="Times New Roman" w:hAnsi="Times New Roman" w:cs="Times New Roman"/>
          <w:sz w:val="24"/>
          <w:szCs w:val="24"/>
          <w:lang w:val="uk-UA"/>
        </w:rPr>
        <w:t>прогнозн</w:t>
      </w:r>
      <w:r w:rsidR="00B1314E">
        <w:rPr>
          <w:rFonts w:ascii="Times New Roman" w:hAnsi="Times New Roman" w:cs="Times New Roman"/>
          <w:sz w:val="24"/>
          <w:szCs w:val="24"/>
          <w:lang w:val="uk-UA"/>
        </w:rPr>
        <w:t>их</w:t>
      </w:r>
      <w:r w:rsidR="00B1314E" w:rsidRPr="00EB5720">
        <w:rPr>
          <w:rFonts w:ascii="Times New Roman" w:hAnsi="Times New Roman" w:cs="Times New Roman"/>
          <w:sz w:val="24"/>
          <w:szCs w:val="24"/>
          <w:lang w:val="uk-UA"/>
        </w:rPr>
        <w:t xml:space="preserve"> розрахунк</w:t>
      </w:r>
      <w:r w:rsidR="00B1314E">
        <w:rPr>
          <w:rFonts w:ascii="Times New Roman" w:hAnsi="Times New Roman" w:cs="Times New Roman"/>
          <w:sz w:val="24"/>
          <w:szCs w:val="24"/>
          <w:lang w:val="uk-UA"/>
        </w:rPr>
        <w:t>ах</w:t>
      </w:r>
      <w:r w:rsidR="00B1314E" w:rsidRPr="00EB5720">
        <w:rPr>
          <w:rFonts w:ascii="Times New Roman" w:hAnsi="Times New Roman" w:cs="Times New Roman"/>
          <w:sz w:val="24"/>
          <w:szCs w:val="24"/>
          <w:lang w:val="uk-UA"/>
        </w:rPr>
        <w:t>, схвален</w:t>
      </w:r>
      <w:r w:rsidR="00B1314E">
        <w:rPr>
          <w:rFonts w:ascii="Times New Roman" w:hAnsi="Times New Roman" w:cs="Times New Roman"/>
          <w:sz w:val="24"/>
          <w:szCs w:val="24"/>
          <w:lang w:val="uk-UA"/>
        </w:rPr>
        <w:t>их</w:t>
      </w:r>
      <w:r w:rsidR="00B1314E" w:rsidRPr="00EB5720">
        <w:rPr>
          <w:rFonts w:ascii="Times New Roman" w:hAnsi="Times New Roman" w:cs="Times New Roman"/>
          <w:sz w:val="24"/>
          <w:szCs w:val="24"/>
          <w:lang w:val="uk-UA"/>
        </w:rPr>
        <w:t xml:space="preserve"> </w:t>
      </w:r>
      <w:r w:rsidR="00B1314E">
        <w:rPr>
          <w:rFonts w:ascii="Times New Roman" w:hAnsi="Times New Roman" w:cs="Times New Roman"/>
          <w:sz w:val="24"/>
          <w:szCs w:val="24"/>
          <w:lang w:val="uk-UA"/>
        </w:rPr>
        <w:t>п</w:t>
      </w:r>
      <w:r w:rsidR="00B1314E" w:rsidRPr="00EB5720">
        <w:rPr>
          <w:rFonts w:ascii="Times New Roman" w:hAnsi="Times New Roman" w:cs="Times New Roman"/>
          <w:sz w:val="24"/>
          <w:szCs w:val="24"/>
          <w:lang w:val="uk-UA"/>
        </w:rPr>
        <w:t xml:space="preserve">остановою </w:t>
      </w:r>
      <w:r w:rsidR="00B1314E" w:rsidRPr="00672AC9">
        <w:rPr>
          <w:rFonts w:ascii="Times New Roman" w:hAnsi="Times New Roman" w:cs="Times New Roman"/>
          <w:sz w:val="24"/>
          <w:szCs w:val="24"/>
          <w:lang w:val="uk-UA"/>
        </w:rPr>
        <w:t>КМУ від 11.07.2018</w:t>
      </w:r>
      <w:r w:rsidR="00B1314E">
        <w:rPr>
          <w:rFonts w:ascii="Times New Roman" w:hAnsi="Times New Roman" w:cs="Times New Roman"/>
          <w:sz w:val="24"/>
          <w:szCs w:val="24"/>
          <w:lang w:val="uk-UA"/>
        </w:rPr>
        <w:t xml:space="preserve"> </w:t>
      </w:r>
      <w:r w:rsidR="00B1314E" w:rsidRPr="00672AC9">
        <w:rPr>
          <w:rFonts w:ascii="Times New Roman" w:hAnsi="Times New Roman" w:cs="Times New Roman"/>
          <w:sz w:val="24"/>
          <w:szCs w:val="24"/>
          <w:lang w:val="uk-UA"/>
        </w:rPr>
        <w:t>№546</w:t>
      </w:r>
      <w:r w:rsidR="00B1314E" w:rsidRPr="00EB5720">
        <w:rPr>
          <w:rFonts w:ascii="Times New Roman" w:hAnsi="Times New Roman" w:cs="Times New Roman"/>
          <w:sz w:val="24"/>
          <w:szCs w:val="24"/>
          <w:lang w:val="uk-UA"/>
        </w:rPr>
        <w:t xml:space="preserve">, </w:t>
      </w:r>
      <w:r w:rsidR="00B1314E">
        <w:rPr>
          <w:rFonts w:ascii="Times New Roman" w:hAnsi="Times New Roman" w:cs="Times New Roman"/>
          <w:sz w:val="24"/>
          <w:szCs w:val="24"/>
          <w:lang w:val="uk-UA"/>
        </w:rPr>
        <w:t>враховувався</w:t>
      </w:r>
      <w:r w:rsidR="00B1314E" w:rsidRPr="00EB5720">
        <w:rPr>
          <w:rFonts w:ascii="Times New Roman" w:hAnsi="Times New Roman" w:cs="Times New Roman"/>
          <w:sz w:val="24"/>
          <w:szCs w:val="24"/>
          <w:lang w:val="uk-UA"/>
        </w:rPr>
        <w:t xml:space="preserve"> очікуваний обсяг номінального ВВП на 2018 рік на рівні 3</w:t>
      </w:r>
      <w:r w:rsidR="00B64FA0">
        <w:rPr>
          <w:rFonts w:ascii="Times New Roman" w:hAnsi="Times New Roman" w:cs="Times New Roman"/>
          <w:sz w:val="24"/>
          <w:szCs w:val="24"/>
          <w:lang w:val="uk-UA"/>
        </w:rPr>
        <w:t> </w:t>
      </w:r>
      <w:r w:rsidR="00B1314E" w:rsidRPr="00EB5720">
        <w:rPr>
          <w:rFonts w:ascii="Times New Roman" w:hAnsi="Times New Roman" w:cs="Times New Roman"/>
          <w:sz w:val="24"/>
          <w:szCs w:val="24"/>
          <w:lang w:val="uk-UA"/>
        </w:rPr>
        <w:t xml:space="preserve">457,9 млрд гривень. </w:t>
      </w:r>
      <w:r w:rsidR="00B64FA0">
        <w:rPr>
          <w:rFonts w:ascii="Times New Roman" w:hAnsi="Times New Roman" w:cs="Times New Roman"/>
          <w:sz w:val="24"/>
          <w:szCs w:val="24"/>
          <w:lang w:val="uk-UA"/>
        </w:rPr>
        <w:t>З</w:t>
      </w:r>
      <w:r w:rsidR="00B1314E" w:rsidRPr="00EB5720">
        <w:rPr>
          <w:rFonts w:ascii="Times New Roman" w:hAnsi="Times New Roman" w:cs="Times New Roman"/>
          <w:sz w:val="24"/>
          <w:szCs w:val="24"/>
          <w:lang w:val="uk-UA"/>
        </w:rPr>
        <w:t>а уточненими даними Держстату, оприлюдненими 21.03.2019, номінальний обсяг ВВП становив 3</w:t>
      </w:r>
      <w:r w:rsidR="00B64FA0">
        <w:rPr>
          <w:rFonts w:ascii="Times New Roman" w:hAnsi="Times New Roman" w:cs="Times New Roman"/>
          <w:sz w:val="24"/>
          <w:szCs w:val="24"/>
          <w:lang w:val="uk-UA"/>
        </w:rPr>
        <w:t> </w:t>
      </w:r>
      <w:r w:rsidR="00B1314E" w:rsidRPr="00EB5720">
        <w:rPr>
          <w:rFonts w:ascii="Times New Roman" w:hAnsi="Times New Roman" w:cs="Times New Roman"/>
          <w:sz w:val="24"/>
          <w:szCs w:val="24"/>
          <w:lang w:val="uk-UA"/>
        </w:rPr>
        <w:t>558,7 млрд гривень.</w:t>
      </w:r>
      <w:r w:rsidR="00B1314E" w:rsidRPr="00DF5B00">
        <w:rPr>
          <w:rFonts w:ascii="Times New Roman" w:hAnsi="Times New Roman" w:cs="Times New Roman"/>
          <w:sz w:val="24"/>
          <w:szCs w:val="24"/>
          <w:lang w:val="uk-UA"/>
        </w:rPr>
        <w:t xml:space="preserve"> </w:t>
      </w:r>
    </w:p>
    <w:p w:rsidR="00B1314E" w:rsidRPr="00465C2E" w:rsidRDefault="00B1314E" w:rsidP="00B1314E">
      <w:pPr>
        <w:spacing w:after="0" w:line="240" w:lineRule="auto"/>
        <w:rPr>
          <w:rFonts w:ascii="Times New Roman" w:hAnsi="Times New Roman" w:cs="Times New Roman"/>
          <w:lang w:val="ru-RU"/>
        </w:rPr>
      </w:pPr>
    </w:p>
    <w:p w:rsidR="00B1314E" w:rsidRPr="00465C2E" w:rsidRDefault="00B1314E" w:rsidP="00B1314E">
      <w:pPr>
        <w:pStyle w:val="af1"/>
        <w:ind w:firstLine="567"/>
        <w:jc w:val="both"/>
        <w:rPr>
          <w:rFonts w:ascii="Times New Roman" w:hAnsi="Times New Roman" w:cs="Times New Roman"/>
          <w:b/>
          <w:sz w:val="24"/>
          <w:szCs w:val="24"/>
          <w:lang w:val="uk-UA"/>
        </w:rPr>
      </w:pPr>
      <w:r w:rsidRPr="00465C2E">
        <w:rPr>
          <w:rFonts w:ascii="Times New Roman" w:hAnsi="Times New Roman" w:cs="Times New Roman"/>
          <w:b/>
          <w:sz w:val="24"/>
          <w:szCs w:val="24"/>
          <w:lang w:val="uk-UA"/>
        </w:rPr>
        <w:t xml:space="preserve">Зовнішній сектор </w:t>
      </w:r>
    </w:p>
    <w:p w:rsidR="00B1314E" w:rsidRPr="00465C2E" w:rsidRDefault="00B1314E" w:rsidP="00B1314E">
      <w:pPr>
        <w:pStyle w:val="af1"/>
        <w:spacing w:before="120"/>
        <w:ind w:firstLine="567"/>
        <w:jc w:val="both"/>
        <w:rPr>
          <w:rFonts w:ascii="Times New Roman" w:hAnsi="Times New Roman" w:cs="Times New Roman"/>
          <w:sz w:val="24"/>
          <w:szCs w:val="24"/>
          <w:lang w:val="uk-UA"/>
        </w:rPr>
      </w:pPr>
      <w:bookmarkStart w:id="4" w:name="_bookmark3"/>
      <w:bookmarkStart w:id="5" w:name="_bookmark4"/>
      <w:bookmarkEnd w:id="4"/>
      <w:bookmarkEnd w:id="5"/>
      <w:r w:rsidRPr="00465C2E">
        <w:rPr>
          <w:rFonts w:ascii="Times New Roman" w:hAnsi="Times New Roman" w:cs="Times New Roman"/>
          <w:sz w:val="24"/>
          <w:szCs w:val="24"/>
          <w:lang w:val="uk-UA"/>
        </w:rPr>
        <w:t xml:space="preserve">Посилення негативного впливу протекціоністських заходів </w:t>
      </w:r>
      <w:r>
        <w:rPr>
          <w:rFonts w:ascii="Times New Roman" w:hAnsi="Times New Roman" w:cs="Times New Roman"/>
          <w:sz w:val="24"/>
          <w:szCs w:val="24"/>
          <w:lang w:val="uk-UA"/>
        </w:rPr>
        <w:t xml:space="preserve">з боку провідних економік світу, США та Китаю, </w:t>
      </w:r>
      <w:r w:rsidRPr="00465C2E">
        <w:rPr>
          <w:rFonts w:ascii="Times New Roman" w:hAnsi="Times New Roman" w:cs="Times New Roman"/>
          <w:sz w:val="24"/>
          <w:szCs w:val="24"/>
          <w:lang w:val="uk-UA"/>
        </w:rPr>
        <w:t>на динаміку світової торгівлі призвело до значно</w:t>
      </w:r>
      <w:r>
        <w:rPr>
          <w:rFonts w:ascii="Times New Roman" w:hAnsi="Times New Roman" w:cs="Times New Roman"/>
          <w:sz w:val="24"/>
          <w:szCs w:val="24"/>
          <w:lang w:val="uk-UA"/>
        </w:rPr>
        <w:t>ї</w:t>
      </w:r>
      <w:r w:rsidRPr="00465C2E">
        <w:rPr>
          <w:rFonts w:ascii="Times New Roman" w:hAnsi="Times New Roman" w:cs="Times New Roman"/>
          <w:sz w:val="24"/>
          <w:szCs w:val="24"/>
          <w:lang w:val="uk-UA"/>
        </w:rPr>
        <w:t xml:space="preserve"> волатильності та зниженн</w:t>
      </w:r>
      <w:r>
        <w:rPr>
          <w:rFonts w:ascii="Times New Roman" w:hAnsi="Times New Roman" w:cs="Times New Roman"/>
          <w:sz w:val="24"/>
          <w:szCs w:val="24"/>
          <w:lang w:val="uk-UA"/>
        </w:rPr>
        <w:t>я</w:t>
      </w:r>
      <w:r w:rsidRPr="00465C2E">
        <w:rPr>
          <w:rFonts w:ascii="Times New Roman" w:hAnsi="Times New Roman" w:cs="Times New Roman"/>
          <w:sz w:val="24"/>
          <w:szCs w:val="24"/>
          <w:lang w:val="uk-UA"/>
        </w:rPr>
        <w:t xml:space="preserve"> цін більшості сировинних товарів. </w:t>
      </w:r>
      <w:r>
        <w:rPr>
          <w:rFonts w:ascii="Times New Roman" w:hAnsi="Times New Roman" w:cs="Times New Roman"/>
          <w:sz w:val="24"/>
          <w:szCs w:val="24"/>
          <w:lang w:val="uk-UA"/>
        </w:rPr>
        <w:t>Хоча з</w:t>
      </w:r>
      <w:r w:rsidRPr="00465C2E">
        <w:rPr>
          <w:rFonts w:ascii="Times New Roman" w:hAnsi="Times New Roman" w:cs="Times New Roman"/>
          <w:sz w:val="24"/>
          <w:szCs w:val="24"/>
          <w:lang w:val="uk-UA"/>
        </w:rPr>
        <w:t xml:space="preserve">овнішні умови торгівлі залишились переважно сприятливими для </w:t>
      </w:r>
      <w:r w:rsidR="001E14AC">
        <w:rPr>
          <w:rFonts w:ascii="Times New Roman" w:hAnsi="Times New Roman" w:cs="Times New Roman"/>
          <w:sz w:val="24"/>
          <w:szCs w:val="24"/>
          <w:lang w:val="uk-UA"/>
        </w:rPr>
        <w:t>українського</w:t>
      </w:r>
      <w:r w:rsidR="001E14AC" w:rsidRPr="00465C2E">
        <w:rPr>
          <w:rFonts w:ascii="Times New Roman" w:hAnsi="Times New Roman" w:cs="Times New Roman"/>
          <w:sz w:val="24"/>
          <w:szCs w:val="24"/>
          <w:lang w:val="uk-UA"/>
        </w:rPr>
        <w:t xml:space="preserve"> </w:t>
      </w:r>
      <w:r w:rsidRPr="00465C2E">
        <w:rPr>
          <w:rFonts w:ascii="Times New Roman" w:hAnsi="Times New Roman" w:cs="Times New Roman"/>
          <w:sz w:val="24"/>
          <w:szCs w:val="24"/>
          <w:lang w:val="uk-UA"/>
        </w:rPr>
        <w:t>експорту</w:t>
      </w:r>
      <w:r>
        <w:rPr>
          <w:rFonts w:ascii="Times New Roman" w:hAnsi="Times New Roman" w:cs="Times New Roman"/>
          <w:sz w:val="24"/>
          <w:szCs w:val="24"/>
          <w:lang w:val="uk-UA"/>
        </w:rPr>
        <w:t xml:space="preserve">, </w:t>
      </w:r>
      <w:r w:rsidRPr="00465C2E">
        <w:rPr>
          <w:rFonts w:ascii="Times New Roman" w:hAnsi="Times New Roman" w:cs="Times New Roman"/>
          <w:sz w:val="24"/>
          <w:szCs w:val="24"/>
          <w:lang w:val="uk-UA"/>
        </w:rPr>
        <w:t>цін</w:t>
      </w:r>
      <w:r w:rsidR="001E14AC">
        <w:rPr>
          <w:rFonts w:ascii="Times New Roman" w:hAnsi="Times New Roman" w:cs="Times New Roman"/>
          <w:sz w:val="24"/>
          <w:szCs w:val="24"/>
          <w:lang w:val="uk-UA"/>
        </w:rPr>
        <w:t>и</w:t>
      </w:r>
      <w:r w:rsidRPr="00465C2E">
        <w:rPr>
          <w:rFonts w:ascii="Times New Roman" w:hAnsi="Times New Roman" w:cs="Times New Roman"/>
          <w:sz w:val="24"/>
          <w:szCs w:val="24"/>
          <w:lang w:val="uk-UA"/>
        </w:rPr>
        <w:t xml:space="preserve"> на </w:t>
      </w:r>
      <w:r w:rsidR="001E14AC">
        <w:rPr>
          <w:rFonts w:ascii="Times New Roman" w:hAnsi="Times New Roman" w:cs="Times New Roman"/>
          <w:sz w:val="24"/>
          <w:szCs w:val="24"/>
          <w:lang w:val="uk-UA"/>
        </w:rPr>
        <w:t>ряд основних</w:t>
      </w:r>
      <w:r w:rsidR="001E14AC" w:rsidRPr="00465C2E">
        <w:rPr>
          <w:rFonts w:ascii="Times New Roman" w:hAnsi="Times New Roman" w:cs="Times New Roman"/>
          <w:sz w:val="24"/>
          <w:szCs w:val="24"/>
          <w:lang w:val="uk-UA"/>
        </w:rPr>
        <w:t xml:space="preserve"> </w:t>
      </w:r>
      <w:r w:rsidRPr="00465C2E">
        <w:rPr>
          <w:rFonts w:ascii="Times New Roman" w:hAnsi="Times New Roman" w:cs="Times New Roman"/>
          <w:sz w:val="24"/>
          <w:szCs w:val="24"/>
          <w:lang w:val="uk-UA"/>
        </w:rPr>
        <w:t>товарн</w:t>
      </w:r>
      <w:r w:rsidR="001E14AC">
        <w:rPr>
          <w:rFonts w:ascii="Times New Roman" w:hAnsi="Times New Roman" w:cs="Times New Roman"/>
          <w:sz w:val="24"/>
          <w:szCs w:val="24"/>
          <w:lang w:val="uk-UA"/>
        </w:rPr>
        <w:t>их</w:t>
      </w:r>
      <w:r w:rsidRPr="00465C2E">
        <w:rPr>
          <w:rFonts w:ascii="Times New Roman" w:hAnsi="Times New Roman" w:cs="Times New Roman"/>
          <w:sz w:val="24"/>
          <w:szCs w:val="24"/>
          <w:lang w:val="uk-UA"/>
        </w:rPr>
        <w:t xml:space="preserve"> груп </w:t>
      </w:r>
      <w:r w:rsidR="001E14AC">
        <w:rPr>
          <w:rFonts w:ascii="Times New Roman" w:hAnsi="Times New Roman" w:cs="Times New Roman"/>
          <w:sz w:val="24"/>
          <w:szCs w:val="24"/>
          <w:lang w:val="uk-UA"/>
        </w:rPr>
        <w:t xml:space="preserve">виявились нижчими, ніж </w:t>
      </w:r>
      <w:r>
        <w:rPr>
          <w:rFonts w:ascii="Times New Roman" w:hAnsi="Times New Roman" w:cs="Times New Roman"/>
          <w:sz w:val="24"/>
          <w:szCs w:val="24"/>
          <w:lang w:val="uk-UA"/>
        </w:rPr>
        <w:t>враховані</w:t>
      </w:r>
      <w:r w:rsidRPr="00465C2E">
        <w:rPr>
          <w:rFonts w:ascii="Times New Roman" w:hAnsi="Times New Roman" w:cs="Times New Roman"/>
          <w:sz w:val="24"/>
          <w:szCs w:val="24"/>
          <w:lang w:val="uk-UA"/>
        </w:rPr>
        <w:t xml:space="preserve"> у припущеннях до макроекономічного прогнозу на 2019 рік.  </w:t>
      </w:r>
    </w:p>
    <w:p w:rsidR="00B1314E" w:rsidRPr="00837E06" w:rsidRDefault="00B1314E" w:rsidP="00B1314E">
      <w:pPr>
        <w:pStyle w:val="af1"/>
        <w:shd w:val="clear" w:color="auto" w:fill="FFFFFF" w:themeFill="background1"/>
        <w:ind w:firstLine="567"/>
        <w:jc w:val="both"/>
        <w:rPr>
          <w:rFonts w:ascii="Times New Roman" w:hAnsi="Times New Roman" w:cs="Times New Roman"/>
          <w:sz w:val="24"/>
          <w:szCs w:val="24"/>
          <w:lang w:val="ru-RU"/>
        </w:rPr>
      </w:pPr>
      <w:r w:rsidRPr="00837E06">
        <w:rPr>
          <w:rFonts w:ascii="Times New Roman" w:hAnsi="Times New Roman" w:cs="Times New Roman"/>
          <w:sz w:val="24"/>
          <w:szCs w:val="24"/>
          <w:lang w:val="uk-UA"/>
        </w:rPr>
        <w:t>Найбільше відхилення було зафіксовано у динаміці середньорічної ціни на імпортований</w:t>
      </w:r>
      <w:r>
        <w:rPr>
          <w:rFonts w:ascii="Times New Roman" w:hAnsi="Times New Roman" w:cs="Times New Roman"/>
          <w:sz w:val="24"/>
          <w:szCs w:val="24"/>
          <w:lang w:val="uk-UA"/>
        </w:rPr>
        <w:t xml:space="preserve"> </w:t>
      </w:r>
      <w:r w:rsidRPr="00837E06">
        <w:rPr>
          <w:rFonts w:ascii="Times New Roman" w:hAnsi="Times New Roman" w:cs="Times New Roman"/>
          <w:sz w:val="24"/>
          <w:szCs w:val="24"/>
          <w:lang w:val="uk-UA"/>
        </w:rPr>
        <w:t xml:space="preserve">природний газ. Очікувана ціна у 2019 році на рівні 230 дол. США за 1 тис. куб. м. </w:t>
      </w:r>
      <w:r>
        <w:rPr>
          <w:rFonts w:ascii="Times New Roman" w:hAnsi="Times New Roman" w:cs="Times New Roman"/>
          <w:sz w:val="24"/>
          <w:szCs w:val="24"/>
          <w:lang w:val="uk-UA"/>
        </w:rPr>
        <w:t xml:space="preserve">є </w:t>
      </w:r>
      <w:r w:rsidRPr="00837E06">
        <w:rPr>
          <w:rFonts w:ascii="Times New Roman" w:hAnsi="Times New Roman" w:cs="Times New Roman"/>
          <w:sz w:val="24"/>
          <w:szCs w:val="24"/>
          <w:lang w:val="uk-UA"/>
        </w:rPr>
        <w:t>нижч</w:t>
      </w:r>
      <w:r>
        <w:rPr>
          <w:rFonts w:ascii="Times New Roman" w:hAnsi="Times New Roman" w:cs="Times New Roman"/>
          <w:sz w:val="24"/>
          <w:szCs w:val="24"/>
          <w:lang w:val="uk-UA"/>
        </w:rPr>
        <w:t xml:space="preserve">ою </w:t>
      </w:r>
      <w:r w:rsidRPr="00837E06">
        <w:rPr>
          <w:rFonts w:ascii="Times New Roman" w:hAnsi="Times New Roman" w:cs="Times New Roman"/>
          <w:sz w:val="24"/>
          <w:szCs w:val="24"/>
          <w:lang w:val="uk-UA"/>
        </w:rPr>
        <w:t xml:space="preserve">на 45,1 доларів </w:t>
      </w:r>
      <w:r>
        <w:rPr>
          <w:rFonts w:ascii="Times New Roman" w:hAnsi="Times New Roman" w:cs="Times New Roman"/>
          <w:sz w:val="24"/>
          <w:szCs w:val="24"/>
          <w:lang w:val="uk-UA"/>
        </w:rPr>
        <w:t xml:space="preserve">США, </w:t>
      </w:r>
      <w:r w:rsidRPr="00837E06">
        <w:rPr>
          <w:rFonts w:ascii="Times New Roman" w:hAnsi="Times New Roman" w:cs="Times New Roman"/>
          <w:sz w:val="24"/>
          <w:szCs w:val="24"/>
          <w:lang w:val="uk-UA"/>
        </w:rPr>
        <w:t xml:space="preserve">ніж було </w:t>
      </w:r>
      <w:r>
        <w:rPr>
          <w:rFonts w:ascii="Times New Roman" w:hAnsi="Times New Roman" w:cs="Times New Roman"/>
          <w:sz w:val="24"/>
          <w:szCs w:val="24"/>
          <w:lang w:val="uk-UA"/>
        </w:rPr>
        <w:t>враховано</w:t>
      </w:r>
      <w:r w:rsidRPr="00837E06">
        <w:rPr>
          <w:rFonts w:ascii="Times New Roman" w:hAnsi="Times New Roman" w:cs="Times New Roman"/>
          <w:sz w:val="24"/>
          <w:szCs w:val="24"/>
          <w:lang w:val="uk-UA"/>
        </w:rPr>
        <w:t xml:space="preserve"> у припущеннях. Цей фактор </w:t>
      </w:r>
      <w:r w:rsidR="001E14AC">
        <w:rPr>
          <w:rFonts w:ascii="Times New Roman" w:hAnsi="Times New Roman" w:cs="Times New Roman"/>
          <w:sz w:val="24"/>
          <w:szCs w:val="24"/>
          <w:lang w:val="uk-UA"/>
        </w:rPr>
        <w:t xml:space="preserve">призвів до </w:t>
      </w:r>
      <w:r w:rsidRPr="00837E06">
        <w:rPr>
          <w:rFonts w:ascii="Times New Roman" w:hAnsi="Times New Roman" w:cs="Times New Roman"/>
          <w:sz w:val="24"/>
          <w:szCs w:val="24"/>
          <w:lang w:val="uk-UA"/>
        </w:rPr>
        <w:t xml:space="preserve">зменшення очікувань темпів приросту імпорту з </w:t>
      </w:r>
      <w:r w:rsidRPr="00837E06">
        <w:rPr>
          <w:rFonts w:ascii="Times New Roman" w:eastAsia="Times New Roman" w:hAnsi="Times New Roman" w:cs="Times New Roman"/>
          <w:color w:val="000000"/>
          <w:sz w:val="24"/>
          <w:szCs w:val="24"/>
          <w:lang w:val="uk-UA" w:eastAsia="uk-UA" w:bidi="ar-SA"/>
        </w:rPr>
        <w:t>9,1% до 7,1%</w:t>
      </w:r>
      <w:r w:rsidR="001E14AC">
        <w:rPr>
          <w:rFonts w:ascii="Times New Roman" w:eastAsia="Times New Roman" w:hAnsi="Times New Roman" w:cs="Times New Roman"/>
          <w:color w:val="000000"/>
          <w:sz w:val="24"/>
          <w:szCs w:val="24"/>
          <w:lang w:val="uk-UA" w:eastAsia="uk-UA" w:bidi="ar-SA"/>
        </w:rPr>
        <w:t>, що негативно впливає на надходження доходів від ПДВ на імпортні товари</w:t>
      </w:r>
      <w:r w:rsidRPr="00837E06">
        <w:rPr>
          <w:rFonts w:ascii="Times New Roman" w:hAnsi="Times New Roman" w:cs="Times New Roman"/>
          <w:sz w:val="24"/>
          <w:szCs w:val="24"/>
          <w:lang w:val="uk-UA"/>
        </w:rPr>
        <w:t>.</w:t>
      </w:r>
      <w:r w:rsidR="001E14AC">
        <w:rPr>
          <w:rFonts w:ascii="Times New Roman" w:hAnsi="Times New Roman" w:cs="Times New Roman"/>
          <w:sz w:val="24"/>
          <w:szCs w:val="24"/>
          <w:lang w:val="uk-UA"/>
        </w:rPr>
        <w:t xml:space="preserve"> </w:t>
      </w:r>
    </w:p>
    <w:p w:rsidR="00B1314E" w:rsidRPr="00837E06" w:rsidRDefault="00B1314E" w:rsidP="00B1314E">
      <w:pPr>
        <w:pStyle w:val="af1"/>
        <w:shd w:val="clear" w:color="auto" w:fill="FFFFFF" w:themeFill="background1"/>
        <w:ind w:firstLine="567"/>
        <w:jc w:val="both"/>
        <w:rPr>
          <w:rFonts w:ascii="Times New Roman" w:hAnsi="Times New Roman" w:cs="Times New Roman"/>
          <w:sz w:val="24"/>
          <w:szCs w:val="24"/>
          <w:lang w:val="uk-UA"/>
        </w:rPr>
      </w:pPr>
      <w:r w:rsidRPr="00837E06">
        <w:rPr>
          <w:rFonts w:ascii="Times New Roman" w:hAnsi="Times New Roman" w:cs="Times New Roman"/>
          <w:sz w:val="24"/>
          <w:szCs w:val="24"/>
          <w:lang w:val="uk-UA"/>
        </w:rPr>
        <w:t>Поряд з цим, очікується, що темпи зростання експорту товарів також уповільнюватимуться протягом 2019 року внаслідок більш суттєвого</w:t>
      </w:r>
      <w:r>
        <w:rPr>
          <w:rFonts w:ascii="Times New Roman" w:hAnsi="Times New Roman" w:cs="Times New Roman"/>
          <w:sz w:val="24"/>
          <w:szCs w:val="24"/>
          <w:lang w:val="uk-UA"/>
        </w:rPr>
        <w:t>,</w:t>
      </w:r>
      <w:r w:rsidRPr="00837E06">
        <w:rPr>
          <w:rFonts w:ascii="Times New Roman" w:hAnsi="Times New Roman" w:cs="Times New Roman"/>
          <w:sz w:val="24"/>
          <w:szCs w:val="24"/>
          <w:lang w:val="uk-UA"/>
        </w:rPr>
        <w:t xml:space="preserve"> ніж було </w:t>
      </w:r>
      <w:r>
        <w:rPr>
          <w:rFonts w:ascii="Times New Roman" w:hAnsi="Times New Roman" w:cs="Times New Roman"/>
          <w:sz w:val="24"/>
          <w:szCs w:val="24"/>
          <w:lang w:val="uk-UA"/>
        </w:rPr>
        <w:t>враховано</w:t>
      </w:r>
      <w:r w:rsidRPr="00837E06">
        <w:rPr>
          <w:rFonts w:ascii="Times New Roman" w:hAnsi="Times New Roman" w:cs="Times New Roman"/>
          <w:sz w:val="24"/>
          <w:szCs w:val="24"/>
          <w:lang w:val="uk-UA"/>
        </w:rPr>
        <w:t xml:space="preserve"> у припущеннях прогнозу</w:t>
      </w:r>
      <w:r>
        <w:rPr>
          <w:rFonts w:ascii="Times New Roman" w:hAnsi="Times New Roman" w:cs="Times New Roman"/>
          <w:sz w:val="24"/>
          <w:szCs w:val="24"/>
          <w:lang w:val="uk-UA"/>
        </w:rPr>
        <w:t>,</w:t>
      </w:r>
      <w:r w:rsidRPr="00837E06">
        <w:rPr>
          <w:rFonts w:ascii="Times New Roman" w:hAnsi="Times New Roman" w:cs="Times New Roman"/>
          <w:sz w:val="24"/>
          <w:szCs w:val="24"/>
          <w:lang w:val="uk-UA"/>
        </w:rPr>
        <w:t xml:space="preserve"> зниження індексу цін на базові метали. Позитивний вплив на динаміку експорту матиме збільшення очікувань щодо врожаю.</w:t>
      </w:r>
    </w:p>
    <w:p w:rsidR="00B1314E" w:rsidRPr="00837E06" w:rsidRDefault="00B1314E" w:rsidP="00B1314E">
      <w:pPr>
        <w:pStyle w:val="af1"/>
        <w:shd w:val="clear" w:color="auto" w:fill="FFFFFF" w:themeFill="background1"/>
        <w:ind w:firstLine="709"/>
        <w:jc w:val="both"/>
        <w:rPr>
          <w:rFonts w:ascii="Times New Roman" w:hAnsi="Times New Roman" w:cs="Times New Roman"/>
          <w:b/>
          <w:sz w:val="24"/>
          <w:szCs w:val="24"/>
          <w:lang w:val="uk-UA"/>
        </w:rPr>
      </w:pPr>
    </w:p>
    <w:p w:rsidR="00B1314E" w:rsidRPr="00837E06" w:rsidRDefault="00B1314E" w:rsidP="00B1314E">
      <w:pPr>
        <w:pStyle w:val="af1"/>
        <w:shd w:val="clear" w:color="auto" w:fill="FFFFFF" w:themeFill="background1"/>
        <w:ind w:firstLine="567"/>
        <w:jc w:val="both"/>
        <w:rPr>
          <w:rFonts w:ascii="Times New Roman" w:hAnsi="Times New Roman" w:cs="Times New Roman"/>
          <w:sz w:val="24"/>
          <w:szCs w:val="24"/>
          <w:lang w:val="uk-UA"/>
        </w:rPr>
      </w:pPr>
      <w:r w:rsidRPr="00837E06">
        <w:rPr>
          <w:rFonts w:ascii="Times New Roman" w:hAnsi="Times New Roman" w:cs="Times New Roman"/>
          <w:b/>
          <w:sz w:val="24"/>
          <w:szCs w:val="24"/>
          <w:lang w:val="uk-UA"/>
        </w:rPr>
        <w:t>Монетарні умови</w:t>
      </w:r>
    </w:p>
    <w:p w:rsidR="00B1314E" w:rsidRPr="00837E06" w:rsidRDefault="00B1314E" w:rsidP="00B1314E">
      <w:pPr>
        <w:pStyle w:val="af1"/>
        <w:shd w:val="clear" w:color="auto" w:fill="FFFFFF" w:themeFill="background1"/>
        <w:spacing w:before="120"/>
        <w:ind w:firstLine="567"/>
        <w:jc w:val="both"/>
        <w:rPr>
          <w:rFonts w:ascii="Times New Roman" w:hAnsi="Times New Roman" w:cs="Times New Roman"/>
          <w:sz w:val="24"/>
          <w:szCs w:val="24"/>
          <w:lang w:val="uk-UA"/>
        </w:rPr>
      </w:pPr>
      <w:r w:rsidRPr="00837E06">
        <w:rPr>
          <w:rFonts w:ascii="Times New Roman" w:hAnsi="Times New Roman" w:cs="Times New Roman"/>
          <w:sz w:val="24"/>
          <w:szCs w:val="24"/>
          <w:lang w:val="uk-UA"/>
        </w:rPr>
        <w:t>В умовах збереження жорстких монетарних умов (обліков</w:t>
      </w:r>
      <w:r w:rsidR="001E14AC">
        <w:rPr>
          <w:rFonts w:ascii="Times New Roman" w:hAnsi="Times New Roman" w:cs="Times New Roman"/>
          <w:sz w:val="24"/>
          <w:szCs w:val="24"/>
          <w:lang w:val="uk-UA"/>
        </w:rPr>
        <w:t>у</w:t>
      </w:r>
      <w:r w:rsidRPr="00837E06">
        <w:rPr>
          <w:rFonts w:ascii="Times New Roman" w:hAnsi="Times New Roman" w:cs="Times New Roman"/>
          <w:sz w:val="24"/>
          <w:szCs w:val="24"/>
          <w:lang w:val="uk-UA"/>
        </w:rPr>
        <w:t xml:space="preserve"> ставк</w:t>
      </w:r>
      <w:r w:rsidR="001E14AC">
        <w:rPr>
          <w:rFonts w:ascii="Times New Roman" w:hAnsi="Times New Roman" w:cs="Times New Roman"/>
          <w:sz w:val="24"/>
          <w:szCs w:val="24"/>
          <w:lang w:val="uk-UA"/>
        </w:rPr>
        <w:t xml:space="preserve">у було поступово знижено з 18% у березні до </w:t>
      </w:r>
      <w:r w:rsidRPr="00837E06">
        <w:rPr>
          <w:rFonts w:ascii="Times New Roman" w:hAnsi="Times New Roman" w:cs="Times New Roman"/>
          <w:sz w:val="24"/>
          <w:szCs w:val="24"/>
          <w:lang w:val="uk-UA"/>
        </w:rPr>
        <w:t>16,5%</w:t>
      </w:r>
      <w:r w:rsidR="001E14AC">
        <w:rPr>
          <w:rFonts w:ascii="Times New Roman" w:hAnsi="Times New Roman" w:cs="Times New Roman"/>
          <w:sz w:val="24"/>
          <w:szCs w:val="24"/>
          <w:lang w:val="uk-UA"/>
        </w:rPr>
        <w:t xml:space="preserve"> у серпні</w:t>
      </w:r>
      <w:r w:rsidRPr="00837E06">
        <w:rPr>
          <w:rFonts w:ascii="Times New Roman" w:hAnsi="Times New Roman" w:cs="Times New Roman"/>
          <w:sz w:val="24"/>
          <w:szCs w:val="24"/>
          <w:lang w:val="uk-UA"/>
        </w:rPr>
        <w:t>) та продовження політики фіскальної консолідації</w:t>
      </w:r>
      <w:r>
        <w:rPr>
          <w:rFonts w:ascii="Times New Roman" w:hAnsi="Times New Roman" w:cs="Times New Roman"/>
          <w:sz w:val="24"/>
          <w:szCs w:val="24"/>
          <w:lang w:val="uk-UA"/>
        </w:rPr>
        <w:t>,</w:t>
      </w:r>
      <w:r w:rsidRPr="00837E06">
        <w:rPr>
          <w:rFonts w:ascii="Times New Roman" w:hAnsi="Times New Roman" w:cs="Times New Roman"/>
          <w:sz w:val="24"/>
          <w:szCs w:val="24"/>
          <w:lang w:val="uk-UA"/>
        </w:rPr>
        <w:t xml:space="preserve"> у серпні 2019 року</w:t>
      </w:r>
      <w:r>
        <w:rPr>
          <w:rFonts w:ascii="Times New Roman" w:hAnsi="Times New Roman" w:cs="Times New Roman"/>
          <w:sz w:val="24"/>
          <w:szCs w:val="24"/>
          <w:lang w:val="uk-UA"/>
        </w:rPr>
        <w:t xml:space="preserve"> зростання споживчих цін у</w:t>
      </w:r>
      <w:r w:rsidRPr="00837E06">
        <w:rPr>
          <w:rFonts w:ascii="Times New Roman" w:hAnsi="Times New Roman" w:cs="Times New Roman"/>
          <w:sz w:val="24"/>
          <w:szCs w:val="24"/>
          <w:lang w:val="uk-UA"/>
        </w:rPr>
        <w:t>повільни</w:t>
      </w:r>
      <w:r>
        <w:rPr>
          <w:rFonts w:ascii="Times New Roman" w:hAnsi="Times New Roman" w:cs="Times New Roman"/>
          <w:sz w:val="24"/>
          <w:szCs w:val="24"/>
          <w:lang w:val="uk-UA"/>
        </w:rPr>
        <w:t xml:space="preserve">лось </w:t>
      </w:r>
      <w:r w:rsidRPr="00837E06">
        <w:rPr>
          <w:rFonts w:ascii="Times New Roman" w:hAnsi="Times New Roman" w:cs="Times New Roman"/>
          <w:bCs/>
          <w:sz w:val="24"/>
          <w:szCs w:val="24"/>
          <w:lang w:val="uk-UA"/>
        </w:rPr>
        <w:t>до 8,8% р/р</w:t>
      </w:r>
      <w:r>
        <w:rPr>
          <w:rFonts w:ascii="Times New Roman" w:hAnsi="Times New Roman" w:cs="Times New Roman"/>
          <w:bCs/>
          <w:sz w:val="24"/>
          <w:szCs w:val="24"/>
          <w:lang w:val="uk-UA"/>
        </w:rPr>
        <w:t>, б</w:t>
      </w:r>
      <w:r w:rsidRPr="00837E06">
        <w:rPr>
          <w:rFonts w:ascii="Times New Roman" w:hAnsi="Times New Roman" w:cs="Times New Roman"/>
          <w:bCs/>
          <w:sz w:val="24"/>
          <w:szCs w:val="24"/>
          <w:lang w:val="uk-UA"/>
        </w:rPr>
        <w:t>азова інфляція сповільнилась</w:t>
      </w:r>
      <w:r w:rsidRPr="00837E06">
        <w:rPr>
          <w:rFonts w:ascii="Times New Roman" w:hAnsi="Times New Roman" w:cs="Times New Roman"/>
          <w:sz w:val="24"/>
          <w:szCs w:val="24"/>
          <w:lang w:val="uk-UA"/>
        </w:rPr>
        <w:t xml:space="preserve"> до </w:t>
      </w:r>
      <w:r w:rsidRPr="00837E06">
        <w:rPr>
          <w:rFonts w:ascii="Times New Roman" w:hAnsi="Times New Roman" w:cs="Times New Roman"/>
          <w:bCs/>
          <w:sz w:val="24"/>
          <w:szCs w:val="24"/>
          <w:lang w:val="uk-UA"/>
        </w:rPr>
        <w:t>7,2%</w:t>
      </w:r>
      <w:r w:rsidRPr="00837E06">
        <w:rPr>
          <w:rFonts w:ascii="Times New Roman" w:hAnsi="Times New Roman" w:cs="Times New Roman"/>
          <w:sz w:val="24"/>
          <w:szCs w:val="24"/>
          <w:lang w:val="uk-UA"/>
        </w:rPr>
        <w:t xml:space="preserve"> р/р. </w:t>
      </w:r>
    </w:p>
    <w:p w:rsidR="00B1314E" w:rsidRPr="00837E06" w:rsidRDefault="00B1314E" w:rsidP="00B1314E">
      <w:pPr>
        <w:pStyle w:val="af1"/>
        <w:shd w:val="clear" w:color="auto" w:fill="FFFFFF" w:themeFill="background1"/>
        <w:ind w:firstLine="567"/>
        <w:jc w:val="both"/>
        <w:rPr>
          <w:rFonts w:ascii="Times New Roman" w:hAnsi="Times New Roman" w:cs="Times New Roman"/>
          <w:sz w:val="24"/>
          <w:szCs w:val="24"/>
          <w:lang w:val="uk-UA"/>
        </w:rPr>
      </w:pPr>
      <w:r w:rsidRPr="00837E06">
        <w:rPr>
          <w:rFonts w:ascii="Times New Roman" w:hAnsi="Times New Roman" w:cs="Times New Roman"/>
          <w:sz w:val="24"/>
          <w:szCs w:val="24"/>
          <w:lang w:val="uk-UA"/>
        </w:rPr>
        <w:t xml:space="preserve">Важливим фактором формування </w:t>
      </w:r>
      <w:r w:rsidR="001E14AC">
        <w:rPr>
          <w:rFonts w:ascii="Times New Roman" w:hAnsi="Times New Roman" w:cs="Times New Roman"/>
          <w:sz w:val="24"/>
          <w:szCs w:val="24"/>
          <w:lang w:val="uk-UA"/>
        </w:rPr>
        <w:t>такого сповільнення</w:t>
      </w:r>
      <w:r w:rsidRPr="00837E06">
        <w:rPr>
          <w:rFonts w:ascii="Times New Roman" w:hAnsi="Times New Roman" w:cs="Times New Roman"/>
          <w:sz w:val="24"/>
          <w:szCs w:val="24"/>
          <w:lang w:val="uk-UA"/>
        </w:rPr>
        <w:t xml:space="preserve"> поточного року є укріплення обмінного курсу гривні до долару США, який у серпні 2019 року порівняно з груднем 2018</w:t>
      </w:r>
      <w:r w:rsidR="001E14AC">
        <w:rPr>
          <w:rFonts w:ascii="Times New Roman" w:hAnsi="Times New Roman" w:cs="Times New Roman"/>
          <w:sz w:val="24"/>
          <w:szCs w:val="24"/>
          <w:lang w:val="uk-UA"/>
        </w:rPr>
        <w:t> </w:t>
      </w:r>
      <w:r w:rsidRPr="00837E06">
        <w:rPr>
          <w:rFonts w:ascii="Times New Roman" w:hAnsi="Times New Roman" w:cs="Times New Roman"/>
          <w:sz w:val="24"/>
          <w:szCs w:val="24"/>
          <w:lang w:val="uk-UA"/>
        </w:rPr>
        <w:t xml:space="preserve">року укріпився на 9,1%. Зазначена тенденція була спричинена </w:t>
      </w:r>
      <w:r>
        <w:rPr>
          <w:rFonts w:ascii="Times New Roman" w:hAnsi="Times New Roman" w:cs="Times New Roman"/>
          <w:sz w:val="24"/>
          <w:szCs w:val="24"/>
          <w:lang w:val="uk-UA"/>
        </w:rPr>
        <w:t xml:space="preserve">перевищенням </w:t>
      </w:r>
      <w:r w:rsidRPr="00837E06">
        <w:rPr>
          <w:rFonts w:ascii="Times New Roman" w:hAnsi="Times New Roman" w:cs="Times New Roman"/>
          <w:sz w:val="24"/>
          <w:szCs w:val="24"/>
          <w:lang w:val="uk-UA"/>
        </w:rPr>
        <w:t>пропозиці</w:t>
      </w:r>
      <w:r>
        <w:rPr>
          <w:rFonts w:ascii="Times New Roman" w:hAnsi="Times New Roman" w:cs="Times New Roman"/>
          <w:sz w:val="24"/>
          <w:szCs w:val="24"/>
          <w:lang w:val="uk-UA"/>
        </w:rPr>
        <w:t>ї</w:t>
      </w:r>
      <w:r w:rsidRPr="00837E06">
        <w:rPr>
          <w:rFonts w:ascii="Times New Roman" w:hAnsi="Times New Roman" w:cs="Times New Roman"/>
          <w:sz w:val="24"/>
          <w:szCs w:val="24"/>
          <w:lang w:val="uk-UA"/>
        </w:rPr>
        <w:t xml:space="preserve"> іноземної валюти </w:t>
      </w:r>
      <w:r>
        <w:rPr>
          <w:rFonts w:ascii="Times New Roman" w:hAnsi="Times New Roman" w:cs="Times New Roman"/>
          <w:sz w:val="24"/>
          <w:szCs w:val="24"/>
          <w:lang w:val="uk-UA"/>
        </w:rPr>
        <w:t>над попитом на неї</w:t>
      </w:r>
      <w:r w:rsidR="001E14AC">
        <w:rPr>
          <w:rFonts w:ascii="Times New Roman" w:hAnsi="Times New Roman" w:cs="Times New Roman"/>
          <w:sz w:val="24"/>
          <w:szCs w:val="24"/>
          <w:lang w:val="uk-UA"/>
        </w:rPr>
        <w:t>, зокрема</w:t>
      </w:r>
      <w:r>
        <w:rPr>
          <w:rFonts w:ascii="Times New Roman" w:hAnsi="Times New Roman" w:cs="Times New Roman"/>
          <w:sz w:val="24"/>
          <w:szCs w:val="24"/>
          <w:lang w:val="uk-UA"/>
        </w:rPr>
        <w:t xml:space="preserve"> </w:t>
      </w:r>
      <w:r w:rsidRPr="00837E06">
        <w:rPr>
          <w:rFonts w:ascii="Times New Roman" w:hAnsi="Times New Roman" w:cs="Times New Roman"/>
          <w:sz w:val="24"/>
          <w:szCs w:val="24"/>
          <w:lang w:val="uk-UA"/>
        </w:rPr>
        <w:t>внаслідок попиту нерез</w:t>
      </w:r>
      <w:r>
        <w:rPr>
          <w:rFonts w:ascii="Times New Roman" w:hAnsi="Times New Roman" w:cs="Times New Roman"/>
          <w:sz w:val="24"/>
          <w:szCs w:val="24"/>
          <w:lang w:val="uk-UA"/>
        </w:rPr>
        <w:t>и</w:t>
      </w:r>
      <w:r w:rsidRPr="00837E06">
        <w:rPr>
          <w:rFonts w:ascii="Times New Roman" w:hAnsi="Times New Roman" w:cs="Times New Roman"/>
          <w:sz w:val="24"/>
          <w:szCs w:val="24"/>
          <w:lang w:val="uk-UA"/>
        </w:rPr>
        <w:t>дентів на гривневі ОВДП та стабільного надходжен</w:t>
      </w:r>
      <w:r>
        <w:rPr>
          <w:rFonts w:ascii="Times New Roman" w:hAnsi="Times New Roman" w:cs="Times New Roman"/>
          <w:sz w:val="24"/>
          <w:szCs w:val="24"/>
          <w:lang w:val="uk-UA"/>
        </w:rPr>
        <w:t>ня</w:t>
      </w:r>
      <w:r w:rsidRPr="00837E06">
        <w:rPr>
          <w:rFonts w:ascii="Times New Roman" w:hAnsi="Times New Roman" w:cs="Times New Roman"/>
          <w:sz w:val="24"/>
          <w:szCs w:val="24"/>
          <w:lang w:val="uk-UA"/>
        </w:rPr>
        <w:t xml:space="preserve"> валютної виручки </w:t>
      </w:r>
      <w:r>
        <w:rPr>
          <w:rFonts w:ascii="Times New Roman" w:hAnsi="Times New Roman" w:cs="Times New Roman"/>
          <w:sz w:val="24"/>
          <w:szCs w:val="24"/>
          <w:lang w:val="uk-UA"/>
        </w:rPr>
        <w:t xml:space="preserve">від </w:t>
      </w:r>
      <w:r w:rsidRPr="00837E06">
        <w:rPr>
          <w:rFonts w:ascii="Times New Roman" w:hAnsi="Times New Roman" w:cs="Times New Roman"/>
          <w:sz w:val="24"/>
          <w:szCs w:val="24"/>
          <w:lang w:val="uk-UA"/>
        </w:rPr>
        <w:t xml:space="preserve">експортерів. </w:t>
      </w:r>
    </w:p>
    <w:p w:rsidR="00B1314E" w:rsidRPr="00BE401A" w:rsidRDefault="00B1314E" w:rsidP="00B1314E">
      <w:pPr>
        <w:pStyle w:val="af1"/>
        <w:shd w:val="clear" w:color="auto" w:fill="FFFFFF" w:themeFill="background1"/>
        <w:ind w:firstLine="567"/>
        <w:jc w:val="both"/>
        <w:rPr>
          <w:rFonts w:ascii="Times New Roman" w:hAnsi="Times New Roman" w:cs="Times New Roman"/>
          <w:sz w:val="24"/>
          <w:szCs w:val="24"/>
          <w:lang w:val="uk-UA"/>
        </w:rPr>
      </w:pPr>
      <w:r w:rsidRPr="00837E06">
        <w:rPr>
          <w:rFonts w:ascii="Times New Roman" w:hAnsi="Times New Roman" w:cs="Times New Roman"/>
          <w:sz w:val="24"/>
          <w:szCs w:val="24"/>
          <w:lang w:val="uk-UA"/>
        </w:rPr>
        <w:t>Враховуючи поточну курсову динаміку</w:t>
      </w:r>
      <w:r>
        <w:rPr>
          <w:rFonts w:ascii="Times New Roman" w:hAnsi="Times New Roman" w:cs="Times New Roman"/>
          <w:sz w:val="24"/>
          <w:szCs w:val="24"/>
          <w:lang w:val="uk-UA"/>
        </w:rPr>
        <w:t>,</w:t>
      </w:r>
      <w:r w:rsidRPr="00837E06">
        <w:rPr>
          <w:rFonts w:ascii="Times New Roman" w:hAnsi="Times New Roman" w:cs="Times New Roman"/>
          <w:sz w:val="24"/>
          <w:szCs w:val="24"/>
          <w:lang w:val="uk-UA"/>
        </w:rPr>
        <w:t xml:space="preserve"> </w:t>
      </w:r>
      <w:r>
        <w:rPr>
          <w:rFonts w:ascii="Times New Roman" w:hAnsi="Times New Roman" w:cs="Times New Roman"/>
          <w:sz w:val="24"/>
          <w:szCs w:val="24"/>
          <w:lang w:val="uk-UA"/>
        </w:rPr>
        <w:t>очікуване</w:t>
      </w:r>
      <w:r w:rsidRPr="00837E06">
        <w:rPr>
          <w:rFonts w:ascii="Times New Roman" w:hAnsi="Times New Roman" w:cs="Times New Roman"/>
          <w:sz w:val="24"/>
          <w:szCs w:val="24"/>
          <w:lang w:val="uk-UA"/>
        </w:rPr>
        <w:t xml:space="preserve"> значення обмінного курсу гривні щодо долару США </w:t>
      </w:r>
      <w:r>
        <w:rPr>
          <w:rFonts w:ascii="Times New Roman" w:hAnsi="Times New Roman" w:cs="Times New Roman"/>
          <w:sz w:val="24"/>
          <w:szCs w:val="24"/>
          <w:lang w:val="uk-UA"/>
        </w:rPr>
        <w:t>на 2019 рік становить</w:t>
      </w:r>
      <w:r w:rsidRPr="00837E06">
        <w:rPr>
          <w:rFonts w:ascii="Times New Roman" w:hAnsi="Times New Roman" w:cs="Times New Roman"/>
          <w:sz w:val="24"/>
          <w:szCs w:val="24"/>
          <w:lang w:val="uk-UA"/>
        </w:rPr>
        <w:t xml:space="preserve"> 26,5 грн/дол США </w:t>
      </w:r>
      <w:r>
        <w:rPr>
          <w:rFonts w:ascii="Times New Roman" w:hAnsi="Times New Roman" w:cs="Times New Roman"/>
          <w:sz w:val="24"/>
          <w:szCs w:val="24"/>
          <w:lang w:val="uk-UA"/>
        </w:rPr>
        <w:t>проти показника у</w:t>
      </w:r>
      <w:r w:rsidRPr="00837E06">
        <w:rPr>
          <w:rFonts w:ascii="Times New Roman" w:hAnsi="Times New Roman" w:cs="Times New Roman"/>
          <w:sz w:val="24"/>
          <w:szCs w:val="24"/>
          <w:lang w:val="uk-UA"/>
        </w:rPr>
        <w:t xml:space="preserve"> 28,2 грн/дол США</w:t>
      </w:r>
      <w:r>
        <w:rPr>
          <w:rFonts w:ascii="Times New Roman" w:hAnsi="Times New Roman" w:cs="Times New Roman"/>
          <w:sz w:val="24"/>
          <w:szCs w:val="24"/>
          <w:lang w:val="uk-UA"/>
        </w:rPr>
        <w:t xml:space="preserve">, </w:t>
      </w:r>
      <w:r w:rsidRPr="00837E06">
        <w:rPr>
          <w:rFonts w:ascii="Times New Roman" w:hAnsi="Times New Roman" w:cs="Times New Roman"/>
          <w:sz w:val="24"/>
          <w:szCs w:val="24"/>
          <w:lang w:val="uk-UA"/>
        </w:rPr>
        <w:t>врахован</w:t>
      </w:r>
      <w:r>
        <w:rPr>
          <w:rFonts w:ascii="Times New Roman" w:hAnsi="Times New Roman" w:cs="Times New Roman"/>
          <w:sz w:val="24"/>
          <w:szCs w:val="24"/>
          <w:lang w:val="uk-UA"/>
        </w:rPr>
        <w:t>ого</w:t>
      </w:r>
      <w:r w:rsidRPr="00837E06">
        <w:rPr>
          <w:rFonts w:ascii="Times New Roman" w:hAnsi="Times New Roman" w:cs="Times New Roman"/>
          <w:sz w:val="24"/>
          <w:szCs w:val="24"/>
          <w:lang w:val="uk-UA"/>
        </w:rPr>
        <w:t xml:space="preserve"> у розрахунках бюджету.</w:t>
      </w:r>
      <w:r w:rsidR="001E14AC">
        <w:rPr>
          <w:rFonts w:ascii="Times New Roman" w:hAnsi="Times New Roman" w:cs="Times New Roman"/>
          <w:sz w:val="24"/>
          <w:szCs w:val="24"/>
          <w:lang w:val="uk-UA"/>
        </w:rPr>
        <w:t xml:space="preserve"> Зміцнення курсу гривні негативно вплинуло на надходження бюджетних доходів від ПДВ та акцизу на імпортні товари, а також ввізні мита, в результаті чого за вісім місяців 2019 року ці доходи були нижчими за розпис.</w:t>
      </w:r>
    </w:p>
    <w:p w:rsidR="006973E5" w:rsidRDefault="006973E5" w:rsidP="005A1D7D">
      <w:pPr>
        <w:spacing w:after="0" w:line="240" w:lineRule="auto"/>
        <w:ind w:right="947" w:firstLine="566"/>
        <w:jc w:val="both"/>
        <w:rPr>
          <w:rFonts w:ascii="Times New Roman" w:eastAsia="Times New Roman" w:hAnsi="Times New Roman" w:cs="Times New Roman"/>
          <w:b/>
          <w:sz w:val="12"/>
          <w:szCs w:val="28"/>
          <w:lang w:eastAsia="ru-RU"/>
        </w:rPr>
      </w:pPr>
    </w:p>
    <w:p w:rsidR="006973E5" w:rsidRPr="00791C33" w:rsidRDefault="006973E5" w:rsidP="005A1D7D">
      <w:pPr>
        <w:spacing w:after="0" w:line="240" w:lineRule="auto"/>
        <w:ind w:right="947" w:firstLine="566"/>
        <w:jc w:val="both"/>
        <w:rPr>
          <w:rFonts w:ascii="Times New Roman" w:eastAsia="Times New Roman" w:hAnsi="Times New Roman" w:cs="Times New Roman"/>
          <w:b/>
          <w:sz w:val="12"/>
          <w:szCs w:val="28"/>
          <w:lang w:eastAsia="ru-RU"/>
        </w:rPr>
      </w:pPr>
    </w:p>
    <w:p w:rsidR="00185789" w:rsidRPr="00594FDE" w:rsidRDefault="00185789" w:rsidP="00594FDE">
      <w:pPr>
        <w:pStyle w:val="1"/>
        <w:numPr>
          <w:ilvl w:val="0"/>
          <w:numId w:val="33"/>
        </w:numPr>
        <w:spacing w:after="120"/>
        <w:ind w:left="426" w:hanging="426"/>
        <w:rPr>
          <w:rFonts w:eastAsia="Times New Roman"/>
          <w:b/>
          <w:sz w:val="24"/>
          <w:lang w:eastAsia="ru-RU"/>
        </w:rPr>
      </w:pPr>
      <w:bookmarkStart w:id="6" w:name="_Toc19289901"/>
      <w:r w:rsidRPr="00594FDE">
        <w:rPr>
          <w:rFonts w:eastAsia="Times New Roman"/>
          <w:b/>
          <w:sz w:val="24"/>
          <w:lang w:eastAsia="ru-RU"/>
        </w:rPr>
        <w:t>Сценарії макроекономічного прогнозу на 2020 рік</w:t>
      </w:r>
      <w:bookmarkEnd w:id="6"/>
      <w:r w:rsidRPr="00594FDE">
        <w:rPr>
          <w:rFonts w:eastAsia="Times New Roman"/>
          <w:b/>
          <w:sz w:val="24"/>
          <w:lang w:eastAsia="ru-RU"/>
        </w:rPr>
        <w:t xml:space="preserve"> </w:t>
      </w:r>
    </w:p>
    <w:p w:rsidR="00185789" w:rsidRPr="00825864" w:rsidRDefault="00185789" w:rsidP="00541C7D">
      <w:pPr>
        <w:pStyle w:val="af1"/>
        <w:spacing w:before="120"/>
        <w:ind w:firstLine="567"/>
        <w:jc w:val="both"/>
        <w:rPr>
          <w:rFonts w:ascii="Times New Roman" w:eastAsia="Times New Roman" w:hAnsi="Times New Roman" w:cs="Times New Roman"/>
          <w:b/>
          <w:sz w:val="24"/>
          <w:szCs w:val="24"/>
          <w:lang w:val="uk-UA" w:eastAsia="ru-RU" w:bidi="ar-SA"/>
        </w:rPr>
      </w:pPr>
      <w:r w:rsidRPr="00825864">
        <w:rPr>
          <w:rFonts w:ascii="Times New Roman" w:eastAsia="Times New Roman" w:hAnsi="Times New Roman" w:cs="Times New Roman"/>
          <w:b/>
          <w:sz w:val="24"/>
          <w:szCs w:val="24"/>
          <w:lang w:val="uk-UA" w:eastAsia="ru-RU" w:bidi="ar-SA"/>
        </w:rPr>
        <w:t xml:space="preserve">Базовий сценарій прогнозу </w:t>
      </w:r>
    </w:p>
    <w:p w:rsidR="00185789" w:rsidRPr="00825864" w:rsidRDefault="00185789" w:rsidP="00185789">
      <w:pPr>
        <w:pStyle w:val="af1"/>
        <w:spacing w:before="120"/>
        <w:ind w:firstLine="567"/>
        <w:jc w:val="both"/>
        <w:rPr>
          <w:rFonts w:ascii="Times New Roman" w:hAnsi="Times New Roman" w:cs="Times New Roman"/>
          <w:sz w:val="24"/>
          <w:szCs w:val="24"/>
          <w:lang w:val="uk-UA"/>
        </w:rPr>
      </w:pPr>
      <w:r w:rsidRPr="001E3120">
        <w:rPr>
          <w:rFonts w:ascii="Times New Roman" w:hAnsi="Times New Roman" w:cs="Times New Roman"/>
          <w:sz w:val="24"/>
          <w:szCs w:val="24"/>
          <w:lang w:val="uk-UA"/>
        </w:rPr>
        <w:t>У прогнозному періоді продовжуватиметься</w:t>
      </w:r>
      <w:r w:rsidRPr="00825864">
        <w:rPr>
          <w:rFonts w:ascii="Times New Roman" w:hAnsi="Times New Roman" w:cs="Times New Roman"/>
          <w:sz w:val="24"/>
          <w:szCs w:val="24"/>
          <w:lang w:val="uk-UA"/>
        </w:rPr>
        <w:t xml:space="preserve"> тенденція останніх трьох років у напрямку </w:t>
      </w:r>
      <w:r w:rsidRPr="00D82E4E">
        <w:rPr>
          <w:rFonts w:ascii="Times New Roman" w:hAnsi="Times New Roman" w:cs="Times New Roman"/>
          <w:sz w:val="24"/>
          <w:szCs w:val="24"/>
          <w:lang w:val="uk-UA"/>
        </w:rPr>
        <w:t>зміщення акцентів на користь інвестиційної компоненти (у 2020 році питома вага ВНОК у структурі ВВП зростатиме) і, відповідно, відбуватиметься подальший перехід до експортування Україною товарів з ви</w:t>
      </w:r>
      <w:r w:rsidR="001A5BA1">
        <w:rPr>
          <w:rFonts w:ascii="Times New Roman" w:hAnsi="Times New Roman" w:cs="Times New Roman"/>
          <w:sz w:val="24"/>
          <w:szCs w:val="24"/>
          <w:lang w:val="uk-UA"/>
        </w:rPr>
        <w:t>щою</w:t>
      </w:r>
      <w:r w:rsidRPr="00D82E4E">
        <w:rPr>
          <w:rFonts w:ascii="Times New Roman" w:hAnsi="Times New Roman" w:cs="Times New Roman"/>
          <w:sz w:val="24"/>
          <w:szCs w:val="24"/>
          <w:lang w:val="uk-UA"/>
        </w:rPr>
        <w:t xml:space="preserve"> доданою вартістю, якому також сприятиме проведення державної політики у напряму підвищення конкурентоспроможності вітчизняної</w:t>
      </w:r>
      <w:r w:rsidRPr="00825864">
        <w:rPr>
          <w:rFonts w:ascii="Times New Roman" w:hAnsi="Times New Roman" w:cs="Times New Roman"/>
          <w:sz w:val="24"/>
          <w:szCs w:val="24"/>
          <w:lang w:val="uk-UA"/>
        </w:rPr>
        <w:t xml:space="preserve"> експортної продукції. Водночас відбуватимуться процеси підвищення споживчої активності населення внаслідок зростання рівня оплати праці у відповідь на політику Уряду та роботодавців щодо підвищення рівня заробітної плати. Зростання останньої буде як стимулювати підвищення споживання населення, так і не обмежуватиме </w:t>
      </w:r>
      <w:r w:rsidRPr="00D82E4E">
        <w:rPr>
          <w:rFonts w:ascii="Times New Roman" w:hAnsi="Times New Roman" w:cs="Times New Roman"/>
          <w:sz w:val="24"/>
          <w:szCs w:val="24"/>
          <w:lang w:val="uk-UA"/>
        </w:rPr>
        <w:t>інвестиційні можливості виробників щодо забезпечення прискореної модернізації виробництва та створення нових робочих місць.</w:t>
      </w:r>
      <w:r w:rsidRPr="00825864">
        <w:rPr>
          <w:rFonts w:ascii="Times New Roman" w:hAnsi="Times New Roman" w:cs="Times New Roman"/>
          <w:sz w:val="24"/>
          <w:szCs w:val="24"/>
          <w:lang w:val="uk-UA"/>
        </w:rPr>
        <w:t xml:space="preserve"> </w:t>
      </w:r>
    </w:p>
    <w:p w:rsidR="00185789" w:rsidRPr="00825864" w:rsidRDefault="00185789" w:rsidP="00185789">
      <w:pPr>
        <w:pStyle w:val="af1"/>
        <w:ind w:firstLine="567"/>
        <w:jc w:val="both"/>
        <w:rPr>
          <w:rFonts w:ascii="Times New Roman" w:hAnsi="Times New Roman" w:cs="Times New Roman"/>
          <w:sz w:val="24"/>
          <w:szCs w:val="24"/>
          <w:lang w:val="uk-UA"/>
        </w:rPr>
      </w:pPr>
      <w:r w:rsidRPr="00825864">
        <w:rPr>
          <w:rFonts w:ascii="Times New Roman" w:hAnsi="Times New Roman" w:cs="Times New Roman"/>
          <w:sz w:val="24"/>
          <w:szCs w:val="24"/>
          <w:lang w:val="uk-UA"/>
        </w:rPr>
        <w:t xml:space="preserve">Як результат, за </w:t>
      </w:r>
      <w:r w:rsidR="001A5BA1">
        <w:rPr>
          <w:rFonts w:ascii="Times New Roman" w:hAnsi="Times New Roman" w:cs="Times New Roman"/>
          <w:sz w:val="24"/>
          <w:szCs w:val="24"/>
          <w:lang w:val="uk-UA"/>
        </w:rPr>
        <w:t>базовим сценарієм прогнозу (</w:t>
      </w:r>
      <w:r w:rsidRPr="00825864">
        <w:rPr>
          <w:rFonts w:ascii="Times New Roman" w:hAnsi="Times New Roman" w:cs="Times New Roman"/>
          <w:sz w:val="24"/>
          <w:szCs w:val="24"/>
          <w:lang w:val="uk-UA"/>
        </w:rPr>
        <w:t>варіант 1</w:t>
      </w:r>
      <w:r w:rsidR="001A5BA1">
        <w:rPr>
          <w:rFonts w:ascii="Times New Roman" w:hAnsi="Times New Roman" w:cs="Times New Roman"/>
          <w:sz w:val="24"/>
          <w:szCs w:val="24"/>
          <w:lang w:val="uk-UA"/>
        </w:rPr>
        <w:t>)</w:t>
      </w:r>
      <w:r w:rsidRPr="00825864">
        <w:rPr>
          <w:rFonts w:ascii="Times New Roman" w:hAnsi="Times New Roman" w:cs="Times New Roman"/>
          <w:sz w:val="24"/>
          <w:szCs w:val="24"/>
          <w:lang w:val="uk-UA"/>
        </w:rPr>
        <w:t xml:space="preserve"> у 2020 році прогнозує</w:t>
      </w:r>
      <w:r>
        <w:rPr>
          <w:rFonts w:ascii="Times New Roman" w:hAnsi="Times New Roman" w:cs="Times New Roman"/>
          <w:sz w:val="24"/>
          <w:szCs w:val="24"/>
          <w:lang w:val="uk-UA"/>
        </w:rPr>
        <w:t>ться зростання ВВП на рівні 3,3</w:t>
      </w:r>
      <w:r w:rsidRPr="00825864">
        <w:rPr>
          <w:rFonts w:ascii="Times New Roman" w:hAnsi="Times New Roman" w:cs="Times New Roman"/>
          <w:sz w:val="24"/>
          <w:szCs w:val="24"/>
          <w:lang w:val="uk-UA"/>
        </w:rPr>
        <w:t>%,</w:t>
      </w:r>
      <w:r w:rsidR="001A5BA1">
        <w:rPr>
          <w:rFonts w:ascii="Times New Roman" w:hAnsi="Times New Roman" w:cs="Times New Roman"/>
          <w:sz w:val="24"/>
          <w:szCs w:val="24"/>
          <w:lang w:val="uk-UA"/>
        </w:rPr>
        <w:t xml:space="preserve"> споживчі ціни зростуть на 6,0%, </w:t>
      </w:r>
      <w:r w:rsidRPr="00825864">
        <w:rPr>
          <w:rFonts w:ascii="Times New Roman" w:hAnsi="Times New Roman" w:cs="Times New Roman"/>
          <w:sz w:val="24"/>
          <w:szCs w:val="24"/>
          <w:lang w:val="uk-UA"/>
        </w:rPr>
        <w:t>грудень до грудня попереднього року.</w:t>
      </w:r>
    </w:p>
    <w:p w:rsidR="00210875" w:rsidRPr="00825864" w:rsidRDefault="00210875" w:rsidP="00210875">
      <w:pPr>
        <w:pStyle w:val="af1"/>
        <w:spacing w:before="120" w:after="120"/>
        <w:ind w:firstLine="709"/>
        <w:jc w:val="both"/>
        <w:rPr>
          <w:rFonts w:ascii="Times New Roman" w:eastAsia="Times New Roman" w:hAnsi="Times New Roman" w:cs="Times New Roman"/>
          <w:b/>
          <w:sz w:val="24"/>
          <w:szCs w:val="24"/>
          <w:lang w:val="uk-UA" w:eastAsia="ru-RU" w:bidi="ar-SA"/>
        </w:rPr>
      </w:pPr>
      <w:r w:rsidRPr="00825864">
        <w:rPr>
          <w:rFonts w:ascii="Times New Roman" w:eastAsia="Times New Roman" w:hAnsi="Times New Roman" w:cs="Times New Roman"/>
          <w:b/>
          <w:sz w:val="24"/>
          <w:szCs w:val="24"/>
          <w:lang w:val="uk-UA" w:eastAsia="ru-RU" w:bidi="ar-SA"/>
        </w:rPr>
        <w:t xml:space="preserve">Альтернативний (негативний) сценарій економічного розвитку </w:t>
      </w:r>
    </w:p>
    <w:p w:rsidR="00210875" w:rsidRPr="00E557D8" w:rsidRDefault="00210875" w:rsidP="00210875">
      <w:pPr>
        <w:pStyle w:val="af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основі альтернативного сценарію</w:t>
      </w:r>
      <w:r w:rsidR="002E7077">
        <w:rPr>
          <w:rFonts w:ascii="Times New Roman" w:hAnsi="Times New Roman" w:cs="Times New Roman"/>
          <w:sz w:val="24"/>
          <w:szCs w:val="24"/>
          <w:lang w:val="uk-UA"/>
        </w:rPr>
        <w:t>, розробленого Мінекономіки,</w:t>
      </w:r>
      <w:r>
        <w:rPr>
          <w:rFonts w:ascii="Times New Roman" w:hAnsi="Times New Roman" w:cs="Times New Roman"/>
          <w:sz w:val="24"/>
          <w:szCs w:val="24"/>
          <w:lang w:val="uk-UA"/>
        </w:rPr>
        <w:t xml:space="preserve"> враховано припущення щодо реалізації глобальних ризиків, які є результатом п</w:t>
      </w:r>
      <w:r w:rsidRPr="00E557D8">
        <w:rPr>
          <w:rFonts w:ascii="Times New Roman" w:hAnsi="Times New Roman" w:cs="Times New Roman"/>
          <w:sz w:val="24"/>
          <w:szCs w:val="24"/>
          <w:lang w:val="uk-UA"/>
        </w:rPr>
        <w:t>родовження ескалації торг</w:t>
      </w:r>
      <w:r w:rsidR="002E7077">
        <w:rPr>
          <w:rFonts w:ascii="Times New Roman" w:hAnsi="Times New Roman" w:cs="Times New Roman"/>
          <w:sz w:val="24"/>
          <w:szCs w:val="24"/>
          <w:lang w:val="uk-UA"/>
        </w:rPr>
        <w:t>о</w:t>
      </w:r>
      <w:r w:rsidRPr="00E557D8">
        <w:rPr>
          <w:rFonts w:ascii="Times New Roman" w:hAnsi="Times New Roman" w:cs="Times New Roman"/>
          <w:sz w:val="24"/>
          <w:szCs w:val="24"/>
          <w:lang w:val="uk-UA"/>
        </w:rPr>
        <w:t>вельних війн між Китаєм та США</w:t>
      </w:r>
      <w:r>
        <w:rPr>
          <w:rFonts w:ascii="Times New Roman" w:hAnsi="Times New Roman" w:cs="Times New Roman"/>
          <w:sz w:val="24"/>
          <w:szCs w:val="24"/>
          <w:lang w:val="uk-UA"/>
        </w:rPr>
        <w:t>. Зазначене протистояння</w:t>
      </w:r>
      <w:r w:rsidRPr="00E557D8">
        <w:rPr>
          <w:rFonts w:ascii="Times New Roman" w:hAnsi="Times New Roman" w:cs="Times New Roman"/>
          <w:sz w:val="24"/>
          <w:szCs w:val="24"/>
          <w:lang w:val="uk-UA"/>
        </w:rPr>
        <w:t xml:space="preserve"> формує ризики зниження темпів зростання світової економіки, та відповідно - погіршення зовнішньоекономічної кон’юнктури для вітчизняного експорту на фоні  зниження цін на ключових товарних ринках та уповільнення економік основних торговельних партнерів.</w:t>
      </w:r>
      <w:r>
        <w:rPr>
          <w:rFonts w:ascii="Times New Roman" w:hAnsi="Times New Roman" w:cs="Times New Roman"/>
          <w:sz w:val="24"/>
          <w:szCs w:val="24"/>
          <w:lang w:val="uk-UA"/>
        </w:rPr>
        <w:t xml:space="preserve"> Ці фактори матимуть негативний вплив на динаміку</w:t>
      </w:r>
      <w:r>
        <w:rPr>
          <w:rFonts w:ascii="Times New Roman" w:eastAsia="Times New Roman" w:hAnsi="Times New Roman" w:cs="Times New Roman"/>
          <w:sz w:val="24"/>
          <w:szCs w:val="24"/>
          <w:lang w:val="uk-UA" w:eastAsia="ru-RU" w:bidi="ar-SA"/>
        </w:rPr>
        <w:t xml:space="preserve"> реального ВВП, який </w:t>
      </w:r>
      <w:r w:rsidR="002E7077">
        <w:rPr>
          <w:rFonts w:ascii="Times New Roman" w:eastAsia="Times New Roman" w:hAnsi="Times New Roman" w:cs="Times New Roman"/>
          <w:sz w:val="24"/>
          <w:szCs w:val="24"/>
          <w:lang w:val="uk-UA" w:eastAsia="ru-RU" w:bidi="ar-SA"/>
        </w:rPr>
        <w:t xml:space="preserve">за такого сценарію, </w:t>
      </w:r>
      <w:r>
        <w:rPr>
          <w:rFonts w:ascii="Times New Roman" w:eastAsia="Times New Roman" w:hAnsi="Times New Roman" w:cs="Times New Roman"/>
          <w:sz w:val="24"/>
          <w:szCs w:val="24"/>
          <w:lang w:val="uk-UA" w:eastAsia="ru-RU" w:bidi="ar-SA"/>
        </w:rPr>
        <w:t xml:space="preserve">знизиться на 0,2% у 2020 році. </w:t>
      </w:r>
      <w:r w:rsidRPr="00E557D8">
        <w:rPr>
          <w:rFonts w:ascii="Times New Roman" w:hAnsi="Times New Roman" w:cs="Times New Roman"/>
          <w:sz w:val="24"/>
          <w:szCs w:val="24"/>
          <w:lang w:val="uk-UA"/>
        </w:rPr>
        <w:t>Зазначені ризики</w:t>
      </w:r>
      <w:r>
        <w:rPr>
          <w:rFonts w:ascii="Times New Roman" w:hAnsi="Times New Roman" w:cs="Times New Roman"/>
          <w:sz w:val="24"/>
          <w:szCs w:val="24"/>
          <w:lang w:val="uk-UA"/>
        </w:rPr>
        <w:t xml:space="preserve"> </w:t>
      </w:r>
      <w:r w:rsidRPr="00E557D8">
        <w:rPr>
          <w:rFonts w:ascii="Times New Roman" w:hAnsi="Times New Roman" w:cs="Times New Roman"/>
          <w:sz w:val="24"/>
          <w:szCs w:val="24"/>
          <w:lang w:val="uk-UA"/>
        </w:rPr>
        <w:t>є передумовою для реалізації альтернативного сценарію розвитку економіку у 2020</w:t>
      </w:r>
      <w:r>
        <w:rPr>
          <w:rFonts w:ascii="Times New Roman" w:hAnsi="Times New Roman" w:cs="Times New Roman"/>
          <w:sz w:val="24"/>
          <w:szCs w:val="24"/>
          <w:lang w:val="uk-UA"/>
        </w:rPr>
        <w:t xml:space="preserve"> році</w:t>
      </w:r>
      <w:r w:rsidRPr="00E557D8">
        <w:rPr>
          <w:rFonts w:ascii="Times New Roman" w:hAnsi="Times New Roman" w:cs="Times New Roman"/>
          <w:sz w:val="24"/>
          <w:szCs w:val="24"/>
          <w:lang w:val="uk-UA"/>
        </w:rPr>
        <w:t xml:space="preserve">, основні макроекономічні показники </w:t>
      </w:r>
      <w:r w:rsidRPr="0000516D">
        <w:rPr>
          <w:rFonts w:ascii="Times New Roman" w:hAnsi="Times New Roman" w:cs="Times New Roman"/>
          <w:sz w:val="24"/>
          <w:szCs w:val="24"/>
          <w:lang w:val="uk-UA"/>
        </w:rPr>
        <w:t xml:space="preserve">відображені </w:t>
      </w:r>
      <w:r w:rsidRPr="00541C7D">
        <w:rPr>
          <w:rFonts w:ascii="Times New Roman" w:hAnsi="Times New Roman" w:cs="Times New Roman"/>
          <w:sz w:val="24"/>
          <w:szCs w:val="24"/>
          <w:lang w:val="uk-UA"/>
        </w:rPr>
        <w:t>у таблиці</w:t>
      </w:r>
      <w:r w:rsidR="00DF1C5D" w:rsidRPr="00541C7D">
        <w:rPr>
          <w:rFonts w:ascii="Times New Roman" w:hAnsi="Times New Roman" w:cs="Times New Roman"/>
          <w:sz w:val="24"/>
          <w:szCs w:val="24"/>
          <w:lang w:val="uk-UA"/>
        </w:rPr>
        <w:t xml:space="preserve"> 2</w:t>
      </w:r>
      <w:r w:rsidRPr="00541C7D">
        <w:rPr>
          <w:rFonts w:ascii="Times New Roman" w:hAnsi="Times New Roman" w:cs="Times New Roman"/>
          <w:sz w:val="24"/>
          <w:szCs w:val="24"/>
          <w:lang w:val="uk-UA"/>
        </w:rPr>
        <w:t>.</w:t>
      </w:r>
      <w:r w:rsidRPr="00E557D8">
        <w:rPr>
          <w:rFonts w:ascii="Times New Roman" w:hAnsi="Times New Roman" w:cs="Times New Roman"/>
          <w:sz w:val="24"/>
          <w:szCs w:val="24"/>
          <w:lang w:val="uk-UA"/>
        </w:rPr>
        <w:t xml:space="preserve">   </w:t>
      </w:r>
    </w:p>
    <w:p w:rsidR="00016546" w:rsidRDefault="00016546" w:rsidP="00DF1C5D">
      <w:pPr>
        <w:pStyle w:val="a4"/>
        <w:widowControl w:val="0"/>
        <w:autoSpaceDE w:val="0"/>
        <w:autoSpaceDN w:val="0"/>
        <w:spacing w:after="0" w:line="240" w:lineRule="auto"/>
        <w:contextualSpacing w:val="0"/>
        <w:jc w:val="right"/>
        <w:rPr>
          <w:rFonts w:ascii="Times New Roman" w:hAnsi="Times New Roman" w:cs="Times New Roman"/>
          <w:i/>
          <w:sz w:val="24"/>
          <w:szCs w:val="24"/>
        </w:rPr>
      </w:pPr>
    </w:p>
    <w:p w:rsidR="00CA2A2A" w:rsidRPr="00541C7D" w:rsidRDefault="00DF1C5D" w:rsidP="00DF1C5D">
      <w:pPr>
        <w:pStyle w:val="a4"/>
        <w:widowControl w:val="0"/>
        <w:autoSpaceDE w:val="0"/>
        <w:autoSpaceDN w:val="0"/>
        <w:spacing w:after="0" w:line="240" w:lineRule="auto"/>
        <w:contextualSpacing w:val="0"/>
        <w:jc w:val="right"/>
        <w:rPr>
          <w:rFonts w:ascii="Times New Roman" w:hAnsi="Times New Roman" w:cs="Times New Roman"/>
          <w:i/>
          <w:sz w:val="24"/>
          <w:szCs w:val="24"/>
        </w:rPr>
      </w:pPr>
      <w:r w:rsidRPr="00541C7D">
        <w:rPr>
          <w:rFonts w:ascii="Times New Roman" w:hAnsi="Times New Roman" w:cs="Times New Roman"/>
          <w:i/>
          <w:sz w:val="24"/>
          <w:szCs w:val="24"/>
        </w:rPr>
        <w:t>Таблиця 2</w:t>
      </w:r>
    </w:p>
    <w:p w:rsidR="006B6D02" w:rsidRPr="00E557D8" w:rsidRDefault="006B6D02" w:rsidP="00B14D62">
      <w:pPr>
        <w:pStyle w:val="af1"/>
        <w:ind w:firstLine="720"/>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bidi="ar-SA"/>
        </w:rPr>
        <w:t xml:space="preserve">Основні прогнозні макропоказники </w:t>
      </w:r>
      <w:r w:rsidRPr="0000516D">
        <w:rPr>
          <w:rFonts w:ascii="Times New Roman" w:eastAsia="Times New Roman" w:hAnsi="Times New Roman" w:cs="Times New Roman"/>
          <w:b/>
          <w:bCs/>
          <w:color w:val="000000"/>
          <w:sz w:val="24"/>
          <w:szCs w:val="24"/>
          <w:lang w:val="uk-UA" w:eastAsia="uk-UA" w:bidi="ar-SA"/>
        </w:rPr>
        <w:t>економічного і соціального розвитку України на 2020</w:t>
      </w:r>
      <w:r w:rsidRPr="00EB5720">
        <w:rPr>
          <w:rFonts w:ascii="Times New Roman" w:eastAsia="Times New Roman" w:hAnsi="Times New Roman" w:cs="Times New Roman"/>
          <w:b/>
          <w:bCs/>
          <w:color w:val="000000"/>
          <w:sz w:val="24"/>
          <w:szCs w:val="24"/>
          <w:lang w:val="ru-RU" w:eastAsia="uk-UA" w:bidi="ar-SA"/>
        </w:rPr>
        <w:t xml:space="preserve"> </w:t>
      </w:r>
      <w:r>
        <w:rPr>
          <w:rFonts w:ascii="Times New Roman" w:eastAsia="Times New Roman" w:hAnsi="Times New Roman" w:cs="Times New Roman"/>
          <w:b/>
          <w:bCs/>
          <w:color w:val="000000"/>
          <w:sz w:val="24"/>
          <w:szCs w:val="24"/>
          <w:lang w:val="ru-RU" w:eastAsia="uk-UA" w:bidi="ar-SA"/>
        </w:rPr>
        <w:t xml:space="preserve">рік згідно </w:t>
      </w:r>
      <w:r w:rsidRPr="0000516D">
        <w:rPr>
          <w:rFonts w:ascii="Times New Roman" w:eastAsia="Times New Roman" w:hAnsi="Times New Roman" w:cs="Times New Roman"/>
          <w:b/>
          <w:bCs/>
          <w:color w:val="000000"/>
          <w:sz w:val="24"/>
          <w:szCs w:val="24"/>
          <w:lang w:val="uk-UA" w:eastAsia="uk-UA" w:bidi="ar-SA"/>
        </w:rPr>
        <w:t>альтернативн</w:t>
      </w:r>
      <w:r>
        <w:rPr>
          <w:rFonts w:ascii="Times New Roman" w:eastAsia="Times New Roman" w:hAnsi="Times New Roman" w:cs="Times New Roman"/>
          <w:b/>
          <w:bCs/>
          <w:color w:val="000000"/>
          <w:sz w:val="24"/>
          <w:szCs w:val="24"/>
          <w:lang w:val="uk-UA" w:eastAsia="uk-UA" w:bidi="ar-SA"/>
        </w:rPr>
        <w:t>ого</w:t>
      </w:r>
      <w:r w:rsidRPr="0000516D">
        <w:rPr>
          <w:rFonts w:ascii="Times New Roman" w:eastAsia="Times New Roman" w:hAnsi="Times New Roman" w:cs="Times New Roman"/>
          <w:b/>
          <w:bCs/>
          <w:color w:val="000000"/>
          <w:sz w:val="24"/>
          <w:szCs w:val="24"/>
          <w:lang w:val="uk-UA" w:eastAsia="uk-UA" w:bidi="ar-SA"/>
        </w:rPr>
        <w:t xml:space="preserve"> сценарі</w:t>
      </w:r>
      <w:r>
        <w:rPr>
          <w:rFonts w:ascii="Times New Roman" w:eastAsia="Times New Roman" w:hAnsi="Times New Roman" w:cs="Times New Roman"/>
          <w:b/>
          <w:bCs/>
          <w:color w:val="000000"/>
          <w:sz w:val="24"/>
          <w:szCs w:val="24"/>
          <w:lang w:val="uk-UA" w:eastAsia="uk-UA" w:bidi="ar-SA"/>
        </w:rPr>
        <w:t>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672"/>
      </w:tblGrid>
      <w:tr w:rsidR="006B6D02" w:rsidRPr="0000516D" w:rsidTr="00541C7D">
        <w:trPr>
          <w:trHeight w:val="517"/>
          <w:tblHeader/>
        </w:trPr>
        <w:tc>
          <w:tcPr>
            <w:tcW w:w="7967" w:type="dxa"/>
            <w:vMerge w:val="restart"/>
            <w:shd w:val="clear" w:color="auto" w:fill="auto"/>
            <w:vAlign w:val="center"/>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Показник</w:t>
            </w:r>
          </w:p>
        </w:tc>
        <w:tc>
          <w:tcPr>
            <w:tcW w:w="1672" w:type="dxa"/>
            <w:vMerge w:val="restart"/>
            <w:shd w:val="clear" w:color="auto" w:fill="auto"/>
            <w:vAlign w:val="center"/>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2020 рік</w:t>
            </w:r>
          </w:p>
        </w:tc>
      </w:tr>
      <w:tr w:rsidR="006B6D02" w:rsidRPr="0000516D" w:rsidTr="00594FDE">
        <w:trPr>
          <w:trHeight w:val="509"/>
        </w:trPr>
        <w:tc>
          <w:tcPr>
            <w:tcW w:w="7967" w:type="dxa"/>
            <w:vMerge/>
            <w:vAlign w:val="center"/>
            <w:hideMark/>
          </w:tcPr>
          <w:p w:rsidR="006B6D02" w:rsidRPr="0000516D" w:rsidRDefault="006B6D02" w:rsidP="00594FDE">
            <w:pPr>
              <w:spacing w:after="0" w:line="240" w:lineRule="auto"/>
              <w:rPr>
                <w:rFonts w:ascii="Times New Roman" w:eastAsia="Times New Roman" w:hAnsi="Times New Roman" w:cs="Times New Roman"/>
                <w:color w:val="000000"/>
                <w:sz w:val="24"/>
                <w:szCs w:val="24"/>
                <w:lang w:eastAsia="uk-UA"/>
              </w:rPr>
            </w:pPr>
          </w:p>
        </w:tc>
        <w:tc>
          <w:tcPr>
            <w:tcW w:w="1672" w:type="dxa"/>
            <w:vMerge/>
            <w:vAlign w:val="center"/>
            <w:hideMark/>
          </w:tcPr>
          <w:p w:rsidR="006B6D02" w:rsidRPr="0000516D" w:rsidRDefault="006B6D02" w:rsidP="00594FDE">
            <w:pPr>
              <w:spacing w:after="0" w:line="240" w:lineRule="auto"/>
              <w:rPr>
                <w:rFonts w:ascii="Times New Roman" w:eastAsia="Times New Roman" w:hAnsi="Times New Roman" w:cs="Times New Roman"/>
                <w:color w:val="000000"/>
                <w:sz w:val="24"/>
                <w:szCs w:val="24"/>
                <w:lang w:eastAsia="uk-UA"/>
              </w:rPr>
            </w:pPr>
          </w:p>
        </w:tc>
      </w:tr>
      <w:tr w:rsidR="006B6D02" w:rsidRPr="0000516D" w:rsidTr="00541C7D">
        <w:trPr>
          <w:trHeight w:val="360"/>
        </w:trPr>
        <w:tc>
          <w:tcPr>
            <w:tcW w:w="7967" w:type="dxa"/>
            <w:shd w:val="clear" w:color="auto" w:fill="auto"/>
            <w:vAlign w:val="center"/>
            <w:hideMark/>
          </w:tcPr>
          <w:p w:rsidR="006B6D02" w:rsidRPr="0000516D" w:rsidRDefault="006B6D02" w:rsidP="00594FDE">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Валовий внутрішній продукт:</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 </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ind w:firstLineChars="100" w:firstLine="240"/>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 xml:space="preserve">реальний, у % </w:t>
            </w:r>
            <w:r w:rsidR="002E7077">
              <w:rPr>
                <w:rFonts w:ascii="Times New Roman" w:eastAsia="Times New Roman" w:hAnsi="Times New Roman" w:cs="Times New Roman"/>
                <w:color w:val="000000"/>
                <w:sz w:val="24"/>
                <w:szCs w:val="24"/>
                <w:lang w:eastAsia="uk-UA"/>
              </w:rPr>
              <w:t>р/р</w:t>
            </w:r>
          </w:p>
        </w:tc>
        <w:tc>
          <w:tcPr>
            <w:tcW w:w="1672" w:type="dxa"/>
            <w:shd w:val="clear" w:color="auto" w:fill="auto"/>
            <w:vAlign w:val="bottom"/>
            <w:hideMark/>
          </w:tcPr>
          <w:p w:rsidR="006B6D02" w:rsidRPr="0000516D" w:rsidRDefault="002E7077" w:rsidP="00594FD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-0,2</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ind w:firstLineChars="100" w:firstLine="240"/>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номінальний, у млрд грн</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4 456</w:t>
            </w:r>
            <w:r>
              <w:rPr>
                <w:rFonts w:ascii="Times New Roman" w:eastAsia="Times New Roman" w:hAnsi="Times New Roman" w:cs="Times New Roman"/>
                <w:color w:val="000000"/>
                <w:sz w:val="24"/>
                <w:szCs w:val="24"/>
                <w:lang w:eastAsia="uk-UA"/>
              </w:rPr>
              <w:t>,</w:t>
            </w:r>
            <w:r w:rsidRPr="0000516D">
              <w:rPr>
                <w:rFonts w:ascii="Times New Roman" w:eastAsia="Times New Roman" w:hAnsi="Times New Roman" w:cs="Times New Roman"/>
                <w:color w:val="000000"/>
                <w:sz w:val="24"/>
                <w:szCs w:val="24"/>
                <w:lang w:eastAsia="uk-UA"/>
              </w:rPr>
              <w:t>6</w:t>
            </w:r>
          </w:p>
        </w:tc>
      </w:tr>
      <w:tr w:rsidR="006B6D02" w:rsidRPr="002E7077" w:rsidTr="00541C7D">
        <w:trPr>
          <w:trHeight w:val="568"/>
        </w:trPr>
        <w:tc>
          <w:tcPr>
            <w:tcW w:w="7967" w:type="dxa"/>
            <w:shd w:val="clear" w:color="auto" w:fill="auto"/>
            <w:vAlign w:val="center"/>
            <w:hideMark/>
          </w:tcPr>
          <w:p w:rsidR="006B6D02" w:rsidRPr="00594FDE" w:rsidRDefault="006B6D02" w:rsidP="00594FDE">
            <w:pPr>
              <w:spacing w:after="0" w:line="240" w:lineRule="auto"/>
              <w:ind w:left="601"/>
              <w:rPr>
                <w:rFonts w:ascii="Times New Roman" w:eastAsia="Times New Roman" w:hAnsi="Times New Roman" w:cs="Times New Roman"/>
                <w:i/>
                <w:color w:val="000000"/>
                <w:sz w:val="24"/>
                <w:szCs w:val="24"/>
                <w:lang w:eastAsia="uk-UA"/>
              </w:rPr>
            </w:pPr>
            <w:r w:rsidRPr="00594FDE">
              <w:rPr>
                <w:rFonts w:ascii="Times New Roman" w:eastAsia="Times New Roman" w:hAnsi="Times New Roman" w:cs="Times New Roman"/>
                <w:i/>
                <w:color w:val="000000"/>
                <w:sz w:val="24"/>
                <w:szCs w:val="24"/>
                <w:lang w:eastAsia="uk-UA"/>
              </w:rPr>
              <w:t>у т. ч.:</w:t>
            </w:r>
            <w:r w:rsidRPr="00594FDE">
              <w:rPr>
                <w:rFonts w:ascii="Times New Roman" w:eastAsia="Times New Roman" w:hAnsi="Times New Roman" w:cs="Times New Roman"/>
                <w:i/>
                <w:color w:val="000000"/>
                <w:sz w:val="24"/>
                <w:szCs w:val="24"/>
                <w:lang w:eastAsia="uk-UA"/>
              </w:rPr>
              <w:br/>
              <w:t>кінцеві споживчі витрати, у млрд грн</w:t>
            </w:r>
          </w:p>
        </w:tc>
        <w:tc>
          <w:tcPr>
            <w:tcW w:w="1672" w:type="dxa"/>
            <w:shd w:val="clear" w:color="auto" w:fill="auto"/>
            <w:vAlign w:val="bottom"/>
            <w:hideMark/>
          </w:tcPr>
          <w:p w:rsidR="006B6D02" w:rsidRPr="00594FDE" w:rsidRDefault="006B6D02" w:rsidP="00594FDE">
            <w:pPr>
              <w:spacing w:after="0" w:line="240" w:lineRule="auto"/>
              <w:jc w:val="center"/>
              <w:rPr>
                <w:rFonts w:ascii="Times New Roman" w:eastAsia="Times New Roman" w:hAnsi="Times New Roman" w:cs="Times New Roman"/>
                <w:i/>
                <w:color w:val="000000"/>
                <w:sz w:val="24"/>
                <w:szCs w:val="24"/>
                <w:lang w:eastAsia="uk-UA"/>
              </w:rPr>
            </w:pPr>
            <w:r w:rsidRPr="00594FDE">
              <w:rPr>
                <w:rFonts w:ascii="Times New Roman" w:eastAsia="Times New Roman" w:hAnsi="Times New Roman" w:cs="Times New Roman"/>
                <w:i/>
                <w:color w:val="000000"/>
                <w:sz w:val="24"/>
                <w:szCs w:val="24"/>
                <w:lang w:eastAsia="uk-UA"/>
              </w:rPr>
              <w:t>4</w:t>
            </w:r>
            <w:r w:rsidR="002E7077" w:rsidRPr="00594FDE">
              <w:rPr>
                <w:rFonts w:ascii="Times New Roman" w:eastAsia="Times New Roman" w:hAnsi="Times New Roman" w:cs="Times New Roman"/>
                <w:i/>
                <w:color w:val="000000"/>
                <w:sz w:val="24"/>
                <w:szCs w:val="24"/>
                <w:lang w:eastAsia="uk-UA"/>
              </w:rPr>
              <w:t> </w:t>
            </w:r>
            <w:r w:rsidRPr="00594FDE">
              <w:rPr>
                <w:rFonts w:ascii="Times New Roman" w:eastAsia="Times New Roman" w:hAnsi="Times New Roman" w:cs="Times New Roman"/>
                <w:i/>
                <w:color w:val="000000"/>
                <w:sz w:val="24"/>
                <w:szCs w:val="24"/>
                <w:lang w:eastAsia="uk-UA"/>
              </w:rPr>
              <w:t>070,7</w:t>
            </w:r>
          </w:p>
        </w:tc>
      </w:tr>
      <w:tr w:rsidR="006B6D02" w:rsidRPr="002E7077" w:rsidTr="00541C7D">
        <w:trPr>
          <w:trHeight w:val="720"/>
        </w:trPr>
        <w:tc>
          <w:tcPr>
            <w:tcW w:w="7967" w:type="dxa"/>
            <w:shd w:val="clear" w:color="auto" w:fill="auto"/>
            <w:vAlign w:val="center"/>
            <w:hideMark/>
          </w:tcPr>
          <w:p w:rsidR="006B6D02" w:rsidRPr="00594FDE" w:rsidRDefault="006B6D02" w:rsidP="00594FDE">
            <w:pPr>
              <w:spacing w:after="0" w:line="240" w:lineRule="auto"/>
              <w:ind w:left="601" w:hanging="1"/>
              <w:rPr>
                <w:rFonts w:ascii="Times New Roman" w:eastAsia="Times New Roman" w:hAnsi="Times New Roman" w:cs="Times New Roman"/>
                <w:i/>
                <w:color w:val="000000"/>
                <w:sz w:val="24"/>
                <w:szCs w:val="24"/>
                <w:lang w:eastAsia="uk-UA"/>
              </w:rPr>
            </w:pPr>
            <w:r w:rsidRPr="00594FDE">
              <w:rPr>
                <w:rFonts w:ascii="Times New Roman" w:eastAsia="Times New Roman" w:hAnsi="Times New Roman" w:cs="Times New Roman"/>
                <w:i/>
                <w:color w:val="000000"/>
                <w:sz w:val="24"/>
                <w:szCs w:val="24"/>
                <w:lang w:eastAsia="uk-UA"/>
              </w:rPr>
              <w:t>у т. ч.:</w:t>
            </w:r>
            <w:r w:rsidRPr="00594FDE">
              <w:rPr>
                <w:rFonts w:ascii="Times New Roman" w:eastAsia="Times New Roman" w:hAnsi="Times New Roman" w:cs="Times New Roman"/>
                <w:i/>
                <w:color w:val="000000"/>
                <w:sz w:val="24"/>
                <w:szCs w:val="24"/>
                <w:lang w:eastAsia="uk-UA"/>
              </w:rPr>
              <w:br/>
              <w:t>домашніх господарств, у млрд грн</w:t>
            </w:r>
          </w:p>
        </w:tc>
        <w:tc>
          <w:tcPr>
            <w:tcW w:w="1672" w:type="dxa"/>
            <w:shd w:val="clear" w:color="auto" w:fill="auto"/>
            <w:vAlign w:val="bottom"/>
            <w:hideMark/>
          </w:tcPr>
          <w:p w:rsidR="006B6D02" w:rsidRPr="00594FDE" w:rsidRDefault="006B6D02" w:rsidP="00594FDE">
            <w:pPr>
              <w:spacing w:after="0" w:line="240" w:lineRule="auto"/>
              <w:jc w:val="center"/>
              <w:rPr>
                <w:rFonts w:ascii="Times New Roman" w:eastAsia="Times New Roman" w:hAnsi="Times New Roman" w:cs="Times New Roman"/>
                <w:i/>
                <w:color w:val="000000"/>
                <w:sz w:val="24"/>
                <w:szCs w:val="24"/>
                <w:lang w:eastAsia="uk-UA"/>
              </w:rPr>
            </w:pPr>
            <w:r w:rsidRPr="00594FDE">
              <w:rPr>
                <w:rFonts w:ascii="Times New Roman" w:eastAsia="Times New Roman" w:hAnsi="Times New Roman" w:cs="Times New Roman"/>
                <w:i/>
                <w:color w:val="000000"/>
                <w:sz w:val="24"/>
                <w:szCs w:val="24"/>
                <w:lang w:eastAsia="uk-UA"/>
              </w:rPr>
              <w:t>3</w:t>
            </w:r>
            <w:r w:rsidR="002E7077" w:rsidRPr="00594FDE">
              <w:rPr>
                <w:rFonts w:ascii="Times New Roman" w:eastAsia="Times New Roman" w:hAnsi="Times New Roman" w:cs="Times New Roman"/>
                <w:i/>
                <w:color w:val="000000"/>
                <w:sz w:val="24"/>
                <w:szCs w:val="24"/>
                <w:lang w:eastAsia="uk-UA"/>
              </w:rPr>
              <w:t> </w:t>
            </w:r>
            <w:r w:rsidRPr="00594FDE">
              <w:rPr>
                <w:rFonts w:ascii="Times New Roman" w:eastAsia="Times New Roman" w:hAnsi="Times New Roman" w:cs="Times New Roman"/>
                <w:i/>
                <w:color w:val="000000"/>
                <w:sz w:val="24"/>
                <w:szCs w:val="24"/>
                <w:lang w:eastAsia="uk-UA"/>
              </w:rPr>
              <w:t>142,0</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Індекс споживчих цін, %</w:t>
            </w:r>
            <w:r w:rsidR="002E7077">
              <w:rPr>
                <w:rFonts w:ascii="Times New Roman" w:eastAsia="Times New Roman" w:hAnsi="Times New Roman" w:cs="Times New Roman"/>
                <w:color w:val="000000"/>
                <w:sz w:val="24"/>
                <w:szCs w:val="24"/>
                <w:lang w:eastAsia="uk-UA"/>
              </w:rPr>
              <w:t xml:space="preserve"> </w:t>
            </w:r>
            <w:r w:rsidR="002E7077" w:rsidRPr="0000516D">
              <w:rPr>
                <w:rFonts w:ascii="Times New Roman" w:eastAsia="Times New Roman" w:hAnsi="Times New Roman" w:cs="Times New Roman"/>
                <w:color w:val="000000"/>
                <w:sz w:val="24"/>
                <w:szCs w:val="24"/>
                <w:lang w:eastAsia="uk-UA"/>
              </w:rPr>
              <w:t>(грудень до грудня попереднього року)</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w:t>
            </w:r>
            <w:r w:rsidRPr="0000516D">
              <w:rPr>
                <w:rFonts w:ascii="Times New Roman" w:eastAsia="Times New Roman" w:hAnsi="Times New Roman" w:cs="Times New Roman"/>
                <w:color w:val="000000"/>
                <w:sz w:val="24"/>
                <w:szCs w:val="24"/>
                <w:lang w:eastAsia="uk-UA"/>
              </w:rPr>
              <w:t>7</w:t>
            </w:r>
          </w:p>
        </w:tc>
      </w:tr>
      <w:tr w:rsidR="006B6D02" w:rsidRPr="0000516D" w:rsidTr="00541C7D">
        <w:trPr>
          <w:trHeight w:val="72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Індекс цін виробників промислової продукції, %</w:t>
            </w:r>
            <w:r w:rsidR="002E7077">
              <w:rPr>
                <w:rFonts w:ascii="Times New Roman" w:eastAsia="Times New Roman" w:hAnsi="Times New Roman" w:cs="Times New Roman"/>
                <w:color w:val="000000"/>
                <w:sz w:val="24"/>
                <w:szCs w:val="24"/>
                <w:lang w:eastAsia="uk-UA"/>
              </w:rPr>
              <w:t xml:space="preserve"> </w:t>
            </w:r>
            <w:r w:rsidR="002E7077" w:rsidRPr="0000516D">
              <w:rPr>
                <w:rFonts w:ascii="Times New Roman" w:eastAsia="Times New Roman" w:hAnsi="Times New Roman" w:cs="Times New Roman"/>
                <w:color w:val="000000"/>
                <w:sz w:val="24"/>
                <w:szCs w:val="24"/>
                <w:lang w:eastAsia="uk-UA"/>
              </w:rPr>
              <w:t>(грудень до грудня попереднього року)</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14</w:t>
            </w:r>
            <w:r>
              <w:rPr>
                <w:rFonts w:ascii="Times New Roman" w:eastAsia="Times New Roman" w:hAnsi="Times New Roman" w:cs="Times New Roman"/>
                <w:color w:val="000000"/>
                <w:sz w:val="24"/>
                <w:szCs w:val="24"/>
                <w:lang w:eastAsia="uk-UA"/>
              </w:rPr>
              <w:t>,</w:t>
            </w:r>
            <w:r w:rsidRPr="0000516D">
              <w:rPr>
                <w:rFonts w:ascii="Times New Roman" w:eastAsia="Times New Roman" w:hAnsi="Times New Roman" w:cs="Times New Roman"/>
                <w:color w:val="000000"/>
                <w:sz w:val="24"/>
                <w:szCs w:val="24"/>
                <w:lang w:eastAsia="uk-UA"/>
              </w:rPr>
              <w:t>1</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Прибуток прибуткових підприємств, млрд грн</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892</w:t>
            </w:r>
            <w:r>
              <w:rPr>
                <w:rFonts w:ascii="Times New Roman" w:eastAsia="Times New Roman" w:hAnsi="Times New Roman" w:cs="Times New Roman"/>
                <w:color w:val="000000"/>
                <w:sz w:val="24"/>
                <w:szCs w:val="24"/>
                <w:lang w:eastAsia="uk-UA"/>
              </w:rPr>
              <w:t>,</w:t>
            </w:r>
            <w:r w:rsidRPr="0000516D">
              <w:rPr>
                <w:rFonts w:ascii="Times New Roman" w:eastAsia="Times New Roman" w:hAnsi="Times New Roman" w:cs="Times New Roman"/>
                <w:color w:val="000000"/>
                <w:sz w:val="24"/>
                <w:szCs w:val="24"/>
                <w:lang w:eastAsia="uk-UA"/>
              </w:rPr>
              <w:t>7</w:t>
            </w:r>
          </w:p>
        </w:tc>
      </w:tr>
      <w:tr w:rsidR="006B6D02" w:rsidRPr="0000516D" w:rsidTr="00541C7D">
        <w:trPr>
          <w:trHeight w:val="72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Фонд оплати праці найманих працівників і грошового забезпечення військовослужбовців, млрд. грн</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1</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317</w:t>
            </w:r>
            <w:r>
              <w:rPr>
                <w:rFonts w:ascii="Times New Roman" w:eastAsia="Times New Roman" w:hAnsi="Times New Roman" w:cs="Times New Roman"/>
                <w:color w:val="000000"/>
                <w:sz w:val="24"/>
                <w:szCs w:val="24"/>
                <w:lang w:eastAsia="uk-UA"/>
              </w:rPr>
              <w:t>,</w:t>
            </w:r>
            <w:r w:rsidRPr="0000516D">
              <w:rPr>
                <w:rFonts w:ascii="Times New Roman" w:eastAsia="Times New Roman" w:hAnsi="Times New Roman" w:cs="Times New Roman"/>
                <w:color w:val="000000"/>
                <w:sz w:val="24"/>
                <w:szCs w:val="24"/>
                <w:lang w:eastAsia="uk-UA"/>
              </w:rPr>
              <w:t>5</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Середньомісячна заробітна плата працівників, брутто, номінальна, грн</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11</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759</w:t>
            </w:r>
          </w:p>
        </w:tc>
      </w:tr>
      <w:tr w:rsidR="006B6D02" w:rsidRPr="0000516D" w:rsidTr="00541C7D">
        <w:trPr>
          <w:trHeight w:val="72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Сальдо торговельного балансу, визначене за методологією платіжного балансу, у млн дол. США</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-13</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250</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Експорт товарів і послуг, у млн дол. США</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60</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671</w:t>
            </w:r>
          </w:p>
        </w:tc>
      </w:tr>
      <w:tr w:rsidR="006B6D02" w:rsidRPr="0000516D" w:rsidTr="00594FDE">
        <w:trPr>
          <w:trHeight w:val="321"/>
        </w:trPr>
        <w:tc>
          <w:tcPr>
            <w:tcW w:w="7967" w:type="dxa"/>
            <w:shd w:val="clear" w:color="auto" w:fill="auto"/>
            <w:vAlign w:val="center"/>
            <w:hideMark/>
          </w:tcPr>
          <w:p w:rsidR="006B6D02" w:rsidRPr="0000516D" w:rsidRDefault="006B6D02" w:rsidP="00C979AC">
            <w:pPr>
              <w:spacing w:after="0" w:line="240" w:lineRule="auto"/>
              <w:ind w:firstLineChars="200" w:firstLine="480"/>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у т. ч.:</w:t>
            </w:r>
            <w:r w:rsidRPr="0000516D">
              <w:rPr>
                <w:rFonts w:ascii="Times New Roman" w:eastAsia="Times New Roman" w:hAnsi="Times New Roman" w:cs="Times New Roman"/>
                <w:color w:val="000000"/>
                <w:sz w:val="24"/>
                <w:szCs w:val="24"/>
                <w:lang w:eastAsia="uk-UA"/>
              </w:rPr>
              <w:br/>
              <w:t>експорт товарів, у млн дол. США</w:t>
            </w:r>
            <w:r w:rsidRPr="0000516D">
              <w:rPr>
                <w:rFonts w:ascii="Times New Roman" w:eastAsia="Times New Roman" w:hAnsi="Times New Roman" w:cs="Times New Roman"/>
                <w:color w:val="000000"/>
                <w:sz w:val="24"/>
                <w:szCs w:val="24"/>
                <w:lang w:eastAsia="uk-UA"/>
              </w:rPr>
              <w:br/>
              <w:t>експорт послуг, у млн дол. США</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44</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825</w:t>
            </w:r>
            <w:r w:rsidRPr="0000516D">
              <w:rPr>
                <w:rFonts w:ascii="Times New Roman" w:eastAsia="Times New Roman" w:hAnsi="Times New Roman" w:cs="Times New Roman"/>
                <w:color w:val="000000"/>
                <w:sz w:val="24"/>
                <w:szCs w:val="24"/>
                <w:lang w:eastAsia="uk-UA"/>
              </w:rPr>
              <w:br/>
              <w:t>15</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846</w:t>
            </w:r>
          </w:p>
        </w:tc>
      </w:tr>
      <w:tr w:rsidR="006B6D02" w:rsidRPr="0000516D" w:rsidTr="00541C7D">
        <w:trPr>
          <w:trHeight w:val="360"/>
        </w:trPr>
        <w:tc>
          <w:tcPr>
            <w:tcW w:w="7967" w:type="dxa"/>
            <w:shd w:val="clear" w:color="auto" w:fill="auto"/>
            <w:vAlign w:val="center"/>
            <w:hideMark/>
          </w:tcPr>
          <w:p w:rsidR="006B6D02" w:rsidRPr="0000516D" w:rsidRDefault="006B6D02" w:rsidP="00C979AC">
            <w:pPr>
              <w:spacing w:after="0" w:line="240" w:lineRule="auto"/>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Імпорт товарів і послуг, у млн дол. США</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73</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921</w:t>
            </w:r>
          </w:p>
        </w:tc>
      </w:tr>
      <w:tr w:rsidR="006B6D02" w:rsidRPr="0000516D" w:rsidTr="00594FDE">
        <w:trPr>
          <w:trHeight w:val="58"/>
        </w:trPr>
        <w:tc>
          <w:tcPr>
            <w:tcW w:w="7967" w:type="dxa"/>
            <w:shd w:val="clear" w:color="auto" w:fill="auto"/>
            <w:vAlign w:val="center"/>
            <w:hideMark/>
          </w:tcPr>
          <w:p w:rsidR="006B6D02" w:rsidRPr="0000516D" w:rsidRDefault="006B6D02" w:rsidP="00C979AC">
            <w:pPr>
              <w:spacing w:after="0" w:line="240" w:lineRule="auto"/>
              <w:ind w:firstLineChars="200" w:firstLine="480"/>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у т. ч.:</w:t>
            </w:r>
            <w:r w:rsidRPr="0000516D">
              <w:rPr>
                <w:rFonts w:ascii="Times New Roman" w:eastAsia="Times New Roman" w:hAnsi="Times New Roman" w:cs="Times New Roman"/>
                <w:color w:val="000000"/>
                <w:sz w:val="24"/>
                <w:szCs w:val="24"/>
                <w:lang w:eastAsia="uk-UA"/>
              </w:rPr>
              <w:br/>
              <w:t>імпорт товарів, у млн дол. США</w:t>
            </w:r>
            <w:r w:rsidRPr="0000516D">
              <w:rPr>
                <w:rFonts w:ascii="Times New Roman" w:eastAsia="Times New Roman" w:hAnsi="Times New Roman" w:cs="Times New Roman"/>
                <w:color w:val="000000"/>
                <w:sz w:val="24"/>
                <w:szCs w:val="24"/>
                <w:lang w:eastAsia="uk-UA"/>
              </w:rPr>
              <w:br/>
              <w:t>імпорт послуг, у млн дол. США</w:t>
            </w:r>
          </w:p>
        </w:tc>
        <w:tc>
          <w:tcPr>
            <w:tcW w:w="1672" w:type="dxa"/>
            <w:shd w:val="clear" w:color="auto" w:fill="auto"/>
            <w:vAlign w:val="bottom"/>
            <w:hideMark/>
          </w:tcPr>
          <w:p w:rsidR="006B6D02" w:rsidRPr="0000516D" w:rsidRDefault="006B6D02" w:rsidP="00594FDE">
            <w:pPr>
              <w:spacing w:after="0" w:line="240" w:lineRule="auto"/>
              <w:jc w:val="center"/>
              <w:rPr>
                <w:rFonts w:ascii="Times New Roman" w:eastAsia="Times New Roman" w:hAnsi="Times New Roman" w:cs="Times New Roman"/>
                <w:color w:val="000000"/>
                <w:sz w:val="24"/>
                <w:szCs w:val="24"/>
                <w:lang w:eastAsia="uk-UA"/>
              </w:rPr>
            </w:pPr>
            <w:r w:rsidRPr="0000516D">
              <w:rPr>
                <w:rFonts w:ascii="Times New Roman" w:eastAsia="Times New Roman" w:hAnsi="Times New Roman" w:cs="Times New Roman"/>
                <w:color w:val="000000"/>
                <w:sz w:val="24"/>
                <w:szCs w:val="24"/>
                <w:lang w:eastAsia="uk-UA"/>
              </w:rPr>
              <w:t>59</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105</w:t>
            </w:r>
            <w:r w:rsidRPr="0000516D">
              <w:rPr>
                <w:rFonts w:ascii="Times New Roman" w:eastAsia="Times New Roman" w:hAnsi="Times New Roman" w:cs="Times New Roman"/>
                <w:color w:val="000000"/>
                <w:sz w:val="24"/>
                <w:szCs w:val="24"/>
                <w:lang w:eastAsia="uk-UA"/>
              </w:rPr>
              <w:br/>
              <w:t>14</w:t>
            </w:r>
            <w:r w:rsidR="002E7077">
              <w:rPr>
                <w:rFonts w:ascii="Times New Roman" w:eastAsia="Times New Roman" w:hAnsi="Times New Roman" w:cs="Times New Roman"/>
                <w:color w:val="000000"/>
                <w:sz w:val="24"/>
                <w:szCs w:val="24"/>
                <w:lang w:eastAsia="uk-UA"/>
              </w:rPr>
              <w:t> </w:t>
            </w:r>
            <w:r w:rsidRPr="0000516D">
              <w:rPr>
                <w:rFonts w:ascii="Times New Roman" w:eastAsia="Times New Roman" w:hAnsi="Times New Roman" w:cs="Times New Roman"/>
                <w:color w:val="000000"/>
                <w:sz w:val="24"/>
                <w:szCs w:val="24"/>
                <w:lang w:eastAsia="uk-UA"/>
              </w:rPr>
              <w:t>816</w:t>
            </w:r>
          </w:p>
        </w:tc>
      </w:tr>
    </w:tbl>
    <w:p w:rsidR="006B6D02" w:rsidRPr="00275945" w:rsidRDefault="006B6D02" w:rsidP="006B6D02">
      <w:pPr>
        <w:pStyle w:val="af1"/>
        <w:spacing w:line="316" w:lineRule="auto"/>
        <w:jc w:val="both"/>
        <w:rPr>
          <w:rFonts w:ascii="Times New Roman" w:eastAsia="Times New Roman" w:hAnsi="Times New Roman" w:cs="Times New Roman"/>
          <w:i/>
          <w:sz w:val="24"/>
          <w:szCs w:val="24"/>
          <w:lang w:val="uk-UA" w:eastAsia="ru-RU" w:bidi="ar-SA"/>
        </w:rPr>
      </w:pPr>
      <w:r w:rsidRPr="00275945">
        <w:rPr>
          <w:rFonts w:ascii="Times New Roman" w:eastAsia="Times New Roman" w:hAnsi="Times New Roman" w:cs="Times New Roman"/>
          <w:i/>
          <w:sz w:val="24"/>
          <w:szCs w:val="24"/>
          <w:lang w:val="uk-UA" w:eastAsia="ru-RU" w:bidi="ar-SA"/>
        </w:rPr>
        <w:t xml:space="preserve">Джерело: </w:t>
      </w:r>
      <w:r w:rsidR="00330DF4" w:rsidRPr="00275945">
        <w:rPr>
          <w:rFonts w:ascii="Times New Roman" w:eastAsia="Times New Roman" w:hAnsi="Times New Roman" w:cs="Times New Roman"/>
          <w:i/>
          <w:sz w:val="24"/>
          <w:szCs w:val="24"/>
          <w:lang w:val="uk-UA" w:eastAsia="ru-RU" w:bidi="ar-SA"/>
        </w:rPr>
        <w:t>Мінеконом</w:t>
      </w:r>
      <w:r w:rsidR="00330DF4">
        <w:rPr>
          <w:rFonts w:ascii="Times New Roman" w:eastAsia="Times New Roman" w:hAnsi="Times New Roman" w:cs="Times New Roman"/>
          <w:i/>
          <w:sz w:val="24"/>
          <w:szCs w:val="24"/>
          <w:lang w:val="uk-UA" w:eastAsia="ru-RU" w:bidi="ar-SA"/>
        </w:rPr>
        <w:t>іки</w:t>
      </w:r>
      <w:r w:rsidR="00330DF4" w:rsidRPr="00275945">
        <w:rPr>
          <w:rFonts w:ascii="Times New Roman" w:eastAsia="Times New Roman" w:hAnsi="Times New Roman" w:cs="Times New Roman"/>
          <w:i/>
          <w:sz w:val="24"/>
          <w:szCs w:val="24"/>
          <w:lang w:val="uk-UA" w:eastAsia="ru-RU" w:bidi="ar-SA"/>
        </w:rPr>
        <w:t xml:space="preserve"> </w:t>
      </w:r>
    </w:p>
    <w:p w:rsidR="00257670" w:rsidRDefault="00257670" w:rsidP="00541C7D">
      <w:pPr>
        <w:pStyle w:val="a4"/>
        <w:widowControl w:val="0"/>
        <w:autoSpaceDE w:val="0"/>
        <w:autoSpaceDN w:val="0"/>
        <w:spacing w:before="120" w:after="0" w:line="240" w:lineRule="auto"/>
        <w:ind w:left="0" w:firstLine="567"/>
        <w:contextualSpacing w:val="0"/>
        <w:jc w:val="both"/>
        <w:rPr>
          <w:rFonts w:ascii="Times New Roman" w:hAnsi="Times New Roman" w:cs="Times New Roman"/>
          <w:sz w:val="24"/>
          <w:szCs w:val="24"/>
        </w:rPr>
      </w:pPr>
      <w:r w:rsidRPr="00C03E61">
        <w:rPr>
          <w:rFonts w:ascii="Times New Roman" w:hAnsi="Times New Roman" w:cs="Times New Roman"/>
          <w:sz w:val="24"/>
          <w:szCs w:val="24"/>
        </w:rPr>
        <w:t xml:space="preserve">Альтернативний сценарій передбачає менші темпи зростання як середньомісячної заробітної плати працівників, так і прибутків підприємств порівняно з базовим сценарієм. </w:t>
      </w:r>
      <w:r>
        <w:rPr>
          <w:rFonts w:ascii="Times New Roman" w:hAnsi="Times New Roman" w:cs="Times New Roman"/>
          <w:sz w:val="24"/>
          <w:szCs w:val="24"/>
        </w:rPr>
        <w:t>Також відрізняються показники зовнішнього сектору.</w:t>
      </w:r>
    </w:p>
    <w:p w:rsidR="004C66BC" w:rsidRPr="00C03E61" w:rsidRDefault="008111BF" w:rsidP="00594FDE">
      <w:pPr>
        <w:pStyle w:val="a4"/>
        <w:widowControl w:val="0"/>
        <w:autoSpaceDE w:val="0"/>
        <w:autoSpaceDN w:val="0"/>
        <w:spacing w:before="120" w:after="0" w:line="240" w:lineRule="auto"/>
        <w:ind w:left="0" w:firstLine="567"/>
        <w:contextualSpacing w:val="0"/>
        <w:jc w:val="both"/>
        <w:rPr>
          <w:rFonts w:ascii="Times New Roman" w:hAnsi="Times New Roman" w:cs="Times New Roman"/>
          <w:sz w:val="24"/>
          <w:szCs w:val="24"/>
          <w:lang w:val="ru-RU"/>
        </w:rPr>
      </w:pPr>
      <w:r w:rsidRPr="00C03E61">
        <w:rPr>
          <w:rFonts w:ascii="Times New Roman" w:hAnsi="Times New Roman" w:cs="Times New Roman"/>
          <w:sz w:val="24"/>
          <w:szCs w:val="24"/>
        </w:rPr>
        <w:t>У разі</w:t>
      </w:r>
      <w:r w:rsidR="00742B05" w:rsidRPr="00C03E61">
        <w:rPr>
          <w:rFonts w:ascii="Times New Roman" w:hAnsi="Times New Roman" w:cs="Times New Roman"/>
          <w:sz w:val="24"/>
          <w:szCs w:val="24"/>
        </w:rPr>
        <w:t xml:space="preserve"> реалізації альтернативного сценарію прогнозу економічного і соціального розвитку України</w:t>
      </w:r>
      <w:r w:rsidR="00D9042C">
        <w:rPr>
          <w:rFonts w:ascii="Times New Roman" w:hAnsi="Times New Roman" w:cs="Times New Roman"/>
          <w:sz w:val="24"/>
          <w:szCs w:val="24"/>
        </w:rPr>
        <w:t>,</w:t>
      </w:r>
      <w:r w:rsidR="00742B05" w:rsidRPr="00C03E61">
        <w:rPr>
          <w:rFonts w:ascii="Times New Roman" w:hAnsi="Times New Roman" w:cs="Times New Roman"/>
          <w:sz w:val="24"/>
          <w:szCs w:val="24"/>
        </w:rPr>
        <w:t xml:space="preserve"> прогнозні доходи зведеного бюджету у 2020 році будуть меншими</w:t>
      </w:r>
      <w:r w:rsidR="00257670">
        <w:rPr>
          <w:rFonts w:ascii="Times New Roman" w:hAnsi="Times New Roman" w:cs="Times New Roman"/>
          <w:sz w:val="24"/>
          <w:szCs w:val="24"/>
        </w:rPr>
        <w:t xml:space="preserve"> порівняно з базовим сценарієм</w:t>
      </w:r>
      <w:r w:rsidR="00742B05" w:rsidRPr="00C03E61">
        <w:rPr>
          <w:rFonts w:ascii="Times New Roman" w:hAnsi="Times New Roman" w:cs="Times New Roman"/>
          <w:sz w:val="24"/>
          <w:szCs w:val="24"/>
        </w:rPr>
        <w:t xml:space="preserve"> на 32,3</w:t>
      </w:r>
      <w:r w:rsidR="00257670">
        <w:rPr>
          <w:rFonts w:ascii="Times New Roman" w:hAnsi="Times New Roman" w:cs="Times New Roman"/>
          <w:sz w:val="24"/>
          <w:szCs w:val="24"/>
        </w:rPr>
        <w:t> </w:t>
      </w:r>
      <w:r w:rsidR="00742B05" w:rsidRPr="00C03E61">
        <w:rPr>
          <w:rFonts w:ascii="Times New Roman" w:hAnsi="Times New Roman" w:cs="Times New Roman"/>
          <w:sz w:val="24"/>
          <w:szCs w:val="24"/>
        </w:rPr>
        <w:t>млрд</w:t>
      </w:r>
      <w:r w:rsidR="00257670">
        <w:rPr>
          <w:rFonts w:ascii="Times New Roman" w:hAnsi="Times New Roman" w:cs="Times New Roman"/>
          <w:sz w:val="24"/>
          <w:szCs w:val="24"/>
        </w:rPr>
        <w:t> </w:t>
      </w:r>
      <w:r w:rsidR="00742B05" w:rsidRPr="00C03E61">
        <w:rPr>
          <w:rFonts w:ascii="Times New Roman" w:hAnsi="Times New Roman" w:cs="Times New Roman"/>
          <w:sz w:val="24"/>
          <w:szCs w:val="24"/>
        </w:rPr>
        <w:t>грн, в т</w:t>
      </w:r>
      <w:r w:rsidR="004F3C6B" w:rsidRPr="00C03E61">
        <w:rPr>
          <w:rFonts w:ascii="Times New Roman" w:hAnsi="Times New Roman" w:cs="Times New Roman"/>
          <w:sz w:val="24"/>
          <w:szCs w:val="24"/>
        </w:rPr>
        <w:t xml:space="preserve">ому </w:t>
      </w:r>
      <w:r w:rsidR="00742B05" w:rsidRPr="00C03E61">
        <w:rPr>
          <w:rFonts w:ascii="Times New Roman" w:hAnsi="Times New Roman" w:cs="Times New Roman"/>
          <w:sz w:val="24"/>
          <w:szCs w:val="24"/>
        </w:rPr>
        <w:t>ч</w:t>
      </w:r>
      <w:r w:rsidR="004F3C6B" w:rsidRPr="00C03E61">
        <w:rPr>
          <w:rFonts w:ascii="Times New Roman" w:hAnsi="Times New Roman" w:cs="Times New Roman"/>
          <w:sz w:val="24"/>
          <w:szCs w:val="24"/>
        </w:rPr>
        <w:t>ислі</w:t>
      </w:r>
      <w:r w:rsidR="00742B05" w:rsidRPr="00C03E61">
        <w:rPr>
          <w:rFonts w:ascii="Times New Roman" w:hAnsi="Times New Roman" w:cs="Times New Roman"/>
          <w:sz w:val="24"/>
          <w:szCs w:val="24"/>
        </w:rPr>
        <w:t xml:space="preserve"> по державному бюджету на 27</w:t>
      </w:r>
      <w:r w:rsidR="00257670">
        <w:rPr>
          <w:rFonts w:ascii="Times New Roman" w:hAnsi="Times New Roman" w:cs="Times New Roman"/>
          <w:sz w:val="24"/>
          <w:szCs w:val="24"/>
        </w:rPr>
        <w:t> </w:t>
      </w:r>
      <w:r w:rsidR="00742B05" w:rsidRPr="00C03E61">
        <w:rPr>
          <w:rFonts w:ascii="Times New Roman" w:hAnsi="Times New Roman" w:cs="Times New Roman"/>
          <w:sz w:val="24"/>
          <w:szCs w:val="24"/>
        </w:rPr>
        <w:t>млрд</w:t>
      </w:r>
      <w:r w:rsidR="00257670">
        <w:rPr>
          <w:rFonts w:ascii="Times New Roman" w:hAnsi="Times New Roman" w:cs="Times New Roman"/>
          <w:sz w:val="24"/>
          <w:szCs w:val="24"/>
        </w:rPr>
        <w:t> грн</w:t>
      </w:r>
      <w:r w:rsidR="00742B05" w:rsidRPr="00C03E61">
        <w:rPr>
          <w:rFonts w:ascii="Times New Roman" w:hAnsi="Times New Roman" w:cs="Times New Roman"/>
          <w:sz w:val="24"/>
          <w:szCs w:val="24"/>
        </w:rPr>
        <w:t xml:space="preserve">. Внаслідок негативного розвитку економіки уповільняться темпи росту доходів населення та відповідно споживання, </w:t>
      </w:r>
      <w:r w:rsidR="00257670">
        <w:rPr>
          <w:rFonts w:ascii="Times New Roman" w:hAnsi="Times New Roman" w:cs="Times New Roman"/>
          <w:sz w:val="24"/>
          <w:szCs w:val="24"/>
        </w:rPr>
        <w:t>що негативно вплине на надходження від ПДВ та</w:t>
      </w:r>
      <w:r w:rsidR="00742B05" w:rsidRPr="00C03E61">
        <w:rPr>
          <w:rFonts w:ascii="Times New Roman" w:hAnsi="Times New Roman" w:cs="Times New Roman"/>
          <w:sz w:val="24"/>
          <w:szCs w:val="24"/>
        </w:rPr>
        <w:t xml:space="preserve"> податку та збору на доходи фізичних осіб</w:t>
      </w:r>
      <w:r w:rsidR="00AE3BA3">
        <w:rPr>
          <w:rFonts w:ascii="Times New Roman" w:hAnsi="Times New Roman" w:cs="Times New Roman"/>
          <w:sz w:val="24"/>
          <w:szCs w:val="24"/>
        </w:rPr>
        <w:t xml:space="preserve"> (ПДФО)</w:t>
      </w:r>
      <w:r w:rsidR="00742B05" w:rsidRPr="00C03E61">
        <w:rPr>
          <w:rFonts w:ascii="Times New Roman" w:hAnsi="Times New Roman" w:cs="Times New Roman"/>
          <w:sz w:val="24"/>
          <w:szCs w:val="24"/>
        </w:rPr>
        <w:t xml:space="preserve">. </w:t>
      </w:r>
      <w:r w:rsidR="00257670">
        <w:rPr>
          <w:rFonts w:ascii="Times New Roman" w:hAnsi="Times New Roman" w:cs="Times New Roman"/>
          <w:sz w:val="24"/>
          <w:szCs w:val="24"/>
        </w:rPr>
        <w:t xml:space="preserve">Зокрема, за таким сценарієм </w:t>
      </w:r>
      <w:r w:rsidR="00742B05" w:rsidRPr="00C03E61">
        <w:rPr>
          <w:rFonts w:ascii="Times New Roman" w:hAnsi="Times New Roman" w:cs="Times New Roman"/>
          <w:sz w:val="24"/>
          <w:szCs w:val="24"/>
        </w:rPr>
        <w:t xml:space="preserve">у 2020 році прогнозні надходження податку та збору на доходи фізичних осіб </w:t>
      </w:r>
      <w:r w:rsidR="00257670" w:rsidRPr="00C03E61">
        <w:rPr>
          <w:rFonts w:ascii="Times New Roman" w:hAnsi="Times New Roman" w:cs="Times New Roman"/>
          <w:sz w:val="24"/>
          <w:szCs w:val="24"/>
        </w:rPr>
        <w:t xml:space="preserve">будуть менші </w:t>
      </w:r>
      <w:r w:rsidR="00742B05" w:rsidRPr="00C03E61">
        <w:rPr>
          <w:rFonts w:ascii="Times New Roman" w:hAnsi="Times New Roman" w:cs="Times New Roman"/>
          <w:sz w:val="24"/>
          <w:szCs w:val="24"/>
        </w:rPr>
        <w:t xml:space="preserve">на 7,7 млрд грн та від податку на прибуток підприємств на 3,9 млрд гривень. </w:t>
      </w:r>
    </w:p>
    <w:p w:rsidR="004C66BC" w:rsidRPr="00C03E61" w:rsidRDefault="00851CE8" w:rsidP="00742B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Очікувана </w:t>
      </w:r>
      <w:r w:rsidR="00742B05" w:rsidRPr="00C03E61">
        <w:rPr>
          <w:rFonts w:ascii="Times New Roman" w:hAnsi="Times New Roman" w:cs="Times New Roman"/>
          <w:sz w:val="24"/>
          <w:szCs w:val="24"/>
        </w:rPr>
        <w:t>девальваці</w:t>
      </w:r>
      <w:r>
        <w:rPr>
          <w:rFonts w:ascii="Times New Roman" w:hAnsi="Times New Roman" w:cs="Times New Roman"/>
          <w:sz w:val="24"/>
          <w:szCs w:val="24"/>
        </w:rPr>
        <w:t>я</w:t>
      </w:r>
      <w:r w:rsidR="00742B05" w:rsidRPr="00C03E61">
        <w:rPr>
          <w:rFonts w:ascii="Times New Roman" w:hAnsi="Times New Roman" w:cs="Times New Roman"/>
          <w:sz w:val="24"/>
          <w:szCs w:val="24"/>
        </w:rPr>
        <w:t xml:space="preserve"> курсу гривні до долара США у 2020 році до 29,1 грн/дол. США </w:t>
      </w:r>
      <w:r>
        <w:rPr>
          <w:rFonts w:ascii="Times New Roman" w:hAnsi="Times New Roman" w:cs="Times New Roman"/>
          <w:sz w:val="24"/>
          <w:szCs w:val="24"/>
        </w:rPr>
        <w:t xml:space="preserve">за альтернативним сценарієм не компенсує негативний вплив від зменшення </w:t>
      </w:r>
      <w:r w:rsidR="00742B05" w:rsidRPr="00C03E61">
        <w:rPr>
          <w:rFonts w:ascii="Times New Roman" w:hAnsi="Times New Roman" w:cs="Times New Roman"/>
          <w:sz w:val="24"/>
          <w:szCs w:val="24"/>
        </w:rPr>
        <w:t>імпорт</w:t>
      </w:r>
      <w:r>
        <w:rPr>
          <w:rFonts w:ascii="Times New Roman" w:hAnsi="Times New Roman" w:cs="Times New Roman"/>
          <w:sz w:val="24"/>
          <w:szCs w:val="24"/>
        </w:rPr>
        <w:t>у</w:t>
      </w:r>
      <w:r w:rsidR="00742B05" w:rsidRPr="00C03E61">
        <w:rPr>
          <w:rFonts w:ascii="Times New Roman" w:hAnsi="Times New Roman" w:cs="Times New Roman"/>
          <w:sz w:val="24"/>
          <w:szCs w:val="24"/>
        </w:rPr>
        <w:t xml:space="preserve"> товарів порівняно з базовим сценарієм на 7,2 млрд дол. США</w:t>
      </w:r>
      <w:r>
        <w:rPr>
          <w:rFonts w:ascii="Times New Roman" w:hAnsi="Times New Roman" w:cs="Times New Roman"/>
          <w:sz w:val="24"/>
          <w:szCs w:val="24"/>
        </w:rPr>
        <w:t>. Відповідно,</w:t>
      </w:r>
      <w:r w:rsidR="00742B05" w:rsidRPr="00C03E61">
        <w:rPr>
          <w:rFonts w:ascii="Times New Roman" w:hAnsi="Times New Roman" w:cs="Times New Roman"/>
          <w:sz w:val="24"/>
          <w:szCs w:val="24"/>
        </w:rPr>
        <w:t xml:space="preserve"> надходжен</w:t>
      </w:r>
      <w:r>
        <w:rPr>
          <w:rFonts w:ascii="Times New Roman" w:hAnsi="Times New Roman" w:cs="Times New Roman"/>
          <w:sz w:val="24"/>
          <w:szCs w:val="24"/>
        </w:rPr>
        <w:t>ня від</w:t>
      </w:r>
      <w:r w:rsidR="00742B05" w:rsidRPr="00C03E61">
        <w:rPr>
          <w:rFonts w:ascii="Times New Roman" w:hAnsi="Times New Roman" w:cs="Times New Roman"/>
          <w:sz w:val="24"/>
          <w:szCs w:val="24"/>
        </w:rPr>
        <w:t xml:space="preserve"> </w:t>
      </w:r>
      <w:r w:rsidR="005C3153">
        <w:rPr>
          <w:rFonts w:ascii="Times New Roman" w:hAnsi="Times New Roman" w:cs="Times New Roman"/>
          <w:sz w:val="24"/>
          <w:szCs w:val="24"/>
        </w:rPr>
        <w:t>ПДВ</w:t>
      </w:r>
      <w:r w:rsidR="00742B05" w:rsidRPr="00C03E61">
        <w:rPr>
          <w:rFonts w:ascii="Times New Roman" w:hAnsi="Times New Roman" w:cs="Times New Roman"/>
          <w:sz w:val="24"/>
          <w:szCs w:val="24"/>
        </w:rPr>
        <w:t xml:space="preserve"> з ввезених на територію України товарів </w:t>
      </w:r>
      <w:r>
        <w:rPr>
          <w:rFonts w:ascii="Times New Roman" w:hAnsi="Times New Roman" w:cs="Times New Roman"/>
          <w:sz w:val="24"/>
          <w:szCs w:val="24"/>
        </w:rPr>
        <w:t xml:space="preserve">будуть за альтернативним сценарієм </w:t>
      </w:r>
      <w:r w:rsidR="00742B05" w:rsidRPr="00C03E61">
        <w:rPr>
          <w:rFonts w:ascii="Times New Roman" w:hAnsi="Times New Roman" w:cs="Times New Roman"/>
          <w:sz w:val="24"/>
          <w:szCs w:val="24"/>
        </w:rPr>
        <w:t>на 28,4</w:t>
      </w:r>
      <w:r w:rsidR="005C3153">
        <w:rPr>
          <w:rFonts w:ascii="Times New Roman" w:hAnsi="Times New Roman" w:cs="Times New Roman"/>
          <w:sz w:val="24"/>
          <w:szCs w:val="24"/>
        </w:rPr>
        <w:t> </w:t>
      </w:r>
      <w:r w:rsidR="00742B05" w:rsidRPr="00C03E61">
        <w:rPr>
          <w:rFonts w:ascii="Times New Roman" w:hAnsi="Times New Roman" w:cs="Times New Roman"/>
          <w:sz w:val="24"/>
          <w:szCs w:val="24"/>
        </w:rPr>
        <w:t>млрд</w:t>
      </w:r>
      <w:r w:rsidR="005C3153">
        <w:rPr>
          <w:rFonts w:ascii="Times New Roman" w:hAnsi="Times New Roman" w:cs="Times New Roman"/>
          <w:sz w:val="24"/>
          <w:szCs w:val="24"/>
        </w:rPr>
        <w:t> грн</w:t>
      </w:r>
      <w:r>
        <w:rPr>
          <w:rFonts w:ascii="Times New Roman" w:hAnsi="Times New Roman" w:cs="Times New Roman"/>
          <w:sz w:val="24"/>
          <w:szCs w:val="24"/>
        </w:rPr>
        <w:t xml:space="preserve"> меншим за оцінку за базовим сценарієм</w:t>
      </w:r>
      <w:r w:rsidR="00742B05" w:rsidRPr="00C03E61">
        <w:rPr>
          <w:rFonts w:ascii="Times New Roman" w:hAnsi="Times New Roman" w:cs="Times New Roman"/>
          <w:sz w:val="24"/>
          <w:szCs w:val="24"/>
        </w:rPr>
        <w:t>. Частково це буде компенсовано збільшенням надходжень від внутрішнього ПДВ на 7,6 млрд грн, але в цілому в умовах падіння економіки населення більш схильне до заощаджень, ніж до збільшення споживчих витрат і надходження від ПДВ порівняно з базовим сценарієм зменшяться на 20,8 млрд гривень.</w:t>
      </w:r>
    </w:p>
    <w:p w:rsidR="0026584E" w:rsidRPr="00203046" w:rsidRDefault="00742B05" w:rsidP="00742B05">
      <w:pPr>
        <w:spacing w:after="0" w:line="240" w:lineRule="auto"/>
        <w:ind w:firstLine="567"/>
        <w:jc w:val="both"/>
        <w:rPr>
          <w:rFonts w:ascii="Times New Roman" w:hAnsi="Times New Roman" w:cs="Times New Roman"/>
          <w:sz w:val="24"/>
          <w:szCs w:val="24"/>
        </w:rPr>
      </w:pPr>
      <w:r w:rsidRPr="00C03E61">
        <w:rPr>
          <w:rFonts w:ascii="Times New Roman" w:hAnsi="Times New Roman" w:cs="Times New Roman"/>
          <w:sz w:val="24"/>
          <w:szCs w:val="24"/>
        </w:rPr>
        <w:t>Ввізне мито також буде меншим у 2020 році порівняно з базовим сценарієм на 2,6</w:t>
      </w:r>
      <w:r w:rsidR="00A65CBE">
        <w:rPr>
          <w:rFonts w:ascii="Times New Roman" w:hAnsi="Times New Roman" w:cs="Times New Roman"/>
          <w:sz w:val="24"/>
          <w:szCs w:val="24"/>
        </w:rPr>
        <w:t> </w:t>
      </w:r>
      <w:r w:rsidRPr="00C03E61">
        <w:rPr>
          <w:rFonts w:ascii="Times New Roman" w:hAnsi="Times New Roman" w:cs="Times New Roman"/>
          <w:sz w:val="24"/>
          <w:szCs w:val="24"/>
        </w:rPr>
        <w:t>млрд</w:t>
      </w:r>
      <w:r w:rsidR="00A65CBE">
        <w:rPr>
          <w:rFonts w:ascii="Times New Roman" w:hAnsi="Times New Roman" w:cs="Times New Roman"/>
          <w:sz w:val="24"/>
          <w:szCs w:val="24"/>
        </w:rPr>
        <w:t> </w:t>
      </w:r>
      <w:r w:rsidRPr="00D9042C">
        <w:rPr>
          <w:rFonts w:ascii="Times New Roman" w:hAnsi="Times New Roman" w:cs="Times New Roman"/>
          <w:sz w:val="24"/>
          <w:szCs w:val="24"/>
        </w:rPr>
        <w:t>гр</w:t>
      </w:r>
      <w:r w:rsidR="00A65CBE">
        <w:rPr>
          <w:rFonts w:ascii="Times New Roman" w:hAnsi="Times New Roman" w:cs="Times New Roman"/>
          <w:sz w:val="24"/>
          <w:szCs w:val="24"/>
        </w:rPr>
        <w:t>н</w:t>
      </w:r>
      <w:r w:rsidRPr="00D9042C">
        <w:rPr>
          <w:rFonts w:ascii="Times New Roman" w:hAnsi="Times New Roman" w:cs="Times New Roman"/>
          <w:sz w:val="24"/>
          <w:szCs w:val="24"/>
        </w:rPr>
        <w:t xml:space="preserve">. </w:t>
      </w:r>
      <w:r w:rsidR="00A65CBE">
        <w:rPr>
          <w:rFonts w:ascii="Times New Roman" w:hAnsi="Times New Roman" w:cs="Times New Roman"/>
          <w:sz w:val="24"/>
          <w:szCs w:val="24"/>
        </w:rPr>
        <w:t>Д</w:t>
      </w:r>
      <w:r w:rsidRPr="00D9042C">
        <w:rPr>
          <w:rFonts w:ascii="Times New Roman" w:hAnsi="Times New Roman" w:cs="Times New Roman"/>
          <w:sz w:val="24"/>
          <w:szCs w:val="24"/>
        </w:rPr>
        <w:t>етальн</w:t>
      </w:r>
      <w:r w:rsidR="00A65CBE">
        <w:rPr>
          <w:rFonts w:ascii="Times New Roman" w:hAnsi="Times New Roman" w:cs="Times New Roman"/>
          <w:sz w:val="24"/>
          <w:szCs w:val="24"/>
        </w:rPr>
        <w:t>іш</w:t>
      </w:r>
      <w:r w:rsidRPr="00D9042C">
        <w:rPr>
          <w:rFonts w:ascii="Times New Roman" w:hAnsi="Times New Roman" w:cs="Times New Roman"/>
          <w:sz w:val="24"/>
          <w:szCs w:val="24"/>
        </w:rPr>
        <w:t>а інформація в розрізі джерел наведена у таблиці</w:t>
      </w:r>
      <w:r w:rsidR="00024DDF" w:rsidRPr="00203046">
        <w:rPr>
          <w:rFonts w:ascii="Times New Roman" w:hAnsi="Times New Roman" w:cs="Times New Roman"/>
          <w:sz w:val="24"/>
          <w:szCs w:val="24"/>
        </w:rPr>
        <w:t xml:space="preserve"> </w:t>
      </w:r>
      <w:r w:rsidR="00A7178B" w:rsidRPr="00203046">
        <w:rPr>
          <w:rFonts w:ascii="Times New Roman" w:hAnsi="Times New Roman" w:cs="Times New Roman"/>
          <w:sz w:val="24"/>
          <w:szCs w:val="24"/>
        </w:rPr>
        <w:t>3</w:t>
      </w:r>
      <w:r w:rsidRPr="00D9042C">
        <w:rPr>
          <w:rFonts w:ascii="Times New Roman" w:hAnsi="Times New Roman" w:cs="Times New Roman"/>
          <w:sz w:val="24"/>
          <w:szCs w:val="24"/>
        </w:rPr>
        <w:t>.</w:t>
      </w:r>
    </w:p>
    <w:p w:rsidR="00D9042C" w:rsidRDefault="00D9042C" w:rsidP="00024DDF">
      <w:pPr>
        <w:spacing w:after="0" w:line="240" w:lineRule="auto"/>
        <w:jc w:val="right"/>
        <w:rPr>
          <w:rFonts w:ascii="Times New Roman" w:hAnsi="Times New Roman" w:cs="Times New Roman"/>
          <w:i/>
          <w:sz w:val="24"/>
          <w:szCs w:val="24"/>
        </w:rPr>
      </w:pPr>
    </w:p>
    <w:p w:rsidR="00024DDF" w:rsidRPr="00A7178B" w:rsidRDefault="00BF11E6" w:rsidP="005A0E1F">
      <w:pPr>
        <w:keepNext/>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024DDF" w:rsidRPr="00A7178B">
        <w:rPr>
          <w:rFonts w:ascii="Times New Roman" w:hAnsi="Times New Roman" w:cs="Times New Roman"/>
          <w:i/>
          <w:sz w:val="24"/>
          <w:szCs w:val="24"/>
        </w:rPr>
        <w:t>Таблиця</w:t>
      </w:r>
      <w:r w:rsidR="00024DDF" w:rsidRPr="00203046">
        <w:rPr>
          <w:rFonts w:ascii="Times New Roman" w:hAnsi="Times New Roman" w:cs="Times New Roman"/>
          <w:i/>
          <w:sz w:val="24"/>
          <w:szCs w:val="24"/>
        </w:rPr>
        <w:t xml:space="preserve"> </w:t>
      </w:r>
      <w:r w:rsidR="00A7178B" w:rsidRPr="00203046">
        <w:rPr>
          <w:rFonts w:ascii="Times New Roman" w:hAnsi="Times New Roman" w:cs="Times New Roman"/>
          <w:i/>
          <w:sz w:val="24"/>
          <w:szCs w:val="24"/>
        </w:rPr>
        <w:t>3</w:t>
      </w:r>
    </w:p>
    <w:p w:rsidR="00E601C2" w:rsidRPr="00C03E61" w:rsidRDefault="00E601C2" w:rsidP="005A0E1F">
      <w:pPr>
        <w:keepNext/>
        <w:spacing w:after="0" w:line="240" w:lineRule="auto"/>
        <w:jc w:val="center"/>
        <w:rPr>
          <w:rFonts w:ascii="Times New Roman" w:hAnsi="Times New Roman" w:cs="Times New Roman"/>
          <w:b/>
          <w:sz w:val="24"/>
          <w:szCs w:val="24"/>
        </w:rPr>
      </w:pPr>
      <w:r w:rsidRPr="00C03E61">
        <w:rPr>
          <w:rFonts w:ascii="Times New Roman" w:hAnsi="Times New Roman" w:cs="Times New Roman"/>
          <w:b/>
          <w:sz w:val="24"/>
          <w:szCs w:val="24"/>
        </w:rPr>
        <w:t>Відхилення дохідної частини зведеного бюджету за альтернативним сценарієм</w:t>
      </w:r>
      <w:r w:rsidR="006B0F02">
        <w:rPr>
          <w:rFonts w:ascii="Times New Roman" w:hAnsi="Times New Roman" w:cs="Times New Roman"/>
          <w:b/>
          <w:sz w:val="24"/>
          <w:szCs w:val="24"/>
        </w:rPr>
        <w:br/>
      </w:r>
      <w:r w:rsidRPr="00C03E61">
        <w:rPr>
          <w:rFonts w:ascii="Times New Roman" w:hAnsi="Times New Roman" w:cs="Times New Roman"/>
          <w:b/>
          <w:sz w:val="24"/>
          <w:szCs w:val="24"/>
        </w:rPr>
        <w:t>порівняно з базовим сценарієм</w:t>
      </w:r>
    </w:p>
    <w:p w:rsidR="00E601C2" w:rsidRPr="00C03E61" w:rsidRDefault="00E601C2" w:rsidP="005A0E1F">
      <w:pPr>
        <w:keepNext/>
        <w:spacing w:after="0" w:line="240" w:lineRule="auto"/>
        <w:jc w:val="right"/>
        <w:rPr>
          <w:rFonts w:ascii="Times New Roman" w:hAnsi="Times New Roman" w:cs="Times New Roman"/>
          <w:i/>
          <w:sz w:val="20"/>
          <w:szCs w:val="20"/>
        </w:rPr>
      </w:pPr>
      <w:r w:rsidRPr="00C03E61">
        <w:rPr>
          <w:rFonts w:ascii="Times New Roman" w:hAnsi="Times New Roman" w:cs="Times New Roman"/>
          <w:sz w:val="24"/>
          <w:szCs w:val="24"/>
        </w:rPr>
        <w:t xml:space="preserve">                                                                                                                               </w:t>
      </w:r>
      <w:r w:rsidR="003B72B6">
        <w:rPr>
          <w:rFonts w:ascii="Times New Roman" w:hAnsi="Times New Roman" w:cs="Times New Roman"/>
          <w:sz w:val="24"/>
          <w:szCs w:val="24"/>
        </w:rPr>
        <w:t xml:space="preserve">     </w:t>
      </w:r>
      <w:r w:rsidRPr="00C03E61">
        <w:rPr>
          <w:rFonts w:ascii="Times New Roman" w:hAnsi="Times New Roman" w:cs="Times New Roman"/>
          <w:sz w:val="24"/>
          <w:szCs w:val="24"/>
        </w:rPr>
        <w:t xml:space="preserve"> </w:t>
      </w:r>
      <w:r w:rsidRPr="00C03E61">
        <w:rPr>
          <w:rFonts w:ascii="Times New Roman" w:hAnsi="Times New Roman" w:cs="Times New Roman"/>
          <w:i/>
          <w:sz w:val="20"/>
          <w:szCs w:val="20"/>
        </w:rPr>
        <w:t>(млрд грн)</w:t>
      </w:r>
    </w:p>
    <w:tbl>
      <w:tblPr>
        <w:tblW w:w="5000" w:type="pct"/>
        <w:tblLook w:val="04A0" w:firstRow="1" w:lastRow="0" w:firstColumn="1" w:lastColumn="0" w:noHBand="0" w:noVBand="1"/>
      </w:tblPr>
      <w:tblGrid>
        <w:gridCol w:w="8105"/>
        <w:gridCol w:w="1748"/>
      </w:tblGrid>
      <w:tr w:rsidR="00D9042C" w:rsidRPr="00C03E61" w:rsidTr="00594FDE">
        <w:trPr>
          <w:trHeight w:val="449"/>
        </w:trPr>
        <w:tc>
          <w:tcPr>
            <w:tcW w:w="4113"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FF1FEE">
            <w:pPr>
              <w:spacing w:after="0" w:line="240" w:lineRule="auto"/>
              <w:jc w:val="center"/>
              <w:rPr>
                <w:rFonts w:ascii="Times New Roman" w:eastAsia="Times New Roman" w:hAnsi="Times New Roman" w:cs="Times New Roman"/>
                <w:bCs/>
                <w:sz w:val="24"/>
                <w:szCs w:val="24"/>
                <w:lang w:eastAsia="uk-UA"/>
              </w:rPr>
            </w:pPr>
            <w:r w:rsidRPr="00C03E61">
              <w:rPr>
                <w:rFonts w:ascii="Times New Roman" w:eastAsia="Times New Roman" w:hAnsi="Times New Roman" w:cs="Times New Roman"/>
                <w:bCs/>
                <w:sz w:val="24"/>
                <w:szCs w:val="24"/>
                <w:lang w:eastAsia="uk-UA"/>
              </w:rPr>
              <w:t>Назва</w:t>
            </w:r>
          </w:p>
        </w:tc>
        <w:tc>
          <w:tcPr>
            <w:tcW w:w="887" w:type="pct"/>
            <w:tcBorders>
              <w:top w:val="single" w:sz="4" w:space="0" w:color="auto"/>
              <w:left w:val="nil"/>
              <w:bottom w:val="single" w:sz="4" w:space="0" w:color="auto"/>
              <w:right w:val="single" w:sz="4" w:space="0" w:color="auto"/>
            </w:tcBorders>
            <w:noWrap/>
            <w:vAlign w:val="center"/>
            <w:hideMark/>
          </w:tcPr>
          <w:p w:rsidR="00D9042C" w:rsidRPr="00C03E61" w:rsidRDefault="00D9042C" w:rsidP="00FF1FEE">
            <w:pPr>
              <w:spacing w:after="0" w:line="240" w:lineRule="auto"/>
              <w:jc w:val="center"/>
              <w:rPr>
                <w:rFonts w:ascii="Times New Roman" w:eastAsia="Times New Roman" w:hAnsi="Times New Roman" w:cs="Times New Roman"/>
                <w:b/>
                <w:bCs/>
                <w:sz w:val="24"/>
                <w:szCs w:val="24"/>
                <w:lang w:eastAsia="uk-UA"/>
              </w:rPr>
            </w:pPr>
            <w:r w:rsidRPr="00C03E61">
              <w:rPr>
                <w:rFonts w:ascii="Times New Roman" w:eastAsia="Times New Roman" w:hAnsi="Times New Roman" w:cs="Times New Roman"/>
                <w:b/>
                <w:bCs/>
                <w:sz w:val="24"/>
                <w:szCs w:val="24"/>
                <w:lang w:eastAsia="uk-UA"/>
              </w:rPr>
              <w:t>2020 рік</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Податок та збір на доходи фізичних осіб</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-7,7</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Податок на прибуток підприємств</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-3,9</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Податок на додану вартість з вироблених в Україні товарів (робіт, послуг) з урахуванням бюджетного відшкодування</w:t>
            </w:r>
          </w:p>
        </w:tc>
        <w:tc>
          <w:tcPr>
            <w:tcW w:w="887" w:type="pct"/>
            <w:tcBorders>
              <w:top w:val="nil"/>
              <w:left w:val="nil"/>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7,6</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Податок на додану вартість з ввезених на митну територію України товарів</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-28,4</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Акцизний податок</w:t>
            </w:r>
          </w:p>
        </w:tc>
        <w:tc>
          <w:tcPr>
            <w:tcW w:w="887" w:type="pct"/>
            <w:tcBorders>
              <w:top w:val="nil"/>
              <w:left w:val="nil"/>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4,2</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 xml:space="preserve">Рентна плата </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-1,0</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Ввізне мито</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-2,6</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Частина чистого прибутку та дивіденди</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-0,7</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C03E61" w:rsidRDefault="00D9042C" w:rsidP="00FF1FEE">
            <w:pPr>
              <w:spacing w:after="0" w:line="240" w:lineRule="auto"/>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Інші платежі</w:t>
            </w:r>
          </w:p>
        </w:tc>
        <w:tc>
          <w:tcPr>
            <w:tcW w:w="887" w:type="pct"/>
            <w:tcBorders>
              <w:top w:val="nil"/>
              <w:left w:val="nil"/>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sz w:val="24"/>
                <w:szCs w:val="24"/>
                <w:lang w:eastAsia="uk-UA"/>
              </w:rPr>
            </w:pPr>
            <w:r w:rsidRPr="00C03E61">
              <w:rPr>
                <w:rFonts w:ascii="Times New Roman" w:eastAsia="Times New Roman" w:hAnsi="Times New Roman" w:cs="Times New Roman"/>
                <w:sz w:val="24"/>
                <w:szCs w:val="24"/>
                <w:lang w:eastAsia="uk-UA"/>
              </w:rPr>
              <w:t>0,1</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AA03AA" w:rsidRDefault="00D9042C" w:rsidP="00FF1FEE">
            <w:pPr>
              <w:spacing w:after="0" w:line="240" w:lineRule="auto"/>
              <w:rPr>
                <w:rFonts w:ascii="Times New Roman" w:eastAsia="Times New Roman" w:hAnsi="Times New Roman" w:cs="Times New Roman"/>
                <w:b/>
                <w:bCs/>
                <w:sz w:val="24"/>
                <w:szCs w:val="24"/>
                <w:lang w:eastAsia="uk-UA"/>
              </w:rPr>
            </w:pPr>
            <w:r w:rsidRPr="00AA03AA">
              <w:rPr>
                <w:rFonts w:ascii="Times New Roman" w:eastAsia="Times New Roman" w:hAnsi="Times New Roman" w:cs="Times New Roman"/>
                <w:b/>
                <w:bCs/>
                <w:sz w:val="24"/>
                <w:szCs w:val="24"/>
                <w:lang w:eastAsia="uk-UA"/>
              </w:rPr>
              <w:t>Всього зведений бюджет, в т. ч.</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C03E61" w:rsidRDefault="00D9042C" w:rsidP="00D9042C">
            <w:pPr>
              <w:spacing w:after="0" w:line="240" w:lineRule="auto"/>
              <w:jc w:val="center"/>
              <w:rPr>
                <w:rFonts w:ascii="Times New Roman" w:eastAsia="Times New Roman" w:hAnsi="Times New Roman" w:cs="Times New Roman"/>
                <w:b/>
                <w:bCs/>
                <w:sz w:val="24"/>
                <w:szCs w:val="24"/>
                <w:lang w:eastAsia="uk-UA"/>
              </w:rPr>
            </w:pPr>
            <w:r w:rsidRPr="00C03E61">
              <w:rPr>
                <w:rFonts w:ascii="Times New Roman" w:eastAsia="Times New Roman" w:hAnsi="Times New Roman" w:cs="Times New Roman"/>
                <w:b/>
                <w:bCs/>
                <w:sz w:val="24"/>
                <w:szCs w:val="24"/>
                <w:lang w:eastAsia="uk-UA"/>
              </w:rPr>
              <w:t>-32,3</w:t>
            </w:r>
          </w:p>
        </w:tc>
      </w:tr>
      <w:tr w:rsidR="00D9042C" w:rsidRPr="00C03E61" w:rsidTr="00594FDE">
        <w:trPr>
          <w:trHeight w:val="381"/>
        </w:trPr>
        <w:tc>
          <w:tcPr>
            <w:tcW w:w="4113" w:type="pct"/>
            <w:tcBorders>
              <w:top w:val="nil"/>
              <w:left w:val="single" w:sz="4" w:space="0" w:color="auto"/>
              <w:bottom w:val="single" w:sz="4" w:space="0" w:color="auto"/>
              <w:right w:val="single" w:sz="4" w:space="0" w:color="auto"/>
            </w:tcBorders>
            <w:vAlign w:val="center"/>
            <w:hideMark/>
          </w:tcPr>
          <w:p w:rsidR="00D9042C" w:rsidRPr="00D9042C" w:rsidRDefault="00D9042C" w:rsidP="00FF1FEE">
            <w:pPr>
              <w:spacing w:after="0" w:line="240" w:lineRule="auto"/>
              <w:rPr>
                <w:rFonts w:ascii="Times New Roman" w:eastAsia="Times New Roman" w:hAnsi="Times New Roman" w:cs="Times New Roman"/>
                <w:sz w:val="24"/>
                <w:szCs w:val="24"/>
                <w:lang w:eastAsia="uk-UA"/>
              </w:rPr>
            </w:pPr>
            <w:r w:rsidRPr="00D9042C">
              <w:rPr>
                <w:rFonts w:ascii="Times New Roman" w:eastAsia="Times New Roman" w:hAnsi="Times New Roman" w:cs="Times New Roman"/>
                <w:sz w:val="24"/>
                <w:szCs w:val="24"/>
                <w:lang w:eastAsia="uk-UA"/>
              </w:rPr>
              <w:t>державний бюджет</w:t>
            </w:r>
          </w:p>
        </w:tc>
        <w:tc>
          <w:tcPr>
            <w:tcW w:w="887" w:type="pct"/>
            <w:tcBorders>
              <w:top w:val="single" w:sz="4" w:space="0" w:color="auto"/>
              <w:left w:val="single" w:sz="4" w:space="0" w:color="auto"/>
              <w:bottom w:val="single" w:sz="4" w:space="0" w:color="auto"/>
              <w:right w:val="single" w:sz="4" w:space="0" w:color="auto"/>
            </w:tcBorders>
            <w:noWrap/>
            <w:vAlign w:val="center"/>
            <w:hideMark/>
          </w:tcPr>
          <w:p w:rsidR="00D9042C" w:rsidRPr="00D9042C" w:rsidRDefault="00D9042C" w:rsidP="00D9042C">
            <w:pPr>
              <w:spacing w:after="0" w:line="240" w:lineRule="auto"/>
              <w:jc w:val="center"/>
              <w:rPr>
                <w:rFonts w:ascii="Times New Roman" w:eastAsia="Times New Roman" w:hAnsi="Times New Roman" w:cs="Times New Roman"/>
                <w:sz w:val="24"/>
                <w:szCs w:val="24"/>
                <w:lang w:eastAsia="uk-UA"/>
              </w:rPr>
            </w:pPr>
            <w:r w:rsidRPr="00D9042C">
              <w:rPr>
                <w:rFonts w:ascii="Times New Roman" w:eastAsia="Times New Roman" w:hAnsi="Times New Roman" w:cs="Times New Roman"/>
                <w:sz w:val="24"/>
                <w:szCs w:val="24"/>
                <w:lang w:eastAsia="uk-UA"/>
              </w:rPr>
              <w:t>-27,0</w:t>
            </w:r>
          </w:p>
        </w:tc>
      </w:tr>
    </w:tbl>
    <w:p w:rsidR="00024DDF" w:rsidRPr="00DD43D0" w:rsidRDefault="00024DDF" w:rsidP="00DD43D0">
      <w:pPr>
        <w:spacing w:line="316" w:lineRule="auto"/>
        <w:ind w:firstLine="284"/>
        <w:rPr>
          <w:rFonts w:ascii="Times New Roman" w:eastAsia="Times New Roman" w:hAnsi="Times New Roman" w:cs="Times New Roman"/>
          <w:i/>
          <w:sz w:val="20"/>
          <w:szCs w:val="20"/>
          <w:lang w:eastAsia="ru-RU"/>
        </w:rPr>
      </w:pPr>
      <w:r w:rsidRPr="00C03E61">
        <w:rPr>
          <w:rFonts w:ascii="Times New Roman" w:eastAsia="Times New Roman" w:hAnsi="Times New Roman" w:cs="Times New Roman"/>
          <w:i/>
          <w:sz w:val="20"/>
          <w:szCs w:val="20"/>
          <w:lang w:eastAsia="ru-RU"/>
        </w:rPr>
        <w:t>Джерело: розрахунки Мінфіну</w:t>
      </w:r>
      <w:r w:rsidRPr="00DD43D0">
        <w:rPr>
          <w:rFonts w:ascii="Times New Roman" w:eastAsia="Times New Roman" w:hAnsi="Times New Roman" w:cs="Times New Roman"/>
          <w:i/>
          <w:sz w:val="20"/>
          <w:szCs w:val="20"/>
          <w:lang w:eastAsia="ru-RU"/>
        </w:rPr>
        <w:t xml:space="preserve"> </w:t>
      </w:r>
    </w:p>
    <w:p w:rsidR="009053AF" w:rsidRPr="00594FDE" w:rsidRDefault="009053AF" w:rsidP="00594FDE">
      <w:pPr>
        <w:pStyle w:val="1"/>
        <w:numPr>
          <w:ilvl w:val="0"/>
          <w:numId w:val="33"/>
        </w:numPr>
        <w:spacing w:after="120"/>
        <w:ind w:left="426" w:hanging="426"/>
        <w:rPr>
          <w:rFonts w:eastAsia="Times New Roman"/>
          <w:b/>
          <w:sz w:val="24"/>
          <w:lang w:eastAsia="ru-RU"/>
        </w:rPr>
      </w:pPr>
      <w:bookmarkStart w:id="7" w:name="_Toc19289902"/>
      <w:r w:rsidRPr="00594FDE">
        <w:rPr>
          <w:rFonts w:eastAsia="Times New Roman"/>
          <w:b/>
          <w:sz w:val="24"/>
          <w:lang w:eastAsia="ru-RU"/>
        </w:rPr>
        <w:t>Окремі макроекономічні ризики (шоки)</w:t>
      </w:r>
      <w:bookmarkEnd w:id="7"/>
      <w:r w:rsidRPr="00594FDE">
        <w:rPr>
          <w:rFonts w:eastAsia="Times New Roman"/>
          <w:b/>
          <w:sz w:val="24"/>
          <w:lang w:eastAsia="ru-RU"/>
        </w:rPr>
        <w:t xml:space="preserve"> </w:t>
      </w:r>
    </w:p>
    <w:p w:rsidR="009053AF" w:rsidRDefault="009053AF" w:rsidP="009053AF">
      <w:pPr>
        <w:pStyle w:val="af1"/>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Основні ризики макроекономічного середовища та оцінка їх впливу на основні макроекономічні показники</w:t>
      </w:r>
    </w:p>
    <w:p w:rsidR="009053AF" w:rsidRPr="00DF445B" w:rsidRDefault="009053AF" w:rsidP="000610D9">
      <w:pPr>
        <w:pStyle w:val="af1"/>
        <w:spacing w:before="120"/>
        <w:ind w:firstLine="567"/>
        <w:jc w:val="both"/>
        <w:rPr>
          <w:rFonts w:ascii="Times New Roman" w:hAnsi="Times New Roman" w:cs="Times New Roman"/>
          <w:sz w:val="24"/>
          <w:szCs w:val="24"/>
          <w:lang w:val="uk-UA"/>
        </w:rPr>
      </w:pPr>
      <w:r w:rsidRPr="00825864">
        <w:rPr>
          <w:rFonts w:ascii="Times New Roman" w:hAnsi="Times New Roman" w:cs="Times New Roman"/>
          <w:sz w:val="24"/>
          <w:szCs w:val="24"/>
          <w:lang w:val="uk-UA"/>
        </w:rPr>
        <w:t xml:space="preserve">Окрім </w:t>
      </w:r>
      <w:r w:rsidR="00C979AC">
        <w:rPr>
          <w:rFonts w:ascii="Times New Roman" w:hAnsi="Times New Roman" w:cs="Times New Roman"/>
          <w:sz w:val="24"/>
          <w:szCs w:val="24"/>
          <w:lang w:val="uk-UA"/>
        </w:rPr>
        <w:t xml:space="preserve">оцінки фіскального впливу </w:t>
      </w:r>
      <w:r w:rsidRPr="00825864">
        <w:rPr>
          <w:rFonts w:ascii="Times New Roman" w:hAnsi="Times New Roman" w:cs="Times New Roman"/>
          <w:sz w:val="24"/>
          <w:szCs w:val="24"/>
          <w:lang w:val="uk-UA"/>
        </w:rPr>
        <w:t xml:space="preserve">альтернативного сценарію </w:t>
      </w:r>
      <w:r>
        <w:rPr>
          <w:rFonts w:ascii="Times New Roman" w:hAnsi="Times New Roman" w:cs="Times New Roman"/>
          <w:sz w:val="24"/>
          <w:szCs w:val="24"/>
          <w:lang w:val="uk-UA"/>
        </w:rPr>
        <w:t>розвитку</w:t>
      </w:r>
      <w:r w:rsidRPr="00825864">
        <w:rPr>
          <w:rFonts w:ascii="Times New Roman" w:hAnsi="Times New Roman" w:cs="Times New Roman"/>
          <w:sz w:val="24"/>
          <w:szCs w:val="24"/>
          <w:lang w:val="uk-UA"/>
        </w:rPr>
        <w:t xml:space="preserve"> економіки, </w:t>
      </w:r>
      <w:r w:rsidR="00C979AC">
        <w:rPr>
          <w:rFonts w:ascii="Times New Roman" w:hAnsi="Times New Roman" w:cs="Times New Roman"/>
          <w:sz w:val="24"/>
          <w:szCs w:val="24"/>
          <w:lang w:val="uk-UA"/>
        </w:rPr>
        <w:t xml:space="preserve">Міністерство фінансів також оцінює вплив на бюджетні показники від окремих </w:t>
      </w:r>
      <w:r w:rsidRPr="00825864">
        <w:rPr>
          <w:rFonts w:ascii="Times New Roman" w:hAnsi="Times New Roman" w:cs="Times New Roman"/>
          <w:sz w:val="24"/>
          <w:szCs w:val="24"/>
          <w:lang w:val="uk-UA"/>
        </w:rPr>
        <w:t>ризик</w:t>
      </w:r>
      <w:r w:rsidR="00C979AC">
        <w:rPr>
          <w:rFonts w:ascii="Times New Roman" w:hAnsi="Times New Roman" w:cs="Times New Roman"/>
          <w:sz w:val="24"/>
          <w:szCs w:val="24"/>
          <w:lang w:val="uk-UA"/>
        </w:rPr>
        <w:t>ів</w:t>
      </w:r>
      <w:r w:rsidRPr="00825864">
        <w:rPr>
          <w:rFonts w:ascii="Times New Roman" w:hAnsi="Times New Roman" w:cs="Times New Roman"/>
          <w:sz w:val="24"/>
          <w:szCs w:val="24"/>
          <w:lang w:val="uk-UA"/>
        </w:rPr>
        <w:t xml:space="preserve"> (шоки), які визначені прогнозом економічного та соціального розвитку на 2020-2022р.</w:t>
      </w:r>
      <w:r>
        <w:rPr>
          <w:rStyle w:val="af5"/>
          <w:rFonts w:ascii="Times New Roman" w:hAnsi="Times New Roman" w:cs="Times New Roman"/>
          <w:sz w:val="24"/>
          <w:szCs w:val="24"/>
          <w:lang w:val="uk-UA"/>
        </w:rPr>
        <w:footnoteReference w:id="1"/>
      </w:r>
      <w:r w:rsidRPr="0082586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Перелік основних ризиків </w:t>
      </w:r>
      <w:r w:rsidRPr="00825864">
        <w:rPr>
          <w:rFonts w:ascii="Times New Roman" w:hAnsi="Times New Roman" w:cs="Times New Roman"/>
          <w:sz w:val="24"/>
          <w:szCs w:val="24"/>
          <w:lang w:val="uk-UA"/>
        </w:rPr>
        <w:t>та їх кількісний вплив на макроекономічні показники</w:t>
      </w:r>
      <w:r>
        <w:rPr>
          <w:rFonts w:ascii="Times New Roman" w:hAnsi="Times New Roman" w:cs="Times New Roman"/>
          <w:sz w:val="24"/>
          <w:szCs w:val="24"/>
          <w:lang w:val="uk-UA"/>
        </w:rPr>
        <w:t xml:space="preserve"> у випадку їх реалізації у 2020 році, </w:t>
      </w:r>
      <w:r w:rsidRPr="00825864">
        <w:rPr>
          <w:rFonts w:ascii="Times New Roman" w:hAnsi="Times New Roman" w:cs="Times New Roman"/>
          <w:sz w:val="24"/>
          <w:szCs w:val="24"/>
          <w:lang w:val="uk-UA"/>
        </w:rPr>
        <w:t xml:space="preserve"> </w:t>
      </w:r>
      <w:r w:rsidRPr="00DF445B">
        <w:rPr>
          <w:rFonts w:ascii="Times New Roman" w:hAnsi="Times New Roman" w:cs="Times New Roman"/>
          <w:sz w:val="24"/>
          <w:szCs w:val="24"/>
          <w:lang w:val="uk-UA"/>
        </w:rPr>
        <w:t xml:space="preserve">наведено у таблиці </w:t>
      </w:r>
      <w:r w:rsidR="004C3411">
        <w:rPr>
          <w:rFonts w:ascii="Times New Roman" w:hAnsi="Times New Roman" w:cs="Times New Roman"/>
          <w:sz w:val="24"/>
          <w:szCs w:val="24"/>
          <w:lang w:val="uk-UA"/>
        </w:rPr>
        <w:t>4</w:t>
      </w:r>
      <w:r w:rsidRPr="00DF445B">
        <w:rPr>
          <w:rFonts w:ascii="Times New Roman" w:hAnsi="Times New Roman" w:cs="Times New Roman"/>
          <w:sz w:val="24"/>
          <w:szCs w:val="24"/>
          <w:lang w:val="uk-UA"/>
        </w:rPr>
        <w:t xml:space="preserve">. </w:t>
      </w:r>
    </w:p>
    <w:p w:rsidR="009053AF" w:rsidRPr="00DF445B" w:rsidRDefault="009053AF" w:rsidP="00BF11E6">
      <w:pPr>
        <w:pStyle w:val="af1"/>
        <w:spacing w:before="120" w:line="317" w:lineRule="auto"/>
        <w:ind w:left="7921" w:right="-142"/>
        <w:jc w:val="right"/>
        <w:rPr>
          <w:rFonts w:ascii="Times New Roman" w:hAnsi="Times New Roman" w:cs="Times New Roman"/>
          <w:i/>
          <w:sz w:val="24"/>
          <w:szCs w:val="24"/>
          <w:lang w:val="uk-UA"/>
        </w:rPr>
      </w:pPr>
      <w:r w:rsidRPr="00DF445B">
        <w:rPr>
          <w:rFonts w:ascii="Times New Roman" w:hAnsi="Times New Roman" w:cs="Times New Roman"/>
          <w:i/>
          <w:sz w:val="24"/>
          <w:szCs w:val="24"/>
          <w:lang w:val="uk-UA"/>
        </w:rPr>
        <w:t xml:space="preserve">Таблиця </w:t>
      </w:r>
      <w:r w:rsidR="004C3411">
        <w:rPr>
          <w:rFonts w:ascii="Times New Roman" w:hAnsi="Times New Roman" w:cs="Times New Roman"/>
          <w:i/>
          <w:sz w:val="24"/>
          <w:szCs w:val="24"/>
          <w:lang w:val="uk-UA"/>
        </w:rPr>
        <w:t>4</w:t>
      </w:r>
      <w:r w:rsidRPr="00DF445B">
        <w:rPr>
          <w:rFonts w:ascii="Times New Roman" w:hAnsi="Times New Roman" w:cs="Times New Roman"/>
          <w:i/>
          <w:sz w:val="24"/>
          <w:szCs w:val="24"/>
          <w:lang w:val="uk-UA"/>
        </w:rPr>
        <w:t xml:space="preserve"> </w:t>
      </w:r>
    </w:p>
    <w:p w:rsidR="009053AF" w:rsidRPr="00A05878" w:rsidRDefault="009053AF" w:rsidP="00594FDE">
      <w:pPr>
        <w:pStyle w:val="af1"/>
        <w:spacing w:line="316" w:lineRule="auto"/>
        <w:jc w:val="center"/>
        <w:rPr>
          <w:rFonts w:ascii="Times New Roman" w:hAnsi="Times New Roman" w:cs="Times New Roman"/>
          <w:b/>
          <w:sz w:val="24"/>
          <w:szCs w:val="24"/>
          <w:lang w:val="uk-UA"/>
        </w:rPr>
      </w:pPr>
      <w:r w:rsidRPr="00A05878">
        <w:rPr>
          <w:rFonts w:ascii="Times New Roman" w:hAnsi="Times New Roman" w:cs="Times New Roman"/>
          <w:b/>
          <w:sz w:val="24"/>
          <w:szCs w:val="24"/>
          <w:lang w:val="uk-UA"/>
        </w:rPr>
        <w:t>Основні ризики макроекономічного середовища та оцінка їх впливу</w:t>
      </w:r>
      <w:r w:rsidR="00C979AC">
        <w:rPr>
          <w:rFonts w:ascii="Times New Roman" w:hAnsi="Times New Roman" w:cs="Times New Roman"/>
          <w:b/>
          <w:sz w:val="24"/>
          <w:szCs w:val="24"/>
          <w:lang w:val="uk-UA"/>
        </w:rPr>
        <w:t>, 2020 рік</w:t>
      </w:r>
    </w:p>
    <w:tbl>
      <w:tblPr>
        <w:tblStyle w:val="a3"/>
        <w:tblW w:w="10036" w:type="dxa"/>
        <w:jc w:val="center"/>
        <w:tblLayout w:type="fixed"/>
        <w:tblLook w:val="04A0" w:firstRow="1" w:lastRow="0" w:firstColumn="1" w:lastColumn="0" w:noHBand="0" w:noVBand="1"/>
      </w:tblPr>
      <w:tblGrid>
        <w:gridCol w:w="421"/>
        <w:gridCol w:w="2953"/>
        <w:gridCol w:w="3260"/>
        <w:gridCol w:w="3402"/>
      </w:tblGrid>
      <w:tr w:rsidR="00C979AC" w:rsidRPr="00966F9E" w:rsidTr="00594FDE">
        <w:trPr>
          <w:trHeight w:val="851"/>
          <w:tblHeader/>
          <w:jc w:val="center"/>
        </w:trPr>
        <w:tc>
          <w:tcPr>
            <w:tcW w:w="421" w:type="dxa"/>
            <w:vAlign w:val="center"/>
          </w:tcPr>
          <w:p w:rsidR="00C979AC" w:rsidRPr="00FB1EEA" w:rsidRDefault="00AE3BA3" w:rsidP="00AE3BA3">
            <w:pPr>
              <w:pStyle w:val="af1"/>
              <w:spacing w:line="316" w:lineRule="auto"/>
              <w:ind w:right="947"/>
              <w:jc w:val="both"/>
              <w:rPr>
                <w:rFonts w:ascii="Times New Roman" w:hAnsi="Times New Roman" w:cs="Times New Roman"/>
                <w:lang w:val="uk-UA"/>
              </w:rPr>
            </w:pPr>
            <w:r>
              <w:rPr>
                <w:rFonts w:ascii="Times New Roman" w:hAnsi="Times New Roman" w:cs="Times New Roman"/>
                <w:sz w:val="24"/>
                <w:szCs w:val="24"/>
                <w:lang w:val="uk-UA"/>
              </w:rPr>
              <w:t>№</w:t>
            </w:r>
          </w:p>
        </w:tc>
        <w:tc>
          <w:tcPr>
            <w:tcW w:w="2953" w:type="dxa"/>
            <w:vAlign w:val="center"/>
          </w:tcPr>
          <w:p w:rsidR="00C979AC" w:rsidRPr="00FB1EEA" w:rsidRDefault="00C979AC" w:rsidP="00C979AC">
            <w:pPr>
              <w:pStyle w:val="af1"/>
              <w:ind w:right="-86"/>
              <w:jc w:val="both"/>
              <w:rPr>
                <w:rFonts w:ascii="Times New Roman" w:hAnsi="Times New Roman" w:cs="Times New Roman"/>
                <w:lang w:val="uk-UA"/>
              </w:rPr>
            </w:pPr>
            <w:r w:rsidRPr="0008421A">
              <w:rPr>
                <w:rFonts w:ascii="Times New Roman" w:hAnsi="Times New Roman" w:cs="Times New Roman"/>
                <w:sz w:val="24"/>
                <w:szCs w:val="24"/>
                <w:lang w:val="uk-UA"/>
              </w:rPr>
              <w:t xml:space="preserve">Ризик </w:t>
            </w:r>
          </w:p>
        </w:tc>
        <w:tc>
          <w:tcPr>
            <w:tcW w:w="3260" w:type="dxa"/>
            <w:vAlign w:val="center"/>
          </w:tcPr>
          <w:p w:rsidR="00C979AC" w:rsidRPr="00FB1EEA" w:rsidRDefault="00C979AC" w:rsidP="00C979AC">
            <w:pPr>
              <w:pStyle w:val="af1"/>
              <w:ind w:right="-86"/>
              <w:rPr>
                <w:rFonts w:ascii="Times New Roman" w:hAnsi="Times New Roman" w:cs="Times New Roman"/>
                <w:lang w:val="uk-UA"/>
              </w:rPr>
            </w:pPr>
            <w:r w:rsidRPr="0008421A">
              <w:rPr>
                <w:rFonts w:ascii="Times New Roman" w:hAnsi="Times New Roman" w:cs="Times New Roman"/>
                <w:sz w:val="24"/>
                <w:szCs w:val="24"/>
                <w:lang w:val="uk-UA"/>
              </w:rPr>
              <w:t>Макроекономічні  показники</w:t>
            </w:r>
          </w:p>
        </w:tc>
        <w:tc>
          <w:tcPr>
            <w:tcW w:w="3402" w:type="dxa"/>
            <w:vAlign w:val="center"/>
          </w:tcPr>
          <w:p w:rsidR="00C979AC" w:rsidRPr="00FB1EEA" w:rsidRDefault="00C979AC" w:rsidP="00C979AC">
            <w:pPr>
              <w:jc w:val="center"/>
              <w:rPr>
                <w:rFonts w:ascii="Times New Roman" w:hAnsi="Times New Roman" w:cs="Times New Roman"/>
                <w:color w:val="000000"/>
              </w:rPr>
            </w:pPr>
            <w:r w:rsidRPr="0008421A">
              <w:rPr>
                <w:rFonts w:ascii="Times New Roman" w:hAnsi="Times New Roman" w:cs="Times New Roman"/>
                <w:sz w:val="24"/>
                <w:szCs w:val="24"/>
              </w:rPr>
              <w:t xml:space="preserve">Результати оцінки (по відношенню до показників базового сценарію) </w:t>
            </w:r>
          </w:p>
        </w:tc>
      </w:tr>
      <w:tr w:rsidR="00C979AC" w:rsidRPr="00966F9E" w:rsidTr="00594FDE">
        <w:trPr>
          <w:trHeight w:val="851"/>
          <w:jc w:val="center"/>
        </w:trPr>
        <w:tc>
          <w:tcPr>
            <w:tcW w:w="421" w:type="dxa"/>
            <w:vMerge w:val="restart"/>
          </w:tcPr>
          <w:p w:rsidR="00C979AC" w:rsidRPr="00FB1EEA" w:rsidRDefault="00C979AC" w:rsidP="00C979AC">
            <w:pPr>
              <w:pStyle w:val="af1"/>
              <w:spacing w:line="316" w:lineRule="auto"/>
              <w:ind w:right="947"/>
              <w:jc w:val="both"/>
              <w:rPr>
                <w:rFonts w:ascii="Times New Roman" w:hAnsi="Times New Roman" w:cs="Times New Roman"/>
                <w:lang w:val="uk-UA"/>
              </w:rPr>
            </w:pPr>
            <w:r w:rsidRPr="00FB1EEA">
              <w:rPr>
                <w:rFonts w:ascii="Times New Roman" w:hAnsi="Times New Roman" w:cs="Times New Roman"/>
                <w:lang w:val="uk-UA"/>
              </w:rPr>
              <w:t>1</w:t>
            </w:r>
          </w:p>
        </w:tc>
        <w:tc>
          <w:tcPr>
            <w:tcW w:w="2953" w:type="dxa"/>
            <w:vMerge w:val="restart"/>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 xml:space="preserve">Зростання цін на нафту марки </w:t>
            </w:r>
            <w:r w:rsidRPr="00FB1EEA">
              <w:rPr>
                <w:rFonts w:ascii="Times New Roman" w:hAnsi="Times New Roman" w:cs="Times New Roman"/>
              </w:rPr>
              <w:t>Brend</w:t>
            </w:r>
            <w:r w:rsidRPr="00FB1EEA">
              <w:rPr>
                <w:rFonts w:ascii="Times New Roman" w:hAnsi="Times New Roman" w:cs="Times New Roman"/>
                <w:lang w:val="ru-RU"/>
              </w:rPr>
              <w:t xml:space="preserve"> </w:t>
            </w:r>
            <w:r w:rsidRPr="00FB1EEA">
              <w:rPr>
                <w:rFonts w:ascii="Times New Roman" w:hAnsi="Times New Roman" w:cs="Times New Roman"/>
                <w:lang w:val="uk-UA"/>
              </w:rPr>
              <w:t xml:space="preserve">до 100 доларів </w:t>
            </w:r>
            <w:r w:rsidRPr="00FB1EEA">
              <w:rPr>
                <w:rFonts w:ascii="Times New Roman" w:hAnsi="Times New Roman" w:cs="Times New Roman"/>
                <w:lang w:val="ru-RU"/>
              </w:rPr>
              <w:t xml:space="preserve"> США </w:t>
            </w:r>
            <w:r w:rsidRPr="00FB1EEA">
              <w:rPr>
                <w:rFonts w:ascii="Times New Roman" w:hAnsi="Times New Roman" w:cs="Times New Roman"/>
                <w:lang w:val="uk-UA"/>
              </w:rPr>
              <w:t>за барель на світових енергетичних ринках</w:t>
            </w:r>
            <w:r w:rsidRPr="00FB1EEA">
              <w:rPr>
                <w:rFonts w:ascii="Times New Roman" w:hAnsi="Times New Roman" w:cs="Times New Roman"/>
                <w:lang w:val="ru-RU"/>
              </w:rPr>
              <w:t xml:space="preserve"> </w:t>
            </w:r>
            <w:r w:rsidRPr="00FB1EEA">
              <w:rPr>
                <w:rFonts w:ascii="Times New Roman" w:hAnsi="Times New Roman" w:cs="Times New Roman"/>
                <w:lang w:val="uk-UA"/>
              </w:rPr>
              <w:t xml:space="preserve">у 2020 році </w:t>
            </w:r>
          </w:p>
        </w:tc>
        <w:tc>
          <w:tcPr>
            <w:tcW w:w="3260" w:type="dxa"/>
          </w:tcPr>
          <w:p w:rsidR="00C979AC" w:rsidRPr="00FB1EEA" w:rsidRDefault="00C979AC" w:rsidP="00C979AC">
            <w:pPr>
              <w:pStyle w:val="af1"/>
              <w:ind w:right="-86"/>
              <w:rPr>
                <w:rFonts w:ascii="Times New Roman" w:hAnsi="Times New Roman" w:cs="Times New Roman"/>
                <w:lang w:val="uk-UA"/>
              </w:rPr>
            </w:pPr>
            <w:r w:rsidRPr="00FB1EEA">
              <w:rPr>
                <w:rFonts w:ascii="Times New Roman" w:hAnsi="Times New Roman" w:cs="Times New Roman"/>
                <w:lang w:val="uk-UA"/>
              </w:rPr>
              <w:t>Реальний ВВП у відсотках до відповідного періоду попереднього року</w:t>
            </w:r>
          </w:p>
        </w:tc>
        <w:tc>
          <w:tcPr>
            <w:tcW w:w="3402" w:type="dxa"/>
          </w:tcPr>
          <w:p w:rsidR="00C979AC" w:rsidRPr="00FB1EEA" w:rsidRDefault="00C979AC" w:rsidP="00C979AC">
            <w:pPr>
              <w:jc w:val="center"/>
              <w:rPr>
                <w:rFonts w:ascii="Times New Roman" w:hAnsi="Times New Roman" w:cs="Times New Roman"/>
                <w:lang w:val="ru-RU"/>
              </w:rPr>
            </w:pPr>
            <w:r w:rsidRPr="00FB1EEA">
              <w:rPr>
                <w:rFonts w:ascii="Times New Roman" w:hAnsi="Times New Roman" w:cs="Times New Roman"/>
                <w:color w:val="000000"/>
              </w:rPr>
              <w:t>-0,6</w:t>
            </w:r>
          </w:p>
        </w:tc>
      </w:tr>
      <w:tr w:rsidR="00C979AC" w:rsidRPr="00825864" w:rsidTr="00594FDE">
        <w:trPr>
          <w:jc w:val="center"/>
        </w:trPr>
        <w:tc>
          <w:tcPr>
            <w:tcW w:w="421" w:type="dxa"/>
            <w:vMerge/>
          </w:tcPr>
          <w:p w:rsidR="00C979AC" w:rsidRPr="00FB1EEA" w:rsidRDefault="00C979AC" w:rsidP="00C979AC">
            <w:pPr>
              <w:pStyle w:val="af1"/>
              <w:spacing w:line="316" w:lineRule="auto"/>
              <w:ind w:right="947"/>
              <w:jc w:val="both"/>
              <w:rPr>
                <w:rFonts w:ascii="Times New Roman" w:hAnsi="Times New Roman" w:cs="Times New Roman"/>
                <w:lang w:val="ru-RU"/>
              </w:rPr>
            </w:pPr>
          </w:p>
        </w:tc>
        <w:tc>
          <w:tcPr>
            <w:tcW w:w="2953" w:type="dxa"/>
            <w:vMerge/>
          </w:tcPr>
          <w:p w:rsidR="00C979AC" w:rsidRPr="00FB1EEA" w:rsidRDefault="00C979AC" w:rsidP="00C979AC">
            <w:pPr>
              <w:pStyle w:val="af1"/>
              <w:ind w:right="-86"/>
              <w:jc w:val="both"/>
              <w:rPr>
                <w:rFonts w:ascii="Times New Roman" w:hAnsi="Times New Roman" w:cs="Times New Roman"/>
                <w:lang w:val="uk-UA"/>
              </w:rPr>
            </w:pPr>
          </w:p>
        </w:tc>
        <w:tc>
          <w:tcPr>
            <w:tcW w:w="3260" w:type="dxa"/>
          </w:tcPr>
          <w:p w:rsidR="00C979AC" w:rsidRPr="00FB1EEA" w:rsidRDefault="00C979AC" w:rsidP="00C979AC">
            <w:pPr>
              <w:pStyle w:val="af1"/>
              <w:ind w:right="-86"/>
              <w:rPr>
                <w:rFonts w:ascii="Times New Roman" w:hAnsi="Times New Roman" w:cs="Times New Roman"/>
                <w:lang w:val="uk-UA"/>
              </w:rPr>
            </w:pPr>
            <w:r w:rsidRPr="00FB1EEA">
              <w:rPr>
                <w:rFonts w:ascii="Times New Roman" w:hAnsi="Times New Roman" w:cs="Times New Roman"/>
                <w:lang w:val="uk-UA"/>
              </w:rPr>
              <w:t xml:space="preserve">ВВП номінальний, </w:t>
            </w:r>
            <w:r w:rsidRPr="00FB1EEA">
              <w:rPr>
                <w:rFonts w:ascii="Times New Roman" w:hAnsi="Times New Roman" w:cs="Times New Roman"/>
                <w:lang w:val="uk-UA"/>
              </w:rPr>
              <w:br/>
              <w:t xml:space="preserve">млрд гривень </w:t>
            </w:r>
          </w:p>
        </w:tc>
        <w:tc>
          <w:tcPr>
            <w:tcW w:w="3402" w:type="dxa"/>
            <w:vAlign w:val="center"/>
          </w:tcPr>
          <w:p w:rsidR="00C979AC" w:rsidRPr="00FB1EEA" w:rsidRDefault="00C979AC" w:rsidP="00C979AC">
            <w:pPr>
              <w:jc w:val="center"/>
              <w:rPr>
                <w:rFonts w:ascii="Times New Roman" w:hAnsi="Times New Roman" w:cs="Times New Roman"/>
                <w:color w:val="000000"/>
              </w:rPr>
            </w:pPr>
            <w:r w:rsidRPr="00FB1EEA">
              <w:rPr>
                <w:rFonts w:ascii="Times New Roman" w:hAnsi="Times New Roman" w:cs="Times New Roman"/>
                <w:color w:val="000000"/>
              </w:rPr>
              <w:t>+26,4</w:t>
            </w:r>
          </w:p>
        </w:tc>
      </w:tr>
      <w:tr w:rsidR="00C979AC" w:rsidRPr="00966F9E" w:rsidTr="00594FDE">
        <w:trPr>
          <w:jc w:val="center"/>
        </w:trPr>
        <w:tc>
          <w:tcPr>
            <w:tcW w:w="421" w:type="dxa"/>
            <w:vMerge/>
          </w:tcPr>
          <w:p w:rsidR="00C979AC" w:rsidRPr="00FB1EEA" w:rsidRDefault="00C979AC" w:rsidP="00C979AC">
            <w:pPr>
              <w:pStyle w:val="af1"/>
              <w:spacing w:line="316" w:lineRule="auto"/>
              <w:ind w:right="947"/>
              <w:jc w:val="both"/>
              <w:rPr>
                <w:rFonts w:ascii="Times New Roman" w:hAnsi="Times New Roman" w:cs="Times New Roman"/>
                <w:lang w:val="uk-UA"/>
              </w:rPr>
            </w:pPr>
          </w:p>
        </w:tc>
        <w:tc>
          <w:tcPr>
            <w:tcW w:w="2953" w:type="dxa"/>
            <w:vMerge/>
          </w:tcPr>
          <w:p w:rsidR="00C979AC" w:rsidRPr="00FB1EEA" w:rsidRDefault="00C979AC" w:rsidP="00C979AC">
            <w:pPr>
              <w:pStyle w:val="af1"/>
              <w:ind w:right="-86"/>
              <w:jc w:val="both"/>
              <w:rPr>
                <w:rFonts w:ascii="Times New Roman" w:hAnsi="Times New Roman" w:cs="Times New Roman"/>
                <w:lang w:val="uk-UA"/>
              </w:rPr>
            </w:pPr>
          </w:p>
        </w:tc>
        <w:tc>
          <w:tcPr>
            <w:tcW w:w="3260" w:type="dxa"/>
          </w:tcPr>
          <w:p w:rsidR="00C979AC" w:rsidRPr="00FB1EEA" w:rsidRDefault="00C979AC" w:rsidP="00C979AC">
            <w:pPr>
              <w:pStyle w:val="af1"/>
              <w:ind w:right="-86"/>
              <w:rPr>
                <w:rFonts w:ascii="Times New Roman" w:hAnsi="Times New Roman" w:cs="Times New Roman"/>
                <w:lang w:val="uk-UA"/>
              </w:rPr>
            </w:pPr>
            <w:r w:rsidRPr="00FB1EEA">
              <w:rPr>
                <w:rFonts w:ascii="Times New Roman" w:hAnsi="Times New Roman" w:cs="Times New Roman"/>
                <w:lang w:val="uk-UA"/>
              </w:rPr>
              <w:t>Індекс споживчих цін грудень до грудня попереднього року, відсоткові пункти</w:t>
            </w:r>
          </w:p>
        </w:tc>
        <w:tc>
          <w:tcPr>
            <w:tcW w:w="3402" w:type="dxa"/>
            <w:vAlign w:val="center"/>
          </w:tcPr>
          <w:p w:rsidR="00C979AC" w:rsidRPr="00FB1EEA" w:rsidRDefault="00C979AC" w:rsidP="00C979AC">
            <w:pPr>
              <w:jc w:val="center"/>
              <w:rPr>
                <w:rFonts w:ascii="Times New Roman" w:hAnsi="Times New Roman" w:cs="Times New Roman"/>
                <w:color w:val="000000"/>
              </w:rPr>
            </w:pPr>
            <w:r w:rsidRPr="00FB1EEA">
              <w:rPr>
                <w:rFonts w:ascii="Times New Roman" w:hAnsi="Times New Roman" w:cs="Times New Roman"/>
                <w:color w:val="000000"/>
              </w:rPr>
              <w:t>+</w:t>
            </w:r>
            <w:r>
              <w:rPr>
                <w:rFonts w:ascii="Times New Roman" w:hAnsi="Times New Roman" w:cs="Times New Roman"/>
                <w:color w:val="000000"/>
                <w:lang w:val="en-US"/>
              </w:rPr>
              <w:t>1</w:t>
            </w:r>
            <w:r w:rsidRPr="00FB1EEA">
              <w:rPr>
                <w:rFonts w:ascii="Times New Roman" w:hAnsi="Times New Roman" w:cs="Times New Roman"/>
                <w:color w:val="000000"/>
              </w:rPr>
              <w:t>,</w:t>
            </w:r>
            <w:r>
              <w:rPr>
                <w:rFonts w:ascii="Times New Roman" w:hAnsi="Times New Roman" w:cs="Times New Roman"/>
                <w:color w:val="000000"/>
                <w:lang w:val="en-US"/>
              </w:rPr>
              <w:t>7</w:t>
            </w:r>
          </w:p>
        </w:tc>
      </w:tr>
      <w:tr w:rsidR="00C979AC" w:rsidRPr="00FF48FA" w:rsidTr="00594FDE">
        <w:trPr>
          <w:jc w:val="center"/>
        </w:trPr>
        <w:tc>
          <w:tcPr>
            <w:tcW w:w="421" w:type="dxa"/>
            <w:vMerge/>
          </w:tcPr>
          <w:p w:rsidR="00C979AC" w:rsidRPr="00FB1EEA" w:rsidRDefault="00C979AC" w:rsidP="00C979AC">
            <w:pPr>
              <w:pStyle w:val="af1"/>
              <w:spacing w:line="316" w:lineRule="auto"/>
              <w:ind w:right="947"/>
              <w:jc w:val="both"/>
              <w:rPr>
                <w:rFonts w:ascii="Times New Roman" w:hAnsi="Times New Roman" w:cs="Times New Roman"/>
                <w:lang w:val="uk-UA"/>
              </w:rPr>
            </w:pPr>
          </w:p>
        </w:tc>
        <w:tc>
          <w:tcPr>
            <w:tcW w:w="2953" w:type="dxa"/>
            <w:vMerge/>
          </w:tcPr>
          <w:p w:rsidR="00C979AC" w:rsidRPr="00FB1EEA" w:rsidRDefault="00C979AC" w:rsidP="00C979AC">
            <w:pPr>
              <w:pStyle w:val="af1"/>
              <w:ind w:right="-86"/>
              <w:jc w:val="both"/>
              <w:rPr>
                <w:rFonts w:ascii="Times New Roman" w:hAnsi="Times New Roman" w:cs="Times New Roman"/>
                <w:lang w:val="uk-UA"/>
              </w:rPr>
            </w:pPr>
          </w:p>
        </w:tc>
        <w:tc>
          <w:tcPr>
            <w:tcW w:w="3260" w:type="dxa"/>
          </w:tcPr>
          <w:p w:rsidR="00C979AC" w:rsidRPr="00FB1EEA" w:rsidRDefault="00C979AC" w:rsidP="00C979AC">
            <w:pPr>
              <w:pStyle w:val="af1"/>
              <w:ind w:right="-86"/>
              <w:rPr>
                <w:rFonts w:ascii="Times New Roman" w:hAnsi="Times New Roman" w:cs="Times New Roman"/>
                <w:lang w:val="uk-UA"/>
              </w:rPr>
            </w:pPr>
            <w:r w:rsidRPr="00FB1EEA">
              <w:rPr>
                <w:rFonts w:ascii="Times New Roman" w:hAnsi="Times New Roman" w:cs="Times New Roman"/>
                <w:lang w:val="uk-UA"/>
              </w:rPr>
              <w:t>Індекс цін виробників промислової продукції грудень до грудня попереднього року,</w:t>
            </w:r>
            <w:r w:rsidRPr="00FB1EEA">
              <w:rPr>
                <w:rFonts w:ascii="Times New Roman" w:hAnsi="Times New Roman" w:cs="Times New Roman"/>
                <w:lang w:val="uk-UA"/>
              </w:rPr>
              <w:br/>
              <w:t>відсоткові пункт</w:t>
            </w:r>
          </w:p>
        </w:tc>
        <w:tc>
          <w:tcPr>
            <w:tcW w:w="3402" w:type="dxa"/>
            <w:vAlign w:val="center"/>
          </w:tcPr>
          <w:p w:rsidR="00C979AC" w:rsidRPr="00FB1EEA" w:rsidRDefault="00C979AC" w:rsidP="00C979AC">
            <w:pPr>
              <w:jc w:val="center"/>
              <w:rPr>
                <w:rFonts w:ascii="Times New Roman" w:hAnsi="Times New Roman" w:cs="Times New Roman"/>
                <w:color w:val="000000"/>
              </w:rPr>
            </w:pPr>
            <w:r w:rsidRPr="00FB1EEA">
              <w:rPr>
                <w:rFonts w:ascii="Times New Roman" w:hAnsi="Times New Roman" w:cs="Times New Roman"/>
                <w:color w:val="000000"/>
                <w:lang w:val="ru-RU"/>
              </w:rPr>
              <w:t>+</w:t>
            </w:r>
            <w:r w:rsidRPr="00FB1EEA">
              <w:rPr>
                <w:rFonts w:ascii="Times New Roman" w:hAnsi="Times New Roman" w:cs="Times New Roman"/>
                <w:color w:val="000000"/>
              </w:rPr>
              <w:t>2,0</w:t>
            </w:r>
          </w:p>
        </w:tc>
      </w:tr>
      <w:tr w:rsidR="00C979AC" w:rsidRPr="00825864" w:rsidTr="00594FDE">
        <w:trPr>
          <w:jc w:val="center"/>
        </w:trPr>
        <w:tc>
          <w:tcPr>
            <w:tcW w:w="421" w:type="dxa"/>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2</w:t>
            </w:r>
          </w:p>
        </w:tc>
        <w:tc>
          <w:tcPr>
            <w:tcW w:w="2953" w:type="dxa"/>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Повномасштабна реалізація проекту «Північний потік-2» та «Турецький потік» (введення в експлуатацію даних трубопроводів можливе у 2020 році)</w:t>
            </w:r>
          </w:p>
        </w:tc>
        <w:tc>
          <w:tcPr>
            <w:tcW w:w="3260" w:type="dxa"/>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Реальний ВВП (у %)</w:t>
            </w:r>
          </w:p>
        </w:tc>
        <w:tc>
          <w:tcPr>
            <w:tcW w:w="3402" w:type="dxa"/>
          </w:tcPr>
          <w:p w:rsidR="00C979AC" w:rsidRPr="00FB1EEA" w:rsidRDefault="00C979AC" w:rsidP="00C979AC">
            <w:pPr>
              <w:pStyle w:val="af1"/>
              <w:spacing w:line="316" w:lineRule="auto"/>
              <w:ind w:right="-103"/>
              <w:jc w:val="center"/>
              <w:rPr>
                <w:rFonts w:ascii="Times New Roman" w:hAnsi="Times New Roman" w:cs="Times New Roman"/>
              </w:rPr>
            </w:pPr>
            <w:r w:rsidRPr="00FB1EEA">
              <w:rPr>
                <w:rFonts w:ascii="Times New Roman" w:hAnsi="Times New Roman" w:cs="Times New Roman"/>
                <w:lang w:val="uk-UA"/>
              </w:rPr>
              <w:t>-0,6 -0,7</w:t>
            </w:r>
          </w:p>
        </w:tc>
      </w:tr>
      <w:tr w:rsidR="00C979AC" w:rsidRPr="00825864" w:rsidTr="00594FDE">
        <w:trPr>
          <w:jc w:val="center"/>
        </w:trPr>
        <w:tc>
          <w:tcPr>
            <w:tcW w:w="421" w:type="dxa"/>
          </w:tcPr>
          <w:p w:rsidR="00C979AC" w:rsidRPr="00FB1EEA" w:rsidRDefault="00C979AC" w:rsidP="00C979AC">
            <w:pPr>
              <w:pStyle w:val="af1"/>
              <w:spacing w:line="316" w:lineRule="auto"/>
              <w:ind w:right="947"/>
              <w:jc w:val="both"/>
              <w:rPr>
                <w:rFonts w:ascii="Times New Roman" w:hAnsi="Times New Roman" w:cs="Times New Roman"/>
                <w:lang w:val="uk-UA"/>
              </w:rPr>
            </w:pPr>
            <w:r w:rsidRPr="00FB1EEA">
              <w:rPr>
                <w:rFonts w:ascii="Times New Roman" w:hAnsi="Times New Roman" w:cs="Times New Roman"/>
                <w:lang w:val="uk-UA"/>
              </w:rPr>
              <w:t>3</w:t>
            </w:r>
          </w:p>
        </w:tc>
        <w:tc>
          <w:tcPr>
            <w:tcW w:w="2953" w:type="dxa"/>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 xml:space="preserve">Посилення гібридних загроз національній економіці з боку Російської федерації </w:t>
            </w:r>
          </w:p>
        </w:tc>
        <w:tc>
          <w:tcPr>
            <w:tcW w:w="3260" w:type="dxa"/>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Реальний  ВВП (у %)</w:t>
            </w:r>
          </w:p>
        </w:tc>
        <w:tc>
          <w:tcPr>
            <w:tcW w:w="3402" w:type="dxa"/>
          </w:tcPr>
          <w:p w:rsidR="00C979AC" w:rsidRPr="00FB1EEA" w:rsidRDefault="00C979AC" w:rsidP="00C979AC">
            <w:pPr>
              <w:pStyle w:val="af1"/>
              <w:spacing w:line="316" w:lineRule="auto"/>
              <w:ind w:right="-103"/>
              <w:jc w:val="center"/>
              <w:rPr>
                <w:rFonts w:ascii="Times New Roman" w:hAnsi="Times New Roman" w:cs="Times New Roman"/>
                <w:lang w:val="uk-UA"/>
              </w:rPr>
            </w:pPr>
            <w:r w:rsidRPr="00FB1EEA">
              <w:rPr>
                <w:rFonts w:ascii="Times New Roman" w:hAnsi="Times New Roman" w:cs="Times New Roman"/>
                <w:lang w:val="uk-UA"/>
              </w:rPr>
              <w:t>-0,3</w:t>
            </w:r>
          </w:p>
        </w:tc>
      </w:tr>
      <w:tr w:rsidR="00C979AC" w:rsidRPr="00825864" w:rsidTr="00594FDE">
        <w:trPr>
          <w:jc w:val="center"/>
        </w:trPr>
        <w:tc>
          <w:tcPr>
            <w:tcW w:w="421" w:type="dxa"/>
            <w:vMerge w:val="restart"/>
          </w:tcPr>
          <w:p w:rsidR="00C979AC" w:rsidRPr="00FB1EEA" w:rsidRDefault="00C979AC" w:rsidP="00C979AC">
            <w:pPr>
              <w:pStyle w:val="af1"/>
              <w:spacing w:line="316" w:lineRule="auto"/>
              <w:ind w:right="947"/>
              <w:jc w:val="both"/>
              <w:rPr>
                <w:rFonts w:ascii="Times New Roman" w:hAnsi="Times New Roman" w:cs="Times New Roman"/>
                <w:lang w:val="uk-UA"/>
              </w:rPr>
            </w:pPr>
            <w:r w:rsidRPr="00FB1EEA">
              <w:rPr>
                <w:rFonts w:ascii="Times New Roman" w:hAnsi="Times New Roman" w:cs="Times New Roman"/>
                <w:lang w:val="uk-UA"/>
              </w:rPr>
              <w:t>4</w:t>
            </w:r>
          </w:p>
          <w:p w:rsidR="00C979AC" w:rsidRPr="00FB1EEA" w:rsidRDefault="00C979AC" w:rsidP="00C979AC">
            <w:pPr>
              <w:pStyle w:val="af1"/>
              <w:spacing w:line="316" w:lineRule="auto"/>
              <w:ind w:right="947"/>
              <w:jc w:val="both"/>
              <w:rPr>
                <w:rFonts w:ascii="Times New Roman" w:hAnsi="Times New Roman" w:cs="Times New Roman"/>
                <w:lang w:val="ru-RU"/>
              </w:rPr>
            </w:pPr>
          </w:p>
        </w:tc>
        <w:tc>
          <w:tcPr>
            <w:tcW w:w="2953" w:type="dxa"/>
            <w:vMerge w:val="restart"/>
          </w:tcPr>
          <w:p w:rsidR="00C979AC" w:rsidRPr="00FB1EEA" w:rsidRDefault="00C979AC" w:rsidP="00C979AC">
            <w:pPr>
              <w:pStyle w:val="af1"/>
              <w:ind w:right="-86"/>
              <w:jc w:val="both"/>
              <w:rPr>
                <w:rFonts w:ascii="Times New Roman" w:hAnsi="Times New Roman" w:cs="Times New Roman"/>
                <w:lang w:val="uk-UA"/>
              </w:rPr>
            </w:pPr>
            <w:r w:rsidRPr="00FB1EEA">
              <w:rPr>
                <w:rFonts w:ascii="Times New Roman" w:hAnsi="Times New Roman" w:cs="Times New Roman"/>
                <w:lang w:val="uk-UA"/>
              </w:rPr>
              <w:t>Отримання низького урожаю зернових культур у 2020 році</w:t>
            </w:r>
          </w:p>
        </w:tc>
        <w:tc>
          <w:tcPr>
            <w:tcW w:w="3260" w:type="dxa"/>
          </w:tcPr>
          <w:p w:rsidR="00C979AC" w:rsidRPr="00FB1EEA" w:rsidRDefault="00C979AC" w:rsidP="00C979AC">
            <w:pPr>
              <w:pStyle w:val="af1"/>
              <w:spacing w:line="316" w:lineRule="auto"/>
              <w:ind w:right="-106"/>
              <w:jc w:val="both"/>
              <w:rPr>
                <w:rFonts w:ascii="Times New Roman" w:hAnsi="Times New Roman" w:cs="Times New Roman"/>
                <w:lang w:val="uk-UA"/>
              </w:rPr>
            </w:pPr>
            <w:r w:rsidRPr="00FB1EEA">
              <w:rPr>
                <w:rFonts w:ascii="Times New Roman" w:hAnsi="Times New Roman" w:cs="Times New Roman"/>
                <w:lang w:val="uk-UA"/>
              </w:rPr>
              <w:t xml:space="preserve">Реальний </w:t>
            </w:r>
            <w:r w:rsidRPr="00FB1EEA">
              <w:rPr>
                <w:rFonts w:ascii="Times New Roman" w:hAnsi="Times New Roman" w:cs="Times New Roman"/>
                <w:lang w:val="ru-RU"/>
              </w:rPr>
              <w:t xml:space="preserve"> </w:t>
            </w:r>
            <w:r w:rsidRPr="00FB1EEA">
              <w:rPr>
                <w:rFonts w:ascii="Times New Roman" w:hAnsi="Times New Roman" w:cs="Times New Roman"/>
                <w:lang w:val="uk-UA"/>
              </w:rPr>
              <w:t>ВВП (у %)</w:t>
            </w:r>
          </w:p>
        </w:tc>
        <w:tc>
          <w:tcPr>
            <w:tcW w:w="3402" w:type="dxa"/>
          </w:tcPr>
          <w:p w:rsidR="00C979AC" w:rsidRPr="00FB1EEA" w:rsidRDefault="00C979AC" w:rsidP="00C979AC">
            <w:pPr>
              <w:pStyle w:val="af1"/>
              <w:spacing w:line="316" w:lineRule="auto"/>
              <w:ind w:right="-103"/>
              <w:jc w:val="center"/>
              <w:rPr>
                <w:rFonts w:ascii="Times New Roman" w:hAnsi="Times New Roman" w:cs="Times New Roman"/>
                <w:lang w:val="uk-UA"/>
              </w:rPr>
            </w:pPr>
            <w:r w:rsidRPr="00FB1EEA">
              <w:rPr>
                <w:rFonts w:ascii="Times New Roman" w:hAnsi="Times New Roman" w:cs="Times New Roman"/>
                <w:lang w:val="uk-UA"/>
              </w:rPr>
              <w:t>-0,6</w:t>
            </w:r>
          </w:p>
        </w:tc>
      </w:tr>
      <w:tr w:rsidR="00C979AC" w:rsidRPr="00825864" w:rsidTr="00594FDE">
        <w:trPr>
          <w:jc w:val="center"/>
        </w:trPr>
        <w:tc>
          <w:tcPr>
            <w:tcW w:w="421" w:type="dxa"/>
            <w:vMerge/>
          </w:tcPr>
          <w:p w:rsidR="00C979AC" w:rsidRPr="00FB1EEA" w:rsidRDefault="00C979AC" w:rsidP="00C979AC">
            <w:pPr>
              <w:pStyle w:val="af1"/>
              <w:spacing w:line="316" w:lineRule="auto"/>
              <w:ind w:right="947"/>
              <w:jc w:val="both"/>
              <w:rPr>
                <w:rFonts w:ascii="Times New Roman" w:hAnsi="Times New Roman" w:cs="Times New Roman"/>
                <w:lang w:val="uk-UA"/>
              </w:rPr>
            </w:pPr>
          </w:p>
        </w:tc>
        <w:tc>
          <w:tcPr>
            <w:tcW w:w="2953" w:type="dxa"/>
            <w:vMerge/>
          </w:tcPr>
          <w:p w:rsidR="00C979AC" w:rsidRPr="00FB1EEA" w:rsidRDefault="00C979AC" w:rsidP="00C979AC">
            <w:pPr>
              <w:pStyle w:val="af1"/>
              <w:ind w:right="-86"/>
              <w:jc w:val="both"/>
              <w:rPr>
                <w:rFonts w:ascii="Times New Roman" w:hAnsi="Times New Roman" w:cs="Times New Roman"/>
                <w:lang w:val="uk-UA"/>
              </w:rPr>
            </w:pPr>
          </w:p>
        </w:tc>
        <w:tc>
          <w:tcPr>
            <w:tcW w:w="3260" w:type="dxa"/>
          </w:tcPr>
          <w:p w:rsidR="00C979AC" w:rsidRPr="00FB1EEA" w:rsidRDefault="00C979AC" w:rsidP="00C979AC">
            <w:pPr>
              <w:pStyle w:val="af1"/>
              <w:ind w:right="-108"/>
              <w:rPr>
                <w:rFonts w:ascii="Times New Roman" w:hAnsi="Times New Roman" w:cs="Times New Roman"/>
                <w:lang w:val="uk-UA"/>
              </w:rPr>
            </w:pPr>
            <w:r w:rsidRPr="00FB1EEA">
              <w:rPr>
                <w:rFonts w:ascii="Times New Roman" w:hAnsi="Times New Roman" w:cs="Times New Roman"/>
                <w:lang w:val="uk-UA"/>
              </w:rPr>
              <w:t xml:space="preserve">Номінальний ВВП, </w:t>
            </w:r>
            <w:r w:rsidRPr="00FB1EEA">
              <w:rPr>
                <w:rFonts w:ascii="Times New Roman" w:hAnsi="Times New Roman" w:cs="Times New Roman"/>
                <w:lang w:val="uk-UA"/>
              </w:rPr>
              <w:br/>
              <w:t xml:space="preserve">млрд грн </w:t>
            </w:r>
          </w:p>
        </w:tc>
        <w:tc>
          <w:tcPr>
            <w:tcW w:w="3402" w:type="dxa"/>
          </w:tcPr>
          <w:p w:rsidR="00C979AC" w:rsidRPr="00FB1EEA" w:rsidRDefault="00C979AC" w:rsidP="00C979AC">
            <w:pPr>
              <w:pStyle w:val="af1"/>
              <w:spacing w:line="316" w:lineRule="auto"/>
              <w:ind w:right="-103"/>
              <w:jc w:val="center"/>
              <w:rPr>
                <w:rFonts w:ascii="Times New Roman" w:hAnsi="Times New Roman" w:cs="Times New Roman"/>
                <w:lang w:val="uk-UA"/>
              </w:rPr>
            </w:pPr>
            <w:r w:rsidRPr="00FB1EEA">
              <w:rPr>
                <w:rFonts w:ascii="Times New Roman" w:hAnsi="Times New Roman" w:cs="Times New Roman"/>
                <w:lang w:val="uk-UA"/>
              </w:rPr>
              <w:t>+0,03</w:t>
            </w:r>
          </w:p>
        </w:tc>
      </w:tr>
      <w:tr w:rsidR="00C979AC" w:rsidRPr="00825864" w:rsidTr="00594FDE">
        <w:trPr>
          <w:jc w:val="center"/>
        </w:trPr>
        <w:tc>
          <w:tcPr>
            <w:tcW w:w="421" w:type="dxa"/>
            <w:vMerge/>
          </w:tcPr>
          <w:p w:rsidR="00C979AC" w:rsidRPr="00FB1EEA" w:rsidRDefault="00C979AC" w:rsidP="00C979AC">
            <w:pPr>
              <w:pStyle w:val="af1"/>
              <w:spacing w:line="316" w:lineRule="auto"/>
              <w:ind w:right="947"/>
              <w:jc w:val="both"/>
              <w:rPr>
                <w:rFonts w:ascii="Times New Roman" w:hAnsi="Times New Roman" w:cs="Times New Roman"/>
                <w:lang w:val="uk-UA"/>
              </w:rPr>
            </w:pPr>
          </w:p>
        </w:tc>
        <w:tc>
          <w:tcPr>
            <w:tcW w:w="2953" w:type="dxa"/>
            <w:vMerge/>
          </w:tcPr>
          <w:p w:rsidR="00C979AC" w:rsidRPr="00FB1EEA" w:rsidRDefault="00C979AC" w:rsidP="00C979AC">
            <w:pPr>
              <w:pStyle w:val="af1"/>
              <w:spacing w:line="316" w:lineRule="auto"/>
              <w:ind w:right="947"/>
              <w:jc w:val="both"/>
              <w:rPr>
                <w:rFonts w:ascii="Times New Roman" w:hAnsi="Times New Roman" w:cs="Times New Roman"/>
                <w:lang w:val="uk-UA"/>
              </w:rPr>
            </w:pPr>
          </w:p>
        </w:tc>
        <w:tc>
          <w:tcPr>
            <w:tcW w:w="3260" w:type="dxa"/>
          </w:tcPr>
          <w:p w:rsidR="00C979AC" w:rsidRPr="00FB1EEA" w:rsidRDefault="00C979AC" w:rsidP="00C979AC">
            <w:pPr>
              <w:pStyle w:val="af1"/>
              <w:spacing w:line="316" w:lineRule="auto"/>
              <w:ind w:right="947"/>
              <w:jc w:val="both"/>
              <w:rPr>
                <w:rFonts w:ascii="Times New Roman" w:hAnsi="Times New Roman" w:cs="Times New Roman"/>
                <w:lang w:val="uk-UA"/>
              </w:rPr>
            </w:pPr>
            <w:r w:rsidRPr="00FB1EEA">
              <w:rPr>
                <w:rFonts w:ascii="Times New Roman" w:hAnsi="Times New Roman" w:cs="Times New Roman"/>
                <w:lang w:val="uk-UA"/>
              </w:rPr>
              <w:t>ІСЦ (р/р)</w:t>
            </w:r>
          </w:p>
        </w:tc>
        <w:tc>
          <w:tcPr>
            <w:tcW w:w="3402" w:type="dxa"/>
          </w:tcPr>
          <w:p w:rsidR="00C979AC" w:rsidRPr="00FB1EEA" w:rsidRDefault="00C979AC" w:rsidP="00C979AC">
            <w:pPr>
              <w:pStyle w:val="af1"/>
              <w:spacing w:line="316" w:lineRule="auto"/>
              <w:ind w:right="-103"/>
              <w:jc w:val="center"/>
              <w:rPr>
                <w:rFonts w:ascii="Times New Roman" w:hAnsi="Times New Roman" w:cs="Times New Roman"/>
                <w:lang w:val="uk-UA"/>
              </w:rPr>
            </w:pPr>
            <w:r w:rsidRPr="00FB1EEA">
              <w:rPr>
                <w:rFonts w:ascii="Times New Roman" w:hAnsi="Times New Roman" w:cs="Times New Roman"/>
                <w:lang w:val="uk-UA"/>
              </w:rPr>
              <w:t>+2,6</w:t>
            </w:r>
          </w:p>
        </w:tc>
      </w:tr>
    </w:tbl>
    <w:p w:rsidR="009053AF" w:rsidRPr="00DD43D0" w:rsidRDefault="009053AF" w:rsidP="009053AF">
      <w:pPr>
        <w:pStyle w:val="af1"/>
        <w:spacing w:line="316" w:lineRule="auto"/>
        <w:ind w:firstLine="567"/>
        <w:jc w:val="both"/>
        <w:rPr>
          <w:rFonts w:ascii="Times New Roman" w:hAnsi="Times New Roman" w:cs="Times New Roman"/>
          <w:b/>
          <w:sz w:val="20"/>
          <w:szCs w:val="20"/>
          <w:lang w:val="uk-UA"/>
        </w:rPr>
      </w:pPr>
      <w:r w:rsidRPr="00DD43D0">
        <w:rPr>
          <w:rFonts w:ascii="Times New Roman" w:eastAsia="Times New Roman" w:hAnsi="Times New Roman" w:cs="Times New Roman"/>
          <w:i/>
          <w:sz w:val="20"/>
          <w:szCs w:val="20"/>
          <w:lang w:val="uk-UA" w:eastAsia="ru-RU" w:bidi="ar-SA"/>
        </w:rPr>
        <w:t xml:space="preserve">Джерело: </w:t>
      </w:r>
      <w:r w:rsidR="00AD5F33" w:rsidRPr="00DD43D0">
        <w:rPr>
          <w:rFonts w:ascii="Times New Roman" w:eastAsia="Times New Roman" w:hAnsi="Times New Roman" w:cs="Times New Roman"/>
          <w:i/>
          <w:sz w:val="20"/>
          <w:szCs w:val="20"/>
          <w:lang w:val="uk-UA" w:eastAsia="ru-RU" w:bidi="ar-SA"/>
        </w:rPr>
        <w:t>Мінеконом</w:t>
      </w:r>
      <w:r w:rsidR="00AD5F33">
        <w:rPr>
          <w:rFonts w:ascii="Times New Roman" w:eastAsia="Times New Roman" w:hAnsi="Times New Roman" w:cs="Times New Roman"/>
          <w:i/>
          <w:sz w:val="20"/>
          <w:szCs w:val="20"/>
          <w:lang w:val="uk-UA" w:eastAsia="ru-RU" w:bidi="ar-SA"/>
        </w:rPr>
        <w:t>іки</w:t>
      </w:r>
      <w:r w:rsidR="00AD5F33" w:rsidRPr="00DD43D0">
        <w:rPr>
          <w:rFonts w:ascii="Times New Roman" w:hAnsi="Times New Roman" w:cs="Times New Roman"/>
          <w:b/>
          <w:sz w:val="20"/>
          <w:szCs w:val="20"/>
          <w:lang w:val="uk-UA"/>
        </w:rPr>
        <w:t xml:space="preserve"> </w:t>
      </w:r>
    </w:p>
    <w:p w:rsidR="00A743B0" w:rsidRDefault="00A743B0" w:rsidP="009053AF">
      <w:pPr>
        <w:pStyle w:val="af1"/>
        <w:spacing w:line="316" w:lineRule="auto"/>
        <w:ind w:firstLine="567"/>
        <w:jc w:val="both"/>
        <w:rPr>
          <w:rFonts w:ascii="Times New Roman" w:hAnsi="Times New Roman" w:cs="Times New Roman"/>
          <w:b/>
          <w:sz w:val="24"/>
          <w:szCs w:val="24"/>
          <w:lang w:val="uk-UA"/>
        </w:rPr>
      </w:pPr>
    </w:p>
    <w:p w:rsidR="009053AF" w:rsidRPr="000D43ED" w:rsidRDefault="009053AF" w:rsidP="009053AF">
      <w:pPr>
        <w:pStyle w:val="af1"/>
        <w:spacing w:line="316" w:lineRule="auto"/>
        <w:ind w:firstLine="567"/>
        <w:jc w:val="both"/>
        <w:rPr>
          <w:rFonts w:ascii="Times New Roman" w:hAnsi="Times New Roman" w:cs="Times New Roman"/>
          <w:b/>
          <w:sz w:val="24"/>
          <w:szCs w:val="24"/>
          <w:lang w:val="uk-UA"/>
        </w:rPr>
      </w:pPr>
      <w:r w:rsidRPr="006072EB">
        <w:rPr>
          <w:rFonts w:ascii="Times New Roman" w:hAnsi="Times New Roman" w:cs="Times New Roman"/>
          <w:b/>
          <w:sz w:val="24"/>
          <w:szCs w:val="24"/>
          <w:lang w:val="uk-UA"/>
        </w:rPr>
        <w:t>Аналіз впливу шоків макроекономічного середовища</w:t>
      </w:r>
      <w:r>
        <w:rPr>
          <w:rFonts w:ascii="Times New Roman" w:hAnsi="Times New Roman" w:cs="Times New Roman"/>
          <w:b/>
          <w:sz w:val="24"/>
          <w:szCs w:val="24"/>
          <w:lang w:val="uk-UA"/>
        </w:rPr>
        <w:t xml:space="preserve"> на бюджетні показники  </w:t>
      </w:r>
    </w:p>
    <w:p w:rsidR="00DF445B" w:rsidRDefault="00DF445B" w:rsidP="00DF445B">
      <w:pPr>
        <w:pStyle w:val="af1"/>
        <w:spacing w:before="12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Оцінку впливу агрегованих макроекономічних показників на зміну бюджетних показників було проведено за допомогою коефіцієнтів еластичностей окремих статей зведеного бюджету за реальним </w:t>
      </w:r>
      <w:r w:rsidRPr="00D82E4E">
        <w:rPr>
          <w:rFonts w:ascii="Times New Roman" w:hAnsi="Times New Roman" w:cs="Times New Roman"/>
          <w:sz w:val="24"/>
          <w:szCs w:val="24"/>
          <w:lang w:val="uk-UA"/>
        </w:rPr>
        <w:t>ВВП (у %) (таблиц</w:t>
      </w:r>
      <w:r w:rsidR="0039084B">
        <w:rPr>
          <w:rFonts w:ascii="Times New Roman" w:hAnsi="Times New Roman" w:cs="Times New Roman"/>
          <w:sz w:val="24"/>
          <w:szCs w:val="24"/>
          <w:lang w:val="uk-UA"/>
        </w:rPr>
        <w:t xml:space="preserve">я </w:t>
      </w:r>
      <w:r w:rsidR="004C3411">
        <w:rPr>
          <w:rFonts w:ascii="Times New Roman" w:hAnsi="Times New Roman" w:cs="Times New Roman"/>
          <w:sz w:val="24"/>
          <w:szCs w:val="24"/>
          <w:lang w:val="uk-UA"/>
        </w:rPr>
        <w:t>5</w:t>
      </w:r>
      <w:r w:rsidRPr="00D82E4E">
        <w:rPr>
          <w:rFonts w:ascii="Times New Roman" w:hAnsi="Times New Roman" w:cs="Times New Roman"/>
          <w:sz w:val="24"/>
          <w:szCs w:val="24"/>
          <w:lang w:val="uk-UA"/>
        </w:rPr>
        <w:t>).</w:t>
      </w:r>
      <w:r w:rsidRPr="00D82E4E">
        <w:rPr>
          <w:rFonts w:ascii="Times New Roman" w:hAnsi="Times New Roman" w:cs="Times New Roman"/>
          <w:color w:val="FF0000"/>
          <w:sz w:val="24"/>
          <w:szCs w:val="24"/>
          <w:lang w:val="uk-UA"/>
        </w:rPr>
        <w:t xml:space="preserve"> </w:t>
      </w:r>
      <w:r w:rsidRPr="00D82E4E">
        <w:rPr>
          <w:rFonts w:ascii="Times New Roman" w:hAnsi="Times New Roman" w:cs="Times New Roman"/>
          <w:sz w:val="24"/>
          <w:szCs w:val="24"/>
          <w:lang w:val="uk-UA"/>
        </w:rPr>
        <w:t>Високі значення коефіцієнтів за окремими видами доходів (ввізного мита, імпортного ПДВ та ППП) свідч</w:t>
      </w:r>
      <w:r>
        <w:rPr>
          <w:rFonts w:ascii="Times New Roman" w:hAnsi="Times New Roman" w:cs="Times New Roman"/>
          <w:sz w:val="24"/>
          <w:szCs w:val="24"/>
          <w:lang w:val="uk-UA"/>
        </w:rPr>
        <w:t>а</w:t>
      </w:r>
      <w:r w:rsidRPr="00D82E4E">
        <w:rPr>
          <w:rFonts w:ascii="Times New Roman" w:hAnsi="Times New Roman" w:cs="Times New Roman"/>
          <w:sz w:val="24"/>
          <w:szCs w:val="24"/>
          <w:lang w:val="uk-UA"/>
        </w:rPr>
        <w:t>ть про їх реакцію на відповідні зміни ВВП, зокрема за рахунок суттєвого падіння обсягів податків під час економічних криз.</w:t>
      </w:r>
      <w:r>
        <w:rPr>
          <w:rFonts w:ascii="Times New Roman" w:hAnsi="Times New Roman" w:cs="Times New Roman"/>
          <w:sz w:val="24"/>
          <w:szCs w:val="24"/>
          <w:lang w:val="uk-UA"/>
        </w:rPr>
        <w:t xml:space="preserve"> </w:t>
      </w:r>
    </w:p>
    <w:p w:rsidR="009053AF" w:rsidRPr="0039084B" w:rsidRDefault="006F30DF" w:rsidP="009053AF">
      <w:pPr>
        <w:pStyle w:val="af1"/>
        <w:spacing w:line="316" w:lineRule="auto"/>
        <w:ind w:left="7920" w:right="-142"/>
        <w:jc w:val="right"/>
        <w:rPr>
          <w:rFonts w:ascii="Times New Roman" w:hAnsi="Times New Roman" w:cs="Times New Roman"/>
          <w:i/>
          <w:sz w:val="24"/>
          <w:szCs w:val="24"/>
          <w:lang w:val="uk-UA"/>
        </w:rPr>
      </w:pPr>
      <w:r w:rsidRPr="0039084B">
        <w:rPr>
          <w:rFonts w:ascii="Times New Roman" w:hAnsi="Times New Roman" w:cs="Times New Roman"/>
          <w:i/>
          <w:sz w:val="24"/>
          <w:szCs w:val="24"/>
          <w:lang w:val="uk-UA"/>
        </w:rPr>
        <w:t>Т</w:t>
      </w:r>
      <w:r w:rsidR="009053AF" w:rsidRPr="0039084B">
        <w:rPr>
          <w:rFonts w:ascii="Times New Roman" w:hAnsi="Times New Roman" w:cs="Times New Roman"/>
          <w:i/>
          <w:sz w:val="24"/>
          <w:szCs w:val="24"/>
          <w:lang w:val="uk-UA"/>
        </w:rPr>
        <w:t xml:space="preserve">аблиця </w:t>
      </w:r>
      <w:r w:rsidR="004C3411">
        <w:rPr>
          <w:rFonts w:ascii="Times New Roman" w:hAnsi="Times New Roman" w:cs="Times New Roman"/>
          <w:i/>
          <w:sz w:val="24"/>
          <w:szCs w:val="24"/>
          <w:lang w:val="uk-UA"/>
        </w:rPr>
        <w:t>5</w:t>
      </w:r>
      <w:r w:rsidR="009053AF" w:rsidRPr="0039084B">
        <w:rPr>
          <w:rFonts w:ascii="Times New Roman" w:hAnsi="Times New Roman" w:cs="Times New Roman"/>
          <w:i/>
          <w:sz w:val="24"/>
          <w:szCs w:val="24"/>
          <w:lang w:val="uk-UA"/>
        </w:rPr>
        <w:t xml:space="preserve"> </w:t>
      </w:r>
    </w:p>
    <w:p w:rsidR="009053AF" w:rsidRPr="00A05878" w:rsidRDefault="009053AF" w:rsidP="00F164A3">
      <w:pPr>
        <w:pStyle w:val="af1"/>
        <w:spacing w:line="316" w:lineRule="auto"/>
        <w:ind w:left="1418" w:hanging="567"/>
        <w:rPr>
          <w:rFonts w:ascii="Times New Roman" w:hAnsi="Times New Roman" w:cs="Times New Roman"/>
          <w:b/>
          <w:sz w:val="24"/>
          <w:szCs w:val="24"/>
          <w:lang w:val="uk-UA"/>
        </w:rPr>
      </w:pPr>
      <w:r>
        <w:rPr>
          <w:rFonts w:ascii="Times New Roman" w:hAnsi="Times New Roman" w:cs="Times New Roman"/>
          <w:b/>
          <w:sz w:val="24"/>
          <w:szCs w:val="24"/>
          <w:lang w:val="uk-UA"/>
        </w:rPr>
        <w:t>Коефіцієнти е</w:t>
      </w:r>
      <w:r w:rsidRPr="00A05878">
        <w:rPr>
          <w:rFonts w:ascii="Times New Roman" w:hAnsi="Times New Roman" w:cs="Times New Roman"/>
          <w:b/>
          <w:sz w:val="24"/>
          <w:szCs w:val="24"/>
          <w:lang w:val="uk-UA"/>
        </w:rPr>
        <w:t>ластичності окремих видів доходів бюджету за ВВП (у %)</w:t>
      </w:r>
    </w:p>
    <w:tbl>
      <w:tblPr>
        <w:tblStyle w:val="a3"/>
        <w:tblW w:w="0" w:type="auto"/>
        <w:tblLook w:val="04A0" w:firstRow="1" w:lastRow="0" w:firstColumn="1" w:lastColumn="0" w:noHBand="0" w:noVBand="1"/>
      </w:tblPr>
      <w:tblGrid>
        <w:gridCol w:w="1962"/>
        <w:gridCol w:w="2642"/>
        <w:gridCol w:w="2474"/>
        <w:gridCol w:w="2775"/>
      </w:tblGrid>
      <w:tr w:rsidR="009053AF" w:rsidRPr="00884B5B" w:rsidTr="00594FDE">
        <w:tc>
          <w:tcPr>
            <w:tcW w:w="2065" w:type="dxa"/>
            <w:vMerge w:val="restart"/>
            <w:vAlign w:val="center"/>
          </w:tcPr>
          <w:p w:rsidR="009053AF" w:rsidRPr="00D51E1A" w:rsidRDefault="009053AF" w:rsidP="001C6AD6">
            <w:pPr>
              <w:pStyle w:val="af1"/>
              <w:spacing w:line="316" w:lineRule="auto"/>
              <w:jc w:val="center"/>
              <w:rPr>
                <w:rFonts w:ascii="Times New Roman" w:hAnsi="Times New Roman" w:cs="Times New Roman"/>
                <w:sz w:val="24"/>
                <w:szCs w:val="24"/>
                <w:lang w:val="uk-UA"/>
              </w:rPr>
            </w:pPr>
            <w:r w:rsidRPr="00D51E1A">
              <w:rPr>
                <w:rFonts w:ascii="Times New Roman" w:hAnsi="Times New Roman" w:cs="Times New Roman"/>
                <w:sz w:val="24"/>
                <w:szCs w:val="24"/>
                <w:lang w:val="uk-UA"/>
              </w:rPr>
              <w:t>Змінні</w:t>
            </w:r>
          </w:p>
        </w:tc>
        <w:tc>
          <w:tcPr>
            <w:tcW w:w="5276" w:type="dxa"/>
            <w:gridSpan w:val="2"/>
            <w:vAlign w:val="center"/>
          </w:tcPr>
          <w:p w:rsidR="009053AF" w:rsidRPr="00D51E1A" w:rsidRDefault="009053AF" w:rsidP="007C2029">
            <w:pPr>
              <w:pStyle w:val="af1"/>
              <w:spacing w:line="316" w:lineRule="auto"/>
              <w:jc w:val="center"/>
              <w:rPr>
                <w:rFonts w:ascii="Times New Roman" w:hAnsi="Times New Roman" w:cs="Times New Roman"/>
                <w:sz w:val="24"/>
                <w:szCs w:val="24"/>
                <w:lang w:val="uk-UA"/>
              </w:rPr>
            </w:pPr>
            <w:r w:rsidRPr="00D51E1A">
              <w:rPr>
                <w:rFonts w:ascii="Times New Roman" w:hAnsi="Times New Roman" w:cs="Times New Roman"/>
                <w:sz w:val="24"/>
                <w:szCs w:val="24"/>
                <w:lang w:val="uk-UA"/>
              </w:rPr>
              <w:t>Україна*</w:t>
            </w:r>
          </w:p>
        </w:tc>
        <w:tc>
          <w:tcPr>
            <w:tcW w:w="2997" w:type="dxa"/>
            <w:vMerge w:val="restart"/>
            <w:vAlign w:val="center"/>
          </w:tcPr>
          <w:p w:rsidR="009053AF" w:rsidRPr="00D51E1A" w:rsidRDefault="009053AF" w:rsidP="00F164A3">
            <w:pPr>
              <w:pStyle w:val="af1"/>
              <w:jc w:val="center"/>
              <w:rPr>
                <w:rFonts w:ascii="Times New Roman" w:hAnsi="Times New Roman" w:cs="Times New Roman"/>
                <w:sz w:val="24"/>
                <w:szCs w:val="24"/>
                <w:lang w:val="uk-UA"/>
              </w:rPr>
            </w:pPr>
            <w:r w:rsidRPr="00D51E1A">
              <w:rPr>
                <w:rFonts w:ascii="Times New Roman" w:hAnsi="Times New Roman" w:cs="Times New Roman"/>
                <w:sz w:val="24"/>
                <w:szCs w:val="24"/>
                <w:lang w:val="uk-UA"/>
              </w:rPr>
              <w:t>Довідково: еластичність показників в наслідок зміни ВВП на 1% для країн ОЕСР **</w:t>
            </w:r>
          </w:p>
        </w:tc>
      </w:tr>
      <w:tr w:rsidR="009053AF" w:rsidRPr="00884B5B" w:rsidTr="007C2029">
        <w:tc>
          <w:tcPr>
            <w:tcW w:w="2065" w:type="dxa"/>
            <w:vMerge/>
          </w:tcPr>
          <w:p w:rsidR="009053AF" w:rsidRPr="00D51E1A" w:rsidRDefault="009053AF" w:rsidP="007C2029">
            <w:pPr>
              <w:pStyle w:val="af1"/>
              <w:spacing w:line="316" w:lineRule="auto"/>
              <w:jc w:val="both"/>
              <w:rPr>
                <w:rFonts w:ascii="Times New Roman" w:hAnsi="Times New Roman" w:cs="Times New Roman"/>
                <w:sz w:val="24"/>
                <w:szCs w:val="24"/>
                <w:lang w:val="uk-UA"/>
              </w:rPr>
            </w:pPr>
          </w:p>
        </w:tc>
        <w:tc>
          <w:tcPr>
            <w:tcW w:w="2715" w:type="dxa"/>
          </w:tcPr>
          <w:p w:rsidR="009053AF" w:rsidRPr="00D51E1A" w:rsidRDefault="009053AF" w:rsidP="00896FE7">
            <w:pPr>
              <w:pStyle w:val="af1"/>
              <w:jc w:val="center"/>
              <w:rPr>
                <w:rFonts w:ascii="Times New Roman" w:hAnsi="Times New Roman" w:cs="Times New Roman"/>
                <w:sz w:val="24"/>
                <w:szCs w:val="24"/>
                <w:lang w:val="uk-UA"/>
              </w:rPr>
            </w:pPr>
            <w:r w:rsidRPr="00D51E1A">
              <w:rPr>
                <w:rFonts w:ascii="Times New Roman" w:hAnsi="Times New Roman" w:cs="Times New Roman"/>
                <w:sz w:val="24"/>
                <w:szCs w:val="24"/>
                <w:lang w:val="uk-UA"/>
              </w:rPr>
              <w:t>Еластистичність показника в</w:t>
            </w:r>
            <w:r w:rsidR="00896FE7">
              <w:rPr>
                <w:rFonts w:ascii="Times New Roman" w:hAnsi="Times New Roman" w:cs="Times New Roman"/>
                <w:sz w:val="24"/>
                <w:szCs w:val="24"/>
                <w:lang w:val="uk-UA"/>
              </w:rPr>
              <w:t xml:space="preserve"> </w:t>
            </w:r>
            <w:r w:rsidRPr="00D51E1A">
              <w:rPr>
                <w:rFonts w:ascii="Times New Roman" w:hAnsi="Times New Roman" w:cs="Times New Roman"/>
                <w:sz w:val="24"/>
                <w:szCs w:val="24"/>
                <w:lang w:val="uk-UA"/>
              </w:rPr>
              <w:t>наслідок зміни ВВП на 1% (в короткостроковому періоді)</w:t>
            </w:r>
          </w:p>
        </w:tc>
        <w:tc>
          <w:tcPr>
            <w:tcW w:w="2561" w:type="dxa"/>
          </w:tcPr>
          <w:p w:rsidR="009053AF" w:rsidRPr="00D51E1A" w:rsidRDefault="009053AF" w:rsidP="00896FE7">
            <w:pPr>
              <w:pStyle w:val="af1"/>
              <w:jc w:val="center"/>
              <w:rPr>
                <w:rFonts w:ascii="Times New Roman" w:hAnsi="Times New Roman" w:cs="Times New Roman"/>
                <w:sz w:val="24"/>
                <w:szCs w:val="24"/>
                <w:lang w:val="uk-UA"/>
              </w:rPr>
            </w:pPr>
            <w:r w:rsidRPr="00D51E1A">
              <w:rPr>
                <w:rFonts w:ascii="Times New Roman" w:hAnsi="Times New Roman" w:cs="Times New Roman"/>
                <w:sz w:val="24"/>
                <w:szCs w:val="24"/>
                <w:lang w:val="uk-UA"/>
              </w:rPr>
              <w:t>Еластистичність показника в</w:t>
            </w:r>
            <w:r w:rsidR="00896FE7">
              <w:rPr>
                <w:rFonts w:ascii="Times New Roman" w:hAnsi="Times New Roman" w:cs="Times New Roman"/>
                <w:sz w:val="24"/>
                <w:szCs w:val="24"/>
                <w:lang w:val="uk-UA"/>
              </w:rPr>
              <w:t xml:space="preserve"> </w:t>
            </w:r>
            <w:r w:rsidRPr="00D51E1A">
              <w:rPr>
                <w:rFonts w:ascii="Times New Roman" w:hAnsi="Times New Roman" w:cs="Times New Roman"/>
                <w:sz w:val="24"/>
                <w:szCs w:val="24"/>
                <w:lang w:val="uk-UA"/>
              </w:rPr>
              <w:t>наслідок зміни ВВП на 1% (в довгостроковому періоді)</w:t>
            </w:r>
          </w:p>
        </w:tc>
        <w:tc>
          <w:tcPr>
            <w:tcW w:w="2997" w:type="dxa"/>
            <w:vMerge/>
          </w:tcPr>
          <w:p w:rsidR="009053AF" w:rsidRPr="00D51E1A" w:rsidRDefault="009053AF" w:rsidP="007C2029">
            <w:pPr>
              <w:pStyle w:val="af1"/>
              <w:spacing w:line="316" w:lineRule="auto"/>
              <w:jc w:val="center"/>
              <w:rPr>
                <w:rFonts w:ascii="Times New Roman" w:hAnsi="Times New Roman" w:cs="Times New Roman"/>
                <w:sz w:val="24"/>
                <w:szCs w:val="24"/>
                <w:lang w:val="uk-UA"/>
              </w:rPr>
            </w:pPr>
          </w:p>
        </w:tc>
      </w:tr>
      <w:tr w:rsidR="009053AF" w:rsidRPr="008B3C55" w:rsidTr="007C2029">
        <w:tc>
          <w:tcPr>
            <w:tcW w:w="2065" w:type="dxa"/>
          </w:tcPr>
          <w:p w:rsidR="009053AF" w:rsidRPr="001C6AD6" w:rsidRDefault="009053AF" w:rsidP="00F164A3">
            <w:pPr>
              <w:pStyle w:val="af1"/>
              <w:jc w:val="both"/>
              <w:rPr>
                <w:rFonts w:ascii="Times New Roman" w:hAnsi="Times New Roman" w:cs="Times New Roman"/>
                <w:lang w:val="uk-UA"/>
              </w:rPr>
            </w:pPr>
            <w:r w:rsidRPr="001C6AD6">
              <w:rPr>
                <w:rFonts w:ascii="Times New Roman" w:hAnsi="Times New Roman" w:cs="Times New Roman"/>
                <w:lang w:val="uk-UA"/>
              </w:rPr>
              <w:t>Доходи бюджету</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0,7</w:t>
            </w:r>
          </w:p>
        </w:tc>
        <w:tc>
          <w:tcPr>
            <w:tcW w:w="2561"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1,2</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p>
        </w:tc>
      </w:tr>
      <w:tr w:rsidR="009053AF" w:rsidRPr="008B3C55" w:rsidTr="007C2029">
        <w:tc>
          <w:tcPr>
            <w:tcW w:w="2065" w:type="dxa"/>
          </w:tcPr>
          <w:p w:rsidR="009053AF" w:rsidRPr="001C6AD6" w:rsidRDefault="009053AF" w:rsidP="00F164A3">
            <w:pPr>
              <w:pStyle w:val="af1"/>
              <w:jc w:val="both"/>
              <w:rPr>
                <w:rFonts w:ascii="Times New Roman" w:hAnsi="Times New Roman" w:cs="Times New Roman"/>
                <w:lang w:val="uk-UA"/>
              </w:rPr>
            </w:pPr>
            <w:r w:rsidRPr="001C6AD6">
              <w:rPr>
                <w:rFonts w:ascii="Times New Roman" w:hAnsi="Times New Roman" w:cs="Times New Roman"/>
                <w:lang w:val="uk-UA"/>
              </w:rPr>
              <w:t>ПДФО</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0,7</w:t>
            </w:r>
          </w:p>
        </w:tc>
        <w:tc>
          <w:tcPr>
            <w:tcW w:w="2561"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0,9</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1,3</w:t>
            </w:r>
          </w:p>
        </w:tc>
      </w:tr>
      <w:tr w:rsidR="009053AF" w:rsidRPr="008B3C55" w:rsidTr="007C2029">
        <w:tc>
          <w:tcPr>
            <w:tcW w:w="2065" w:type="dxa"/>
          </w:tcPr>
          <w:p w:rsidR="009053AF" w:rsidRPr="001C6AD6" w:rsidRDefault="009053AF" w:rsidP="00F164A3">
            <w:pPr>
              <w:pStyle w:val="af1"/>
              <w:jc w:val="both"/>
              <w:rPr>
                <w:rFonts w:ascii="Times New Roman" w:hAnsi="Times New Roman" w:cs="Times New Roman"/>
                <w:lang w:val="uk-UA"/>
              </w:rPr>
            </w:pPr>
            <w:r w:rsidRPr="001C6AD6">
              <w:rPr>
                <w:rFonts w:ascii="Times New Roman" w:hAnsi="Times New Roman" w:cs="Times New Roman"/>
                <w:lang w:val="uk-UA"/>
              </w:rPr>
              <w:t>ПДВ на імпорт</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1,2</w:t>
            </w:r>
          </w:p>
        </w:tc>
        <w:tc>
          <w:tcPr>
            <w:tcW w:w="2561"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2,7</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1,0</w:t>
            </w:r>
          </w:p>
        </w:tc>
      </w:tr>
      <w:tr w:rsidR="009053AF" w:rsidRPr="008B3C55" w:rsidTr="007C2029">
        <w:tc>
          <w:tcPr>
            <w:tcW w:w="2065" w:type="dxa"/>
          </w:tcPr>
          <w:p w:rsidR="009053AF" w:rsidRPr="001C6AD6" w:rsidRDefault="009053AF" w:rsidP="005A0E1F">
            <w:pPr>
              <w:pStyle w:val="af1"/>
              <w:rPr>
                <w:rFonts w:ascii="Times New Roman" w:hAnsi="Times New Roman" w:cs="Times New Roman"/>
                <w:lang w:val="uk-UA"/>
              </w:rPr>
            </w:pPr>
            <w:r w:rsidRPr="001C6AD6">
              <w:rPr>
                <w:rFonts w:ascii="Times New Roman" w:hAnsi="Times New Roman" w:cs="Times New Roman"/>
                <w:lang w:val="uk-UA"/>
              </w:rPr>
              <w:t>Податок на прибуток підприємств</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1,6</w:t>
            </w:r>
          </w:p>
        </w:tc>
        <w:tc>
          <w:tcPr>
            <w:tcW w:w="2561"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1,7</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1,5</w:t>
            </w:r>
          </w:p>
        </w:tc>
      </w:tr>
      <w:tr w:rsidR="009053AF" w:rsidRPr="008B3C55" w:rsidTr="007C2029">
        <w:tc>
          <w:tcPr>
            <w:tcW w:w="2065" w:type="dxa"/>
          </w:tcPr>
          <w:p w:rsidR="009053AF" w:rsidRPr="001C6AD6" w:rsidRDefault="009053AF" w:rsidP="00F164A3">
            <w:pPr>
              <w:pStyle w:val="af1"/>
              <w:jc w:val="both"/>
              <w:rPr>
                <w:rFonts w:ascii="Times New Roman" w:hAnsi="Times New Roman" w:cs="Times New Roman"/>
                <w:lang w:val="uk-UA"/>
              </w:rPr>
            </w:pPr>
            <w:r w:rsidRPr="001C6AD6">
              <w:rPr>
                <w:rFonts w:ascii="Times New Roman" w:hAnsi="Times New Roman" w:cs="Times New Roman"/>
                <w:lang w:val="uk-UA"/>
              </w:rPr>
              <w:t>Ввізне мито</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1,7</w:t>
            </w:r>
          </w:p>
        </w:tc>
        <w:tc>
          <w:tcPr>
            <w:tcW w:w="2561"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0,9</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1,0</w:t>
            </w:r>
          </w:p>
        </w:tc>
      </w:tr>
      <w:tr w:rsidR="009053AF" w:rsidRPr="008B3C55" w:rsidTr="007C2029">
        <w:tc>
          <w:tcPr>
            <w:tcW w:w="2065" w:type="dxa"/>
          </w:tcPr>
          <w:p w:rsidR="009053AF" w:rsidRPr="001C6AD6" w:rsidRDefault="009053AF" w:rsidP="00F164A3">
            <w:pPr>
              <w:pStyle w:val="af1"/>
              <w:jc w:val="both"/>
              <w:rPr>
                <w:rFonts w:ascii="Times New Roman" w:hAnsi="Times New Roman" w:cs="Times New Roman"/>
                <w:lang w:val="uk-UA"/>
              </w:rPr>
            </w:pPr>
            <w:r w:rsidRPr="001C6AD6">
              <w:rPr>
                <w:rFonts w:ascii="Times New Roman" w:hAnsi="Times New Roman" w:cs="Times New Roman"/>
                <w:lang w:val="uk-UA"/>
              </w:rPr>
              <w:t xml:space="preserve">Акцизний податок </w:t>
            </w:r>
          </w:p>
        </w:tc>
        <w:tc>
          <w:tcPr>
            <w:tcW w:w="2715"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0,7</w:t>
            </w:r>
          </w:p>
        </w:tc>
        <w:tc>
          <w:tcPr>
            <w:tcW w:w="2561" w:type="dxa"/>
          </w:tcPr>
          <w:p w:rsidR="009053AF" w:rsidRPr="00873EF2" w:rsidRDefault="009053AF" w:rsidP="007C2029">
            <w:pPr>
              <w:pStyle w:val="af1"/>
              <w:spacing w:line="316" w:lineRule="auto"/>
              <w:jc w:val="center"/>
              <w:rPr>
                <w:rFonts w:ascii="Times New Roman" w:hAnsi="Times New Roman" w:cs="Times New Roman"/>
                <w:lang w:val="ru-RU"/>
              </w:rPr>
            </w:pPr>
            <w:r w:rsidRPr="00873EF2">
              <w:rPr>
                <w:rFonts w:ascii="Times New Roman" w:hAnsi="Times New Roman" w:cs="Times New Roman"/>
                <w:lang w:val="uk-UA"/>
              </w:rPr>
              <w:t>0,6</w:t>
            </w:r>
          </w:p>
        </w:tc>
        <w:tc>
          <w:tcPr>
            <w:tcW w:w="2997" w:type="dxa"/>
          </w:tcPr>
          <w:p w:rsidR="009053AF" w:rsidRPr="00873EF2" w:rsidRDefault="009053AF" w:rsidP="007C2029">
            <w:pPr>
              <w:pStyle w:val="af1"/>
              <w:spacing w:line="316" w:lineRule="auto"/>
              <w:jc w:val="center"/>
              <w:rPr>
                <w:rFonts w:ascii="Times New Roman" w:hAnsi="Times New Roman" w:cs="Times New Roman"/>
                <w:lang w:val="uk-UA"/>
              </w:rPr>
            </w:pPr>
            <w:r w:rsidRPr="00873EF2">
              <w:rPr>
                <w:rFonts w:ascii="Times New Roman" w:hAnsi="Times New Roman" w:cs="Times New Roman"/>
                <w:lang w:val="uk-UA"/>
              </w:rPr>
              <w:t>1,0</w:t>
            </w:r>
          </w:p>
        </w:tc>
      </w:tr>
    </w:tbl>
    <w:p w:rsidR="009053AF" w:rsidRPr="00DD43D0" w:rsidRDefault="009053AF" w:rsidP="00594FDE">
      <w:pPr>
        <w:pStyle w:val="af1"/>
        <w:jc w:val="both"/>
        <w:rPr>
          <w:rFonts w:ascii="Times New Roman" w:hAnsi="Times New Roman" w:cs="Times New Roman"/>
          <w:i/>
          <w:sz w:val="18"/>
          <w:szCs w:val="18"/>
        </w:rPr>
      </w:pPr>
      <w:r w:rsidRPr="00DD43D0">
        <w:rPr>
          <w:rFonts w:ascii="Times New Roman" w:hAnsi="Times New Roman" w:cs="Times New Roman"/>
          <w:i/>
          <w:sz w:val="18"/>
          <w:szCs w:val="18"/>
          <w:lang w:val="uk-UA"/>
        </w:rPr>
        <w:t xml:space="preserve">Джерело: * - </w:t>
      </w:r>
      <w:r w:rsidRPr="00DD43D0">
        <w:rPr>
          <w:rFonts w:ascii="Times New Roman" w:hAnsi="Times New Roman" w:cs="Times New Roman"/>
          <w:i/>
          <w:sz w:val="18"/>
          <w:szCs w:val="18"/>
        </w:rPr>
        <w:t xml:space="preserve">Vdovychenko A. </w:t>
      </w:r>
      <w:hyperlink r:id="rId13" w:history="1">
        <w:r w:rsidRPr="00DD43D0">
          <w:rPr>
            <w:rFonts w:ascii="Times New Roman" w:hAnsi="Times New Roman" w:cs="Times New Roman"/>
            <w:i/>
            <w:sz w:val="18"/>
            <w:szCs w:val="18"/>
          </w:rPr>
          <w:t>Estimating the Fiscal Impulse in Ukraine</w:t>
        </w:r>
      </w:hyperlink>
      <w:r w:rsidRPr="00DD43D0">
        <w:rPr>
          <w:rFonts w:ascii="Times New Roman" w:hAnsi="Times New Roman" w:cs="Times New Roman"/>
          <w:i/>
          <w:sz w:val="18"/>
          <w:szCs w:val="18"/>
        </w:rPr>
        <w:t xml:space="preserve"> Visnyk of the National Bank of Ukraine No. 245 (2018)</w:t>
      </w:r>
      <w:r w:rsidR="0005758F">
        <w:rPr>
          <w:rFonts w:ascii="Times New Roman" w:hAnsi="Times New Roman" w:cs="Times New Roman"/>
          <w:i/>
          <w:sz w:val="18"/>
          <w:szCs w:val="18"/>
          <w:lang w:val="uk-UA"/>
        </w:rPr>
        <w:t xml:space="preserve">, </w:t>
      </w:r>
      <w:r w:rsidR="0005758F">
        <w:rPr>
          <w:rFonts w:ascii="Times New Roman" w:hAnsi="Times New Roman" w:cs="Times New Roman"/>
          <w:i/>
          <w:sz w:val="18"/>
          <w:szCs w:val="18"/>
          <w:lang w:val="uk-UA"/>
        </w:rPr>
        <w:br/>
      </w:r>
      <w:r w:rsidRPr="00DD43D0">
        <w:rPr>
          <w:rFonts w:ascii="Times New Roman" w:hAnsi="Times New Roman" w:cs="Times New Roman"/>
          <w:i/>
          <w:sz w:val="18"/>
          <w:szCs w:val="18"/>
        </w:rPr>
        <w:t>** -  Girouard N., André C. (2005). Measuring Cyclicallyadjusted Budget Balances for OECD Countries. OECD Economics Department Working Papers, No. 434.</w:t>
      </w:r>
    </w:p>
    <w:p w:rsidR="009053AF" w:rsidRDefault="00BE4F19" w:rsidP="00873E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9053AF" w:rsidRPr="00162588">
        <w:rPr>
          <w:rFonts w:ascii="Times New Roman" w:hAnsi="Times New Roman" w:cs="Times New Roman"/>
          <w:sz w:val="24"/>
          <w:szCs w:val="24"/>
        </w:rPr>
        <w:t>цінки впливу зміни реального ВВП на окремі агреговані бюджетні показники</w:t>
      </w:r>
      <w:r w:rsidR="009053AF">
        <w:rPr>
          <w:rFonts w:ascii="Times New Roman" w:hAnsi="Times New Roman" w:cs="Times New Roman"/>
          <w:sz w:val="24"/>
          <w:szCs w:val="24"/>
        </w:rPr>
        <w:t xml:space="preserve"> </w:t>
      </w:r>
      <w:r w:rsidR="009053AF" w:rsidRPr="00162588">
        <w:rPr>
          <w:rFonts w:ascii="Times New Roman" w:hAnsi="Times New Roman" w:cs="Times New Roman"/>
          <w:sz w:val="24"/>
          <w:szCs w:val="24"/>
        </w:rPr>
        <w:t>за кожним з шоків</w:t>
      </w:r>
      <w:r>
        <w:rPr>
          <w:rFonts w:ascii="Times New Roman" w:hAnsi="Times New Roman" w:cs="Times New Roman"/>
          <w:sz w:val="24"/>
          <w:szCs w:val="24"/>
        </w:rPr>
        <w:t xml:space="preserve"> представлені у таблиці </w:t>
      </w:r>
      <w:r w:rsidR="00497393">
        <w:rPr>
          <w:rFonts w:ascii="Times New Roman" w:hAnsi="Times New Roman" w:cs="Times New Roman"/>
          <w:sz w:val="24"/>
          <w:szCs w:val="24"/>
        </w:rPr>
        <w:t>6</w:t>
      </w:r>
      <w:r w:rsidR="009053AF">
        <w:rPr>
          <w:rFonts w:ascii="Times New Roman" w:hAnsi="Times New Roman" w:cs="Times New Roman"/>
          <w:sz w:val="24"/>
          <w:szCs w:val="24"/>
        </w:rPr>
        <w:t xml:space="preserve">. </w:t>
      </w:r>
      <w:r w:rsidR="009053AF" w:rsidRPr="00162588">
        <w:rPr>
          <w:rFonts w:ascii="Times New Roman" w:hAnsi="Times New Roman" w:cs="Times New Roman"/>
          <w:sz w:val="24"/>
          <w:szCs w:val="24"/>
        </w:rPr>
        <w:t>Зазначена оцінка є орієнтованим розрахунком вплив</w:t>
      </w:r>
      <w:r w:rsidR="009053AF">
        <w:rPr>
          <w:rFonts w:ascii="Times New Roman" w:hAnsi="Times New Roman" w:cs="Times New Roman"/>
          <w:sz w:val="24"/>
          <w:szCs w:val="24"/>
        </w:rPr>
        <w:t>у</w:t>
      </w:r>
      <w:r w:rsidR="009053AF" w:rsidRPr="00162588">
        <w:rPr>
          <w:rFonts w:ascii="Times New Roman" w:hAnsi="Times New Roman" w:cs="Times New Roman"/>
          <w:sz w:val="24"/>
          <w:szCs w:val="24"/>
        </w:rPr>
        <w:t xml:space="preserve"> </w:t>
      </w:r>
      <w:r w:rsidR="009053AF" w:rsidRPr="00417BBA">
        <w:rPr>
          <w:rFonts w:ascii="Times New Roman" w:hAnsi="Times New Roman" w:cs="Times New Roman"/>
          <w:sz w:val="24"/>
          <w:szCs w:val="24"/>
        </w:rPr>
        <w:t>виключно зміни реального ВВП на дохідну частину бюджету без врахування впливу інших чинників,</w:t>
      </w:r>
      <w:r w:rsidR="009053AF" w:rsidRPr="00162588">
        <w:rPr>
          <w:rFonts w:ascii="Times New Roman" w:hAnsi="Times New Roman" w:cs="Times New Roman"/>
          <w:sz w:val="24"/>
          <w:szCs w:val="24"/>
        </w:rPr>
        <w:t xml:space="preserve"> виходячи </w:t>
      </w:r>
      <w:r w:rsidR="00EA533B">
        <w:rPr>
          <w:rFonts w:ascii="Times New Roman" w:hAnsi="Times New Roman" w:cs="Times New Roman"/>
          <w:sz w:val="24"/>
          <w:szCs w:val="24"/>
        </w:rPr>
        <w:t xml:space="preserve">зі </w:t>
      </w:r>
      <w:r w:rsidR="009053AF">
        <w:rPr>
          <w:rFonts w:ascii="Times New Roman" w:hAnsi="Times New Roman" w:cs="Times New Roman"/>
          <w:sz w:val="24"/>
          <w:szCs w:val="24"/>
        </w:rPr>
        <w:t>значення</w:t>
      </w:r>
      <w:r w:rsidR="009053AF" w:rsidRPr="00162588">
        <w:rPr>
          <w:rFonts w:ascii="Times New Roman" w:hAnsi="Times New Roman" w:cs="Times New Roman"/>
          <w:sz w:val="24"/>
          <w:szCs w:val="24"/>
        </w:rPr>
        <w:t xml:space="preserve"> коефіцієнтів еластичності</w:t>
      </w:r>
      <w:r w:rsidR="009053AF">
        <w:rPr>
          <w:rFonts w:ascii="Times New Roman" w:hAnsi="Times New Roman" w:cs="Times New Roman"/>
          <w:sz w:val="24"/>
          <w:szCs w:val="24"/>
        </w:rPr>
        <w:t xml:space="preserve"> для кожного виду доходів за ВВП </w:t>
      </w:r>
      <w:r w:rsidR="009053AF" w:rsidRPr="00162588">
        <w:rPr>
          <w:rFonts w:ascii="Times New Roman" w:hAnsi="Times New Roman" w:cs="Times New Roman"/>
          <w:sz w:val="24"/>
          <w:szCs w:val="24"/>
        </w:rPr>
        <w:t xml:space="preserve"> розрахованих для України</w:t>
      </w:r>
      <w:r w:rsidR="009053AF">
        <w:rPr>
          <w:rFonts w:ascii="Times New Roman" w:hAnsi="Times New Roman" w:cs="Times New Roman"/>
          <w:sz w:val="24"/>
          <w:szCs w:val="24"/>
        </w:rPr>
        <w:t xml:space="preserve"> за період з 2004-2016 роки</w:t>
      </w:r>
      <w:r w:rsidR="009053AF" w:rsidRPr="00162588">
        <w:rPr>
          <w:rFonts w:ascii="Times New Roman" w:hAnsi="Times New Roman" w:cs="Times New Roman"/>
          <w:sz w:val="24"/>
          <w:szCs w:val="24"/>
        </w:rPr>
        <w:t>.</w:t>
      </w:r>
      <w:r w:rsidR="009053AF">
        <w:rPr>
          <w:rFonts w:ascii="Times New Roman" w:hAnsi="Times New Roman" w:cs="Times New Roman"/>
          <w:sz w:val="24"/>
          <w:szCs w:val="24"/>
        </w:rPr>
        <w:t xml:space="preserve">  </w:t>
      </w:r>
    </w:p>
    <w:p w:rsidR="00B66AA0" w:rsidRDefault="009053AF" w:rsidP="00873E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оцінками Мінеконом</w:t>
      </w:r>
      <w:r w:rsidR="00AD5F33">
        <w:rPr>
          <w:rFonts w:ascii="Times New Roman" w:hAnsi="Times New Roman" w:cs="Times New Roman"/>
          <w:sz w:val="24"/>
          <w:szCs w:val="24"/>
        </w:rPr>
        <w:t>іки</w:t>
      </w:r>
      <w:r>
        <w:rPr>
          <w:rFonts w:ascii="Times New Roman" w:hAnsi="Times New Roman" w:cs="Times New Roman"/>
          <w:sz w:val="24"/>
          <w:szCs w:val="24"/>
        </w:rPr>
        <w:t>, шоки макроекономічного середовища матимуть короткостроковий негативний ефект на макроекономічні показники у 2020</w:t>
      </w:r>
      <w:r w:rsidR="00B66AA0">
        <w:rPr>
          <w:rFonts w:ascii="Times New Roman" w:hAnsi="Times New Roman" w:cs="Times New Roman"/>
          <w:sz w:val="24"/>
          <w:szCs w:val="24"/>
        </w:rPr>
        <w:t xml:space="preserve"> році</w:t>
      </w:r>
      <w:r>
        <w:rPr>
          <w:rFonts w:ascii="Times New Roman" w:hAnsi="Times New Roman" w:cs="Times New Roman"/>
          <w:sz w:val="24"/>
          <w:szCs w:val="24"/>
        </w:rPr>
        <w:t xml:space="preserve">, що частково пояснюється їх характером, оскільки більшість з них представляє собою шок ціни. Враховуючи високі значення коефіцієнта еластичності для ввізного мита, імпортного ПДВ та ППП,  шок у вигляді зниження темпів реального ВВП буде мати найбільш негативний вплив на ці показники </w:t>
      </w:r>
      <w:r w:rsidR="00B66AA0">
        <w:rPr>
          <w:rFonts w:ascii="Times New Roman" w:hAnsi="Times New Roman" w:cs="Times New Roman"/>
          <w:sz w:val="24"/>
          <w:szCs w:val="24"/>
        </w:rPr>
        <w:t>протягом</w:t>
      </w:r>
      <w:r>
        <w:rPr>
          <w:rFonts w:ascii="Times New Roman" w:hAnsi="Times New Roman" w:cs="Times New Roman"/>
          <w:sz w:val="24"/>
          <w:szCs w:val="24"/>
        </w:rPr>
        <w:t xml:space="preserve"> 2020 ро</w:t>
      </w:r>
      <w:r w:rsidR="00B66AA0">
        <w:rPr>
          <w:rFonts w:ascii="Times New Roman" w:hAnsi="Times New Roman" w:cs="Times New Roman"/>
          <w:sz w:val="24"/>
          <w:szCs w:val="24"/>
        </w:rPr>
        <w:t>ку.</w:t>
      </w:r>
    </w:p>
    <w:p w:rsidR="009053AF" w:rsidRPr="004D23F5" w:rsidRDefault="009053AF" w:rsidP="00594FDE">
      <w:pPr>
        <w:pStyle w:val="af1"/>
        <w:keepNext/>
        <w:spacing w:line="316" w:lineRule="auto"/>
        <w:ind w:left="7920" w:right="-142"/>
        <w:jc w:val="right"/>
        <w:rPr>
          <w:rFonts w:ascii="Times New Roman" w:hAnsi="Times New Roman" w:cs="Times New Roman"/>
          <w:i/>
          <w:sz w:val="24"/>
          <w:szCs w:val="24"/>
          <w:lang w:val="uk-UA"/>
        </w:rPr>
      </w:pPr>
      <w:r w:rsidRPr="00162588">
        <w:rPr>
          <w:rFonts w:ascii="Times New Roman" w:hAnsi="Times New Roman" w:cs="Times New Roman"/>
          <w:sz w:val="24"/>
          <w:szCs w:val="24"/>
          <w:lang w:val="uk-UA"/>
        </w:rPr>
        <w:t xml:space="preserve">  </w:t>
      </w:r>
      <w:r w:rsidRPr="004D23F5">
        <w:rPr>
          <w:rFonts w:ascii="Times New Roman" w:hAnsi="Times New Roman" w:cs="Times New Roman"/>
          <w:i/>
          <w:sz w:val="24"/>
          <w:szCs w:val="24"/>
          <w:lang w:val="uk-UA"/>
        </w:rPr>
        <w:t xml:space="preserve">Таблиця </w:t>
      </w:r>
      <w:r w:rsidR="00497393">
        <w:rPr>
          <w:rFonts w:ascii="Times New Roman" w:hAnsi="Times New Roman" w:cs="Times New Roman"/>
          <w:i/>
          <w:sz w:val="24"/>
          <w:szCs w:val="24"/>
          <w:lang w:val="uk-UA"/>
        </w:rPr>
        <w:t>6</w:t>
      </w:r>
    </w:p>
    <w:p w:rsidR="00FF1FEE" w:rsidRDefault="009053AF" w:rsidP="00594FDE">
      <w:pPr>
        <w:pStyle w:val="af1"/>
        <w:keepNext/>
        <w:jc w:val="center"/>
        <w:rPr>
          <w:rFonts w:ascii="Times New Roman" w:hAnsi="Times New Roman" w:cs="Times New Roman"/>
          <w:b/>
          <w:sz w:val="24"/>
          <w:szCs w:val="24"/>
          <w:lang w:val="uk-UA"/>
        </w:rPr>
      </w:pPr>
      <w:r w:rsidRPr="00162588">
        <w:rPr>
          <w:rFonts w:ascii="Times New Roman" w:hAnsi="Times New Roman" w:cs="Times New Roman"/>
          <w:b/>
          <w:sz w:val="24"/>
          <w:szCs w:val="24"/>
          <w:lang w:val="uk-UA"/>
        </w:rPr>
        <w:t xml:space="preserve">Ефект зміни бюджетних показників у випадку реалізації ризиків у макроекономічному середовищі </w:t>
      </w:r>
      <w:r w:rsidR="00FF1FEE">
        <w:rPr>
          <w:rFonts w:ascii="Times New Roman" w:hAnsi="Times New Roman" w:cs="Times New Roman"/>
          <w:b/>
          <w:sz w:val="24"/>
          <w:szCs w:val="24"/>
          <w:lang w:val="uk-UA"/>
        </w:rPr>
        <w:t>порівняно із базовим сценарієм</w:t>
      </w:r>
      <w:r w:rsidRPr="00162588">
        <w:rPr>
          <w:rFonts w:ascii="Times New Roman" w:hAnsi="Times New Roman" w:cs="Times New Roman"/>
          <w:b/>
          <w:sz w:val="24"/>
          <w:szCs w:val="24"/>
          <w:lang w:val="uk-UA"/>
        </w:rPr>
        <w:t xml:space="preserve"> </w:t>
      </w:r>
    </w:p>
    <w:p w:rsidR="009053AF" w:rsidRDefault="00FF1FEE" w:rsidP="00594FDE">
      <w:pPr>
        <w:pStyle w:val="af1"/>
        <w:keepNext/>
        <w:spacing w:before="120"/>
        <w:jc w:val="right"/>
        <w:rPr>
          <w:rFonts w:ascii="Times New Roman" w:hAnsi="Times New Roman" w:cs="Times New Roman"/>
          <w:i/>
          <w:sz w:val="20"/>
          <w:szCs w:val="20"/>
          <w:lang w:val="uk-UA"/>
        </w:rPr>
      </w:pPr>
      <w:r>
        <w:rPr>
          <w:rFonts w:ascii="Times New Roman" w:hAnsi="Times New Roman" w:cs="Times New Roman"/>
          <w:b/>
          <w:sz w:val="24"/>
          <w:szCs w:val="24"/>
          <w:lang w:val="uk-UA"/>
        </w:rPr>
        <w:t xml:space="preserve">                                                                                                                                          </w:t>
      </w:r>
      <w:r w:rsidR="005A2BC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DC3A96">
        <w:rPr>
          <w:rFonts w:ascii="Times New Roman" w:hAnsi="Times New Roman" w:cs="Times New Roman"/>
          <w:i/>
          <w:sz w:val="20"/>
          <w:szCs w:val="20"/>
          <w:lang w:val="uk-UA"/>
        </w:rPr>
        <w:t>(</w:t>
      </w:r>
      <w:r w:rsidR="009053AF" w:rsidRPr="00DC3A96">
        <w:rPr>
          <w:rFonts w:ascii="Times New Roman" w:hAnsi="Times New Roman" w:cs="Times New Roman"/>
          <w:i/>
          <w:sz w:val="20"/>
          <w:szCs w:val="20"/>
          <w:lang w:val="uk-UA"/>
        </w:rPr>
        <w:t>млрд грн)</w:t>
      </w:r>
    </w:p>
    <w:tbl>
      <w:tblPr>
        <w:tblStyle w:val="a3"/>
        <w:tblW w:w="5000" w:type="pct"/>
        <w:tblLook w:val="04A0" w:firstRow="1" w:lastRow="0" w:firstColumn="1" w:lastColumn="0" w:noHBand="0" w:noVBand="1"/>
      </w:tblPr>
      <w:tblGrid>
        <w:gridCol w:w="2103"/>
        <w:gridCol w:w="2102"/>
        <w:gridCol w:w="2383"/>
        <w:gridCol w:w="1822"/>
        <w:gridCol w:w="1443"/>
      </w:tblGrid>
      <w:tr w:rsidR="00B66AA0" w:rsidRPr="004A1C19" w:rsidTr="00594FDE">
        <w:trPr>
          <w:trHeight w:val="1950"/>
          <w:tblHeader/>
        </w:trPr>
        <w:tc>
          <w:tcPr>
            <w:tcW w:w="1069" w:type="pct"/>
            <w:vAlign w:val="center"/>
          </w:tcPr>
          <w:p w:rsidR="00B66AA0" w:rsidRPr="00162588" w:rsidRDefault="00B66AA0" w:rsidP="00594FDE">
            <w:pPr>
              <w:pStyle w:val="af1"/>
              <w:spacing w:line="316" w:lineRule="auto"/>
              <w:rPr>
                <w:rFonts w:ascii="Times New Roman" w:hAnsi="Times New Roman" w:cs="Times New Roman"/>
                <w:sz w:val="24"/>
                <w:szCs w:val="24"/>
                <w:lang w:val="uk-UA"/>
              </w:rPr>
            </w:pPr>
            <w:r w:rsidRPr="00162588">
              <w:rPr>
                <w:rFonts w:ascii="Times New Roman" w:hAnsi="Times New Roman" w:cs="Times New Roman"/>
                <w:sz w:val="24"/>
                <w:szCs w:val="24"/>
                <w:lang w:val="uk-UA"/>
              </w:rPr>
              <w:t>Змінні</w:t>
            </w:r>
          </w:p>
        </w:tc>
        <w:tc>
          <w:tcPr>
            <w:tcW w:w="1068" w:type="pct"/>
            <w:vAlign w:val="center"/>
          </w:tcPr>
          <w:p w:rsidR="00B66AA0" w:rsidRPr="00162588" w:rsidRDefault="00B66AA0" w:rsidP="00594FDE">
            <w:pPr>
              <w:pStyle w:val="af1"/>
              <w:rPr>
                <w:rFonts w:ascii="Times New Roman" w:hAnsi="Times New Roman" w:cs="Times New Roman"/>
                <w:szCs w:val="24"/>
                <w:lang w:val="uk-UA"/>
              </w:rPr>
            </w:pPr>
            <w:r w:rsidRPr="00162588">
              <w:rPr>
                <w:rFonts w:ascii="Times New Roman" w:hAnsi="Times New Roman" w:cs="Times New Roman"/>
                <w:szCs w:val="24"/>
                <w:lang w:val="uk-UA"/>
              </w:rPr>
              <w:t xml:space="preserve">Зростання цін на нафту марки </w:t>
            </w:r>
            <w:r w:rsidRPr="00162588">
              <w:rPr>
                <w:rFonts w:ascii="Times New Roman" w:hAnsi="Times New Roman" w:cs="Times New Roman"/>
                <w:szCs w:val="24"/>
              </w:rPr>
              <w:t>Brend</w:t>
            </w:r>
            <w:r w:rsidRPr="00162588">
              <w:rPr>
                <w:rFonts w:ascii="Times New Roman" w:hAnsi="Times New Roman" w:cs="Times New Roman"/>
                <w:szCs w:val="24"/>
                <w:lang w:val="ru-RU"/>
              </w:rPr>
              <w:t xml:space="preserve"> </w:t>
            </w:r>
            <w:r w:rsidRPr="00162588">
              <w:rPr>
                <w:rFonts w:ascii="Times New Roman" w:hAnsi="Times New Roman" w:cs="Times New Roman"/>
                <w:szCs w:val="24"/>
                <w:lang w:val="uk-UA"/>
              </w:rPr>
              <w:t xml:space="preserve">до 100 доларів </w:t>
            </w:r>
            <w:r w:rsidRPr="00162588">
              <w:rPr>
                <w:rFonts w:ascii="Times New Roman" w:hAnsi="Times New Roman" w:cs="Times New Roman"/>
                <w:szCs w:val="24"/>
                <w:lang w:val="ru-RU"/>
              </w:rPr>
              <w:t xml:space="preserve"> США </w:t>
            </w:r>
            <w:r w:rsidRPr="00162588">
              <w:rPr>
                <w:rFonts w:ascii="Times New Roman" w:hAnsi="Times New Roman" w:cs="Times New Roman"/>
                <w:szCs w:val="24"/>
                <w:lang w:val="uk-UA"/>
              </w:rPr>
              <w:t>за барель на світових енергетичних ринках</w:t>
            </w:r>
            <w:r w:rsidRPr="00162588">
              <w:rPr>
                <w:rFonts w:ascii="Times New Roman" w:hAnsi="Times New Roman" w:cs="Times New Roman"/>
                <w:szCs w:val="24"/>
                <w:lang w:val="ru-RU"/>
              </w:rPr>
              <w:t xml:space="preserve"> </w:t>
            </w:r>
            <w:r w:rsidRPr="00162588">
              <w:rPr>
                <w:rFonts w:ascii="Times New Roman" w:hAnsi="Times New Roman" w:cs="Times New Roman"/>
                <w:szCs w:val="24"/>
                <w:lang w:val="uk-UA"/>
              </w:rPr>
              <w:t>у 2020 році</w:t>
            </w:r>
          </w:p>
        </w:tc>
        <w:tc>
          <w:tcPr>
            <w:tcW w:w="1211" w:type="pct"/>
            <w:vAlign w:val="center"/>
          </w:tcPr>
          <w:p w:rsidR="00B66AA0" w:rsidRPr="00162588" w:rsidRDefault="00B66AA0" w:rsidP="00594FDE">
            <w:pPr>
              <w:pStyle w:val="af1"/>
              <w:rPr>
                <w:rFonts w:ascii="Times New Roman" w:hAnsi="Times New Roman" w:cs="Times New Roman"/>
                <w:szCs w:val="24"/>
                <w:lang w:val="uk-UA"/>
              </w:rPr>
            </w:pPr>
            <w:r w:rsidRPr="00162588">
              <w:rPr>
                <w:rFonts w:ascii="Times New Roman" w:hAnsi="Times New Roman" w:cs="Times New Roman"/>
                <w:szCs w:val="24"/>
                <w:lang w:val="uk-UA"/>
              </w:rPr>
              <w:t>Повномасштабна реалізація проекту «Північний потік-2» та «Турецький потік» (введення в експлуатацію даних трубопроводів можливе у 2020 році)</w:t>
            </w:r>
          </w:p>
        </w:tc>
        <w:tc>
          <w:tcPr>
            <w:tcW w:w="926" w:type="pct"/>
            <w:vAlign w:val="center"/>
          </w:tcPr>
          <w:p w:rsidR="00B66AA0" w:rsidRPr="00162588" w:rsidRDefault="00B66AA0" w:rsidP="00594FDE">
            <w:pPr>
              <w:pStyle w:val="af1"/>
              <w:rPr>
                <w:rFonts w:ascii="Times New Roman" w:hAnsi="Times New Roman" w:cs="Times New Roman"/>
                <w:szCs w:val="24"/>
                <w:lang w:val="uk-UA"/>
              </w:rPr>
            </w:pPr>
            <w:r w:rsidRPr="00162588">
              <w:rPr>
                <w:rFonts w:ascii="Times New Roman" w:hAnsi="Times New Roman" w:cs="Times New Roman"/>
                <w:szCs w:val="24"/>
                <w:lang w:val="uk-UA"/>
              </w:rPr>
              <w:t>Отримання низького урожаю зернових культур у 2020</w:t>
            </w:r>
            <w:r w:rsidR="00EA533B">
              <w:rPr>
                <w:rFonts w:ascii="Times New Roman" w:hAnsi="Times New Roman" w:cs="Times New Roman"/>
                <w:szCs w:val="24"/>
                <w:lang w:val="uk-UA"/>
              </w:rPr>
              <w:t> </w:t>
            </w:r>
            <w:r w:rsidRPr="00162588">
              <w:rPr>
                <w:rFonts w:ascii="Times New Roman" w:hAnsi="Times New Roman" w:cs="Times New Roman"/>
                <w:szCs w:val="24"/>
                <w:lang w:val="uk-UA"/>
              </w:rPr>
              <w:t>році</w:t>
            </w:r>
          </w:p>
        </w:tc>
        <w:tc>
          <w:tcPr>
            <w:tcW w:w="727" w:type="pct"/>
            <w:vAlign w:val="center"/>
          </w:tcPr>
          <w:p w:rsidR="00B66AA0" w:rsidRPr="00162588" w:rsidRDefault="00B66AA0" w:rsidP="00594FDE">
            <w:pPr>
              <w:pStyle w:val="af1"/>
              <w:rPr>
                <w:rFonts w:ascii="Times New Roman" w:hAnsi="Times New Roman" w:cs="Times New Roman"/>
                <w:szCs w:val="24"/>
                <w:lang w:val="uk-UA"/>
              </w:rPr>
            </w:pPr>
            <w:r w:rsidRPr="00162588">
              <w:rPr>
                <w:rFonts w:ascii="Times New Roman" w:hAnsi="Times New Roman" w:cs="Times New Roman"/>
                <w:szCs w:val="24"/>
                <w:lang w:val="uk-UA"/>
              </w:rPr>
              <w:t>Посилення гібридних загроз національній економіці з боку Російської федерації</w:t>
            </w:r>
          </w:p>
        </w:tc>
      </w:tr>
      <w:tr w:rsidR="00B66AA0" w:rsidRPr="00162588" w:rsidTr="00594FDE">
        <w:trPr>
          <w:trHeight w:val="240"/>
        </w:trPr>
        <w:tc>
          <w:tcPr>
            <w:tcW w:w="1069" w:type="pct"/>
          </w:tcPr>
          <w:p w:rsidR="00B66AA0" w:rsidRPr="00162588" w:rsidRDefault="00B66AA0" w:rsidP="006873A4">
            <w:pPr>
              <w:pStyle w:val="af1"/>
              <w:jc w:val="both"/>
              <w:rPr>
                <w:rFonts w:ascii="Times New Roman" w:hAnsi="Times New Roman" w:cs="Times New Roman"/>
                <w:sz w:val="24"/>
                <w:szCs w:val="24"/>
                <w:lang w:val="uk-UA"/>
              </w:rPr>
            </w:pPr>
            <w:r w:rsidRPr="00162588">
              <w:rPr>
                <w:rFonts w:ascii="Times New Roman" w:hAnsi="Times New Roman" w:cs="Times New Roman"/>
                <w:sz w:val="24"/>
                <w:szCs w:val="24"/>
                <w:lang w:val="uk-UA"/>
              </w:rPr>
              <w:t>Доходи бюджету</w:t>
            </w:r>
          </w:p>
        </w:tc>
        <w:tc>
          <w:tcPr>
            <w:tcW w:w="1068" w:type="pct"/>
            <w:vAlign w:val="center"/>
          </w:tcPr>
          <w:p w:rsidR="00B66AA0" w:rsidRPr="00162588" w:rsidRDefault="00B66AA0" w:rsidP="00DC71B8">
            <w:pPr>
              <w:jc w:val="center"/>
              <w:rPr>
                <w:rFonts w:ascii="Times New Roman" w:eastAsia="Times New Roman" w:hAnsi="Times New Roman" w:cs="Times New Roman"/>
                <w:color w:val="000000"/>
              </w:rPr>
            </w:pPr>
            <w:r w:rsidRPr="00162588">
              <w:rPr>
                <w:rFonts w:ascii="Times New Roman" w:hAnsi="Times New Roman" w:cs="Times New Roman"/>
                <w:color w:val="000000"/>
              </w:rPr>
              <w:t>-6,3</w:t>
            </w:r>
          </w:p>
        </w:tc>
        <w:tc>
          <w:tcPr>
            <w:tcW w:w="1211"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-6,8</w:t>
            </w:r>
          </w:p>
        </w:tc>
        <w:tc>
          <w:tcPr>
            <w:tcW w:w="926"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-6,3</w:t>
            </w:r>
          </w:p>
        </w:tc>
        <w:tc>
          <w:tcPr>
            <w:tcW w:w="727"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-3,1</w:t>
            </w:r>
          </w:p>
        </w:tc>
      </w:tr>
      <w:tr w:rsidR="00B66AA0" w:rsidRPr="00162588" w:rsidTr="00594FDE">
        <w:trPr>
          <w:trHeight w:val="240"/>
        </w:trPr>
        <w:tc>
          <w:tcPr>
            <w:tcW w:w="1069" w:type="pct"/>
          </w:tcPr>
          <w:p w:rsidR="00B66AA0" w:rsidRPr="00162588" w:rsidRDefault="00B66AA0" w:rsidP="006873A4">
            <w:pPr>
              <w:pStyle w:val="af1"/>
              <w:ind w:right="-107"/>
              <w:jc w:val="both"/>
              <w:rPr>
                <w:rFonts w:ascii="Times New Roman" w:hAnsi="Times New Roman" w:cs="Times New Roman"/>
                <w:sz w:val="24"/>
                <w:szCs w:val="24"/>
                <w:lang w:val="uk-UA"/>
              </w:rPr>
            </w:pPr>
            <w:r w:rsidRPr="00162588">
              <w:rPr>
                <w:rFonts w:ascii="Times New Roman" w:hAnsi="Times New Roman" w:cs="Times New Roman"/>
                <w:sz w:val="24"/>
                <w:szCs w:val="24"/>
                <w:lang w:val="uk-UA"/>
              </w:rPr>
              <w:t>ПДФО</w:t>
            </w:r>
          </w:p>
        </w:tc>
        <w:tc>
          <w:tcPr>
            <w:tcW w:w="1068"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-1,3</w:t>
            </w:r>
          </w:p>
        </w:tc>
        <w:tc>
          <w:tcPr>
            <w:tcW w:w="1211"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-1,4</w:t>
            </w:r>
          </w:p>
        </w:tc>
        <w:tc>
          <w:tcPr>
            <w:tcW w:w="926"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-1,3</w:t>
            </w:r>
          </w:p>
        </w:tc>
        <w:tc>
          <w:tcPr>
            <w:tcW w:w="727"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-0,7</w:t>
            </w:r>
          </w:p>
        </w:tc>
      </w:tr>
      <w:tr w:rsidR="00B66AA0" w:rsidRPr="00162588" w:rsidTr="00594FDE">
        <w:trPr>
          <w:trHeight w:val="240"/>
        </w:trPr>
        <w:tc>
          <w:tcPr>
            <w:tcW w:w="1069" w:type="pct"/>
          </w:tcPr>
          <w:p w:rsidR="00B66AA0" w:rsidRPr="00162588" w:rsidRDefault="00B66AA0" w:rsidP="006873A4">
            <w:pPr>
              <w:pStyle w:val="af1"/>
              <w:jc w:val="both"/>
              <w:rPr>
                <w:rFonts w:ascii="Times New Roman" w:hAnsi="Times New Roman" w:cs="Times New Roman"/>
                <w:sz w:val="24"/>
                <w:szCs w:val="24"/>
                <w:lang w:val="uk-UA"/>
              </w:rPr>
            </w:pPr>
            <w:r w:rsidRPr="00162588">
              <w:rPr>
                <w:rFonts w:ascii="Times New Roman" w:hAnsi="Times New Roman" w:cs="Times New Roman"/>
                <w:sz w:val="24"/>
                <w:szCs w:val="24"/>
                <w:lang w:val="uk-UA"/>
              </w:rPr>
              <w:t>ПДВ на імпорт</w:t>
            </w:r>
          </w:p>
        </w:tc>
        <w:tc>
          <w:tcPr>
            <w:tcW w:w="1068"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-2,6</w:t>
            </w:r>
          </w:p>
        </w:tc>
        <w:tc>
          <w:tcPr>
            <w:tcW w:w="1211"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-2,8</w:t>
            </w:r>
          </w:p>
        </w:tc>
        <w:tc>
          <w:tcPr>
            <w:tcW w:w="926"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-2,6</w:t>
            </w:r>
          </w:p>
        </w:tc>
        <w:tc>
          <w:tcPr>
            <w:tcW w:w="727"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-1,3</w:t>
            </w:r>
          </w:p>
        </w:tc>
      </w:tr>
      <w:tr w:rsidR="00B66AA0" w:rsidRPr="00162588" w:rsidTr="00594FDE">
        <w:trPr>
          <w:trHeight w:val="240"/>
        </w:trPr>
        <w:tc>
          <w:tcPr>
            <w:tcW w:w="1069" w:type="pct"/>
          </w:tcPr>
          <w:p w:rsidR="00B66AA0" w:rsidRPr="00162588" w:rsidRDefault="00B66AA0" w:rsidP="006873A4">
            <w:pPr>
              <w:pStyle w:val="af1"/>
              <w:rPr>
                <w:rFonts w:ascii="Times New Roman" w:hAnsi="Times New Roman" w:cs="Times New Roman"/>
                <w:sz w:val="24"/>
                <w:szCs w:val="24"/>
                <w:lang w:val="uk-UA"/>
              </w:rPr>
            </w:pPr>
            <w:r w:rsidRPr="00162588">
              <w:rPr>
                <w:rFonts w:ascii="Times New Roman" w:hAnsi="Times New Roman" w:cs="Times New Roman"/>
                <w:sz w:val="24"/>
                <w:szCs w:val="24"/>
                <w:lang w:val="uk-UA"/>
              </w:rPr>
              <w:t>Податок на прибуток підприємств</w:t>
            </w:r>
          </w:p>
        </w:tc>
        <w:tc>
          <w:tcPr>
            <w:tcW w:w="1068"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-1,2</w:t>
            </w:r>
          </w:p>
        </w:tc>
        <w:tc>
          <w:tcPr>
            <w:tcW w:w="1211"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-1,3</w:t>
            </w:r>
          </w:p>
        </w:tc>
        <w:tc>
          <w:tcPr>
            <w:tcW w:w="926"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-1,2</w:t>
            </w:r>
          </w:p>
        </w:tc>
        <w:tc>
          <w:tcPr>
            <w:tcW w:w="727"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-0,6</w:t>
            </w:r>
          </w:p>
        </w:tc>
      </w:tr>
      <w:tr w:rsidR="00B66AA0" w:rsidRPr="00162588" w:rsidTr="00594FDE">
        <w:trPr>
          <w:trHeight w:val="240"/>
        </w:trPr>
        <w:tc>
          <w:tcPr>
            <w:tcW w:w="1069" w:type="pct"/>
          </w:tcPr>
          <w:p w:rsidR="00B66AA0" w:rsidRPr="00162588" w:rsidRDefault="00B66AA0" w:rsidP="006873A4">
            <w:pPr>
              <w:pStyle w:val="af1"/>
              <w:jc w:val="both"/>
              <w:rPr>
                <w:rFonts w:ascii="Times New Roman" w:hAnsi="Times New Roman" w:cs="Times New Roman"/>
                <w:sz w:val="24"/>
                <w:szCs w:val="24"/>
                <w:lang w:val="uk-UA"/>
              </w:rPr>
            </w:pPr>
            <w:r w:rsidRPr="00162588">
              <w:rPr>
                <w:rFonts w:ascii="Times New Roman" w:hAnsi="Times New Roman" w:cs="Times New Roman"/>
                <w:sz w:val="24"/>
                <w:szCs w:val="24"/>
                <w:lang w:val="uk-UA"/>
              </w:rPr>
              <w:t>Ввізне мито</w:t>
            </w:r>
          </w:p>
        </w:tc>
        <w:tc>
          <w:tcPr>
            <w:tcW w:w="1068"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-0,3</w:t>
            </w:r>
          </w:p>
        </w:tc>
        <w:tc>
          <w:tcPr>
            <w:tcW w:w="1211"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-0,4</w:t>
            </w:r>
          </w:p>
        </w:tc>
        <w:tc>
          <w:tcPr>
            <w:tcW w:w="926"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-0,3</w:t>
            </w:r>
          </w:p>
        </w:tc>
        <w:tc>
          <w:tcPr>
            <w:tcW w:w="727" w:type="pct"/>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-0,2</w:t>
            </w:r>
          </w:p>
        </w:tc>
      </w:tr>
      <w:tr w:rsidR="00B66AA0" w:rsidRPr="00162588" w:rsidTr="00594FDE">
        <w:trPr>
          <w:trHeight w:val="240"/>
        </w:trPr>
        <w:tc>
          <w:tcPr>
            <w:tcW w:w="1069" w:type="pct"/>
            <w:tcBorders>
              <w:top w:val="single" w:sz="4" w:space="0" w:color="auto"/>
              <w:left w:val="single" w:sz="4" w:space="0" w:color="auto"/>
              <w:bottom w:val="single" w:sz="4" w:space="0" w:color="auto"/>
              <w:right w:val="single" w:sz="4" w:space="0" w:color="auto"/>
            </w:tcBorders>
          </w:tcPr>
          <w:p w:rsidR="00B66AA0" w:rsidRPr="00162588" w:rsidRDefault="00B66AA0" w:rsidP="006873A4">
            <w:pPr>
              <w:pStyle w:val="af1"/>
              <w:jc w:val="both"/>
              <w:rPr>
                <w:rFonts w:ascii="Times New Roman" w:hAnsi="Times New Roman" w:cs="Times New Roman"/>
                <w:sz w:val="24"/>
                <w:szCs w:val="24"/>
                <w:lang w:val="uk-UA"/>
              </w:rPr>
            </w:pPr>
            <w:r w:rsidRPr="00162588">
              <w:rPr>
                <w:rFonts w:ascii="Times New Roman" w:hAnsi="Times New Roman" w:cs="Times New Roman"/>
                <w:sz w:val="24"/>
                <w:szCs w:val="24"/>
                <w:lang w:val="uk-UA"/>
              </w:rPr>
              <w:t>Акцизний податок</w:t>
            </w:r>
          </w:p>
        </w:tc>
        <w:tc>
          <w:tcPr>
            <w:tcW w:w="1068" w:type="pct"/>
            <w:tcBorders>
              <w:top w:val="single" w:sz="4" w:space="0" w:color="auto"/>
              <w:left w:val="single" w:sz="4" w:space="0" w:color="auto"/>
              <w:bottom w:val="single" w:sz="4" w:space="0" w:color="auto"/>
              <w:right w:val="single" w:sz="4" w:space="0" w:color="auto"/>
            </w:tcBorders>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-0,7</w:t>
            </w:r>
          </w:p>
        </w:tc>
        <w:tc>
          <w:tcPr>
            <w:tcW w:w="1211" w:type="pct"/>
            <w:tcBorders>
              <w:top w:val="single" w:sz="4" w:space="0" w:color="auto"/>
              <w:left w:val="single" w:sz="4" w:space="0" w:color="auto"/>
              <w:bottom w:val="single" w:sz="4" w:space="0" w:color="auto"/>
              <w:right w:val="single" w:sz="4" w:space="0" w:color="auto"/>
            </w:tcBorders>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-0,7</w:t>
            </w:r>
          </w:p>
        </w:tc>
        <w:tc>
          <w:tcPr>
            <w:tcW w:w="926" w:type="pct"/>
            <w:tcBorders>
              <w:top w:val="single" w:sz="4" w:space="0" w:color="auto"/>
              <w:left w:val="single" w:sz="4" w:space="0" w:color="auto"/>
              <w:bottom w:val="single" w:sz="4" w:space="0" w:color="auto"/>
              <w:right w:val="single" w:sz="4" w:space="0" w:color="auto"/>
            </w:tcBorders>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-0,7</w:t>
            </w:r>
          </w:p>
        </w:tc>
        <w:tc>
          <w:tcPr>
            <w:tcW w:w="727" w:type="pct"/>
            <w:tcBorders>
              <w:top w:val="single" w:sz="4" w:space="0" w:color="auto"/>
              <w:left w:val="single" w:sz="4" w:space="0" w:color="auto"/>
              <w:bottom w:val="single" w:sz="4" w:space="0" w:color="auto"/>
              <w:right w:val="single" w:sz="4" w:space="0" w:color="auto"/>
            </w:tcBorders>
            <w:vAlign w:val="center"/>
          </w:tcPr>
          <w:p w:rsidR="00B66AA0" w:rsidRPr="00162588" w:rsidRDefault="00B66AA0" w:rsidP="00DC71B8">
            <w:pPr>
              <w:jc w:val="center"/>
              <w:rPr>
                <w:rFonts w:ascii="Times New Roman" w:hAnsi="Times New Roman" w:cs="Times New Roman"/>
                <w:color w:val="000000"/>
              </w:rPr>
            </w:pPr>
            <w:r w:rsidRPr="00162588">
              <w:rPr>
                <w:rFonts w:ascii="Times New Roman" w:hAnsi="Times New Roman" w:cs="Times New Roman"/>
                <w:color w:val="000000"/>
              </w:rPr>
              <w:t>-0,3</w:t>
            </w:r>
          </w:p>
        </w:tc>
      </w:tr>
    </w:tbl>
    <w:p w:rsidR="00B66AA0" w:rsidRPr="00093882" w:rsidRDefault="00B66AA0" w:rsidP="00B66AA0">
      <w:pPr>
        <w:jc w:val="both"/>
        <w:rPr>
          <w:rFonts w:ascii="Times New Roman" w:hAnsi="Times New Roman" w:cs="Times New Roman"/>
          <w:i/>
          <w:sz w:val="24"/>
          <w:szCs w:val="24"/>
        </w:rPr>
      </w:pPr>
      <w:r w:rsidRPr="00093882">
        <w:rPr>
          <w:rFonts w:ascii="Times New Roman" w:hAnsi="Times New Roman" w:cs="Times New Roman"/>
          <w:i/>
          <w:sz w:val="24"/>
          <w:szCs w:val="24"/>
        </w:rPr>
        <w:t xml:space="preserve">Джерело: розрахунки Мінфіну </w:t>
      </w:r>
    </w:p>
    <w:p w:rsidR="00FE46D8" w:rsidRPr="003521E0" w:rsidRDefault="007715F7" w:rsidP="00B66A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FE46D8" w:rsidRPr="003521E0">
        <w:rPr>
          <w:rFonts w:ascii="Times New Roman" w:eastAsia="Times New Roman" w:hAnsi="Times New Roman" w:cs="Times New Roman"/>
          <w:sz w:val="24"/>
          <w:szCs w:val="24"/>
          <w:lang w:eastAsia="ru-RU"/>
        </w:rPr>
        <w:t>відслідковування та мінімізації впливу макроекономічних ризиків на бюджет статтею 52 Бюджетного кодексу України передбачений механізм проведення оцінки відповідності основних макроекономічних показників показникам, врахованим у розрахунках бюджету</w:t>
      </w:r>
      <w:r>
        <w:rPr>
          <w:rFonts w:ascii="Times New Roman" w:eastAsia="Times New Roman" w:hAnsi="Times New Roman" w:cs="Times New Roman"/>
          <w:sz w:val="24"/>
          <w:szCs w:val="24"/>
          <w:lang w:eastAsia="ru-RU"/>
        </w:rPr>
        <w:t xml:space="preserve">. Зокрема, визначено підстави для </w:t>
      </w:r>
      <w:r w:rsidR="00FE46D8" w:rsidRPr="003521E0">
        <w:rPr>
          <w:rFonts w:ascii="Times New Roman" w:eastAsia="Times New Roman" w:hAnsi="Times New Roman" w:cs="Times New Roman"/>
          <w:sz w:val="24"/>
          <w:szCs w:val="24"/>
          <w:lang w:eastAsia="ru-RU"/>
        </w:rPr>
        <w:t>внесення змін до бюджету у разі відхилення основних макроекономічних показників від прогнозу.</w:t>
      </w:r>
    </w:p>
    <w:p w:rsidR="009053AF" w:rsidRDefault="009053AF" w:rsidP="009053AF">
      <w:pPr>
        <w:ind w:left="567" w:right="947"/>
        <w:jc w:val="both"/>
        <w:rPr>
          <w:rFonts w:ascii="Times New Roman" w:hAnsi="Times New Roman" w:cs="Times New Roman"/>
          <w:sz w:val="24"/>
          <w:szCs w:val="24"/>
        </w:rPr>
      </w:pPr>
    </w:p>
    <w:p w:rsidR="00E119D3" w:rsidRPr="00594FDE" w:rsidRDefault="00E30AEA" w:rsidP="00594FDE">
      <w:pPr>
        <w:pStyle w:val="1"/>
        <w:spacing w:after="120"/>
        <w:jc w:val="center"/>
        <w:rPr>
          <w:b/>
          <w:sz w:val="28"/>
        </w:rPr>
      </w:pPr>
      <w:bookmarkStart w:id="8" w:name="_Toc19289903"/>
      <w:r w:rsidRPr="00594FDE">
        <w:rPr>
          <w:b/>
          <w:sz w:val="28"/>
        </w:rPr>
        <w:t xml:space="preserve">ФІСКАЛЬНІ РИЗИКИ, ПОВ’ЯЗАНІ ІЗ </w:t>
      </w:r>
      <w:r w:rsidR="00541F9A" w:rsidRPr="00594FDE">
        <w:rPr>
          <w:b/>
          <w:sz w:val="28"/>
        </w:rPr>
        <w:t xml:space="preserve">УПРАВЛІННЯМ </w:t>
      </w:r>
      <w:r w:rsidR="00E119D3" w:rsidRPr="00594FDE">
        <w:rPr>
          <w:b/>
          <w:sz w:val="28"/>
        </w:rPr>
        <w:t>ДЕРЖАВНИ</w:t>
      </w:r>
      <w:r w:rsidRPr="00594FDE">
        <w:rPr>
          <w:b/>
          <w:sz w:val="28"/>
        </w:rPr>
        <w:t>М</w:t>
      </w:r>
      <w:r w:rsidR="00E119D3" w:rsidRPr="00594FDE">
        <w:rPr>
          <w:b/>
          <w:sz w:val="28"/>
        </w:rPr>
        <w:t xml:space="preserve"> БОРГ</w:t>
      </w:r>
      <w:r w:rsidRPr="00594FDE">
        <w:rPr>
          <w:b/>
          <w:sz w:val="28"/>
        </w:rPr>
        <w:t>ОМ</w:t>
      </w:r>
      <w:r w:rsidR="00E119D3" w:rsidRPr="00594FDE">
        <w:rPr>
          <w:b/>
          <w:sz w:val="28"/>
        </w:rPr>
        <w:t xml:space="preserve"> ТА ГАРАНТОВАНИ</w:t>
      </w:r>
      <w:r w:rsidRPr="00594FDE">
        <w:rPr>
          <w:b/>
          <w:sz w:val="28"/>
        </w:rPr>
        <w:t>М</w:t>
      </w:r>
      <w:r w:rsidR="00E119D3" w:rsidRPr="00594FDE">
        <w:rPr>
          <w:b/>
          <w:sz w:val="28"/>
        </w:rPr>
        <w:t xml:space="preserve"> ДЕРЖАВОЮ БОРГ</w:t>
      </w:r>
      <w:r w:rsidRPr="00594FDE">
        <w:rPr>
          <w:b/>
          <w:sz w:val="28"/>
        </w:rPr>
        <w:t>ОМ</w:t>
      </w:r>
      <w:bookmarkEnd w:id="8"/>
    </w:p>
    <w:p w:rsidR="00FB7828" w:rsidRPr="00541F9A" w:rsidRDefault="00ED22E5" w:rsidP="001D4F6F">
      <w:pPr>
        <w:pStyle w:val="ae"/>
        <w:spacing w:before="0" w:beforeAutospacing="0" w:after="0" w:afterAutospacing="0"/>
        <w:ind w:firstLine="567"/>
        <w:jc w:val="both"/>
        <w:rPr>
          <w:lang w:val="uk-UA"/>
        </w:rPr>
      </w:pPr>
      <w:r>
        <w:rPr>
          <w:lang w:val="uk-UA"/>
        </w:rPr>
        <w:t xml:space="preserve">Впровадження виваженої фіскальної політики та підвищення ефективності управління державним боргом </w:t>
      </w:r>
      <w:r w:rsidR="00FB7828" w:rsidRPr="00541F9A">
        <w:rPr>
          <w:lang w:val="uk-UA"/>
        </w:rPr>
        <w:t>позитивно вплинул</w:t>
      </w:r>
      <w:r>
        <w:rPr>
          <w:lang w:val="uk-UA"/>
        </w:rPr>
        <w:t>и</w:t>
      </w:r>
      <w:r w:rsidR="00FB7828" w:rsidRPr="00541F9A">
        <w:rPr>
          <w:lang w:val="uk-UA"/>
        </w:rPr>
        <w:t xml:space="preserve"> на динаміку боргу. Станом на кінець 2018 року відношення державного боргу до ВВП склало близько 52,3%, а державного та гарантованого державою боргу до ВВП – 60,9%. </w:t>
      </w:r>
    </w:p>
    <w:p w:rsidR="00ED22E5" w:rsidRDefault="00FB7828" w:rsidP="001D4F6F">
      <w:pPr>
        <w:pStyle w:val="ae"/>
        <w:spacing w:before="0" w:beforeAutospacing="0" w:after="0" w:afterAutospacing="0"/>
        <w:ind w:firstLine="567"/>
        <w:jc w:val="both"/>
        <w:rPr>
          <w:lang w:val="uk-UA"/>
        </w:rPr>
      </w:pPr>
      <w:r w:rsidRPr="00541F9A">
        <w:rPr>
          <w:lang w:val="uk-UA"/>
        </w:rPr>
        <w:t>У рамках запровадженого в Україні середньострокового бюджетування, Мінфін щороку розробляє Середньострокову стратегію управління державним боргом (з 2018 року – в оновленому форматі). Очікується, що в результаті визначеного Стратегією плану дій на поточний та наступні три роки відношення боргу до ВВП, що на кінець 2018 року становило 52,3%, не перевищить 43% до кінця 2022 року. Разом з цим, Стратегією передбачено досягнення не тільки кількісних, а і якісних цілей, спрямованих на зниження ризиків державного боргу.</w:t>
      </w:r>
    </w:p>
    <w:p w:rsidR="00ED22E5" w:rsidRDefault="00ED22E5" w:rsidP="005A206C">
      <w:pPr>
        <w:pStyle w:val="af1"/>
        <w:keepNext/>
        <w:spacing w:line="316" w:lineRule="auto"/>
        <w:ind w:left="7920" w:right="-2"/>
        <w:jc w:val="right"/>
        <w:rPr>
          <w:lang w:val="uk-UA"/>
        </w:rPr>
      </w:pPr>
      <w:r w:rsidRPr="004D23F5">
        <w:rPr>
          <w:rFonts w:ascii="Times New Roman" w:hAnsi="Times New Roman" w:cs="Times New Roman"/>
          <w:i/>
          <w:sz w:val="24"/>
          <w:szCs w:val="24"/>
          <w:lang w:val="uk-UA"/>
        </w:rPr>
        <w:t xml:space="preserve">Таблиця </w:t>
      </w:r>
      <w:r w:rsidR="00336EB7">
        <w:rPr>
          <w:rFonts w:ascii="Times New Roman" w:hAnsi="Times New Roman" w:cs="Times New Roman"/>
          <w:i/>
          <w:sz w:val="24"/>
          <w:szCs w:val="24"/>
          <w:lang w:val="uk-UA"/>
        </w:rPr>
        <w:t>1</w:t>
      </w:r>
    </w:p>
    <w:p w:rsidR="00ED22E5" w:rsidRPr="005A0E1F" w:rsidRDefault="00ED22E5" w:rsidP="005A0E1F">
      <w:pPr>
        <w:pStyle w:val="af1"/>
        <w:keepNext/>
        <w:jc w:val="center"/>
        <w:rPr>
          <w:rFonts w:ascii="Times New Roman" w:hAnsi="Times New Roman" w:cs="Times New Roman"/>
          <w:b/>
          <w:sz w:val="24"/>
          <w:szCs w:val="24"/>
          <w:lang w:val="ru-RU"/>
        </w:rPr>
      </w:pPr>
      <w:r w:rsidRPr="005A0E1F">
        <w:rPr>
          <w:rFonts w:ascii="Times New Roman" w:hAnsi="Times New Roman" w:cs="Times New Roman"/>
          <w:b/>
          <w:sz w:val="24"/>
          <w:szCs w:val="24"/>
          <w:lang w:val="uk-UA"/>
        </w:rPr>
        <w:t xml:space="preserve">Основні </w:t>
      </w:r>
      <w:r w:rsidR="005B0A65">
        <w:rPr>
          <w:rFonts w:ascii="Times New Roman" w:hAnsi="Times New Roman" w:cs="Times New Roman"/>
          <w:b/>
          <w:sz w:val="24"/>
          <w:szCs w:val="24"/>
          <w:lang w:val="uk-UA"/>
        </w:rPr>
        <w:t xml:space="preserve">фіскальні </w:t>
      </w:r>
      <w:r w:rsidRPr="005A0E1F">
        <w:rPr>
          <w:rFonts w:ascii="Times New Roman" w:hAnsi="Times New Roman" w:cs="Times New Roman"/>
          <w:b/>
          <w:sz w:val="24"/>
          <w:szCs w:val="24"/>
          <w:lang w:val="uk-UA"/>
        </w:rPr>
        <w:t xml:space="preserve">ризики </w:t>
      </w:r>
      <w:r w:rsidR="005B0A65">
        <w:rPr>
          <w:rFonts w:ascii="Times New Roman" w:hAnsi="Times New Roman" w:cs="Times New Roman"/>
          <w:b/>
          <w:sz w:val="24"/>
          <w:szCs w:val="24"/>
          <w:lang w:val="uk-UA"/>
        </w:rPr>
        <w:t xml:space="preserve">у сфері управління державним боргом </w:t>
      </w:r>
      <w:r w:rsidRPr="005A0E1F">
        <w:rPr>
          <w:rFonts w:ascii="Times New Roman" w:hAnsi="Times New Roman" w:cs="Times New Roman"/>
          <w:b/>
          <w:sz w:val="24"/>
          <w:szCs w:val="24"/>
          <w:lang w:val="uk-UA"/>
        </w:rPr>
        <w:t xml:space="preserve">у 2020 </w:t>
      </w:r>
      <w:r w:rsidR="005B0A65">
        <w:rPr>
          <w:rFonts w:ascii="Times New Roman" w:hAnsi="Times New Roman" w:cs="Times New Roman"/>
          <w:b/>
          <w:sz w:val="24"/>
          <w:szCs w:val="24"/>
          <w:lang w:val="uk-UA"/>
        </w:rPr>
        <w:t>році</w:t>
      </w:r>
    </w:p>
    <w:tbl>
      <w:tblPr>
        <w:tblStyle w:val="3"/>
        <w:tblW w:w="0" w:type="auto"/>
        <w:tblLook w:val="04A0" w:firstRow="1" w:lastRow="0" w:firstColumn="1" w:lastColumn="0" w:noHBand="0" w:noVBand="1"/>
      </w:tblPr>
      <w:tblGrid>
        <w:gridCol w:w="2353"/>
        <w:gridCol w:w="1403"/>
        <w:gridCol w:w="5883"/>
      </w:tblGrid>
      <w:tr w:rsidR="00ED22E5" w:rsidRPr="007529B8" w:rsidTr="005A0E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3" w:type="dxa"/>
            <w:tcBorders>
              <w:right w:val="single" w:sz="8" w:space="0" w:color="9BBB59" w:themeColor="accent3"/>
            </w:tcBorders>
            <w:shd w:val="clear" w:color="auto" w:fill="8DB4E2"/>
          </w:tcPr>
          <w:p w:rsidR="00ED22E5" w:rsidRPr="00CC22F1" w:rsidRDefault="00ED22E5" w:rsidP="007276D6">
            <w:pPr>
              <w:tabs>
                <w:tab w:val="left" w:pos="993"/>
              </w:tabs>
              <w:spacing w:before="60" w:after="60"/>
              <w:jc w:val="center"/>
              <w:rPr>
                <w:rFonts w:ascii="Arial" w:eastAsia="Times New Roman" w:hAnsi="Arial" w:cs="Arial"/>
                <w:color w:val="000000" w:themeColor="text1"/>
                <w:sz w:val="20"/>
                <w:szCs w:val="24"/>
                <w:lang w:eastAsia="uk-UA"/>
              </w:rPr>
            </w:pPr>
            <w:r w:rsidRPr="00CC22F1">
              <w:rPr>
                <w:rFonts w:ascii="Arial" w:eastAsia="Times New Roman" w:hAnsi="Arial" w:cs="Arial"/>
                <w:color w:val="000000" w:themeColor="text1"/>
                <w:sz w:val="20"/>
                <w:szCs w:val="24"/>
                <w:lang w:eastAsia="uk-UA"/>
              </w:rPr>
              <w:t>Вид ризику</w:t>
            </w:r>
          </w:p>
        </w:tc>
        <w:tc>
          <w:tcPr>
            <w:tcW w:w="1403" w:type="dxa"/>
            <w:tcBorders>
              <w:left w:val="single" w:sz="8" w:space="0" w:color="9BBB59" w:themeColor="accent3"/>
              <w:right w:val="single" w:sz="8" w:space="0" w:color="9BBB59" w:themeColor="accent3"/>
            </w:tcBorders>
            <w:shd w:val="clear" w:color="auto" w:fill="8DB4E2"/>
          </w:tcPr>
          <w:p w:rsidR="00ED22E5" w:rsidRPr="00CC22F1" w:rsidRDefault="00ED22E5" w:rsidP="007276D6">
            <w:pPr>
              <w:tabs>
                <w:tab w:val="left" w:pos="993"/>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CC22F1">
              <w:rPr>
                <w:rFonts w:ascii="Arial" w:eastAsia="Times New Roman" w:hAnsi="Arial" w:cs="Arial"/>
                <w:color w:val="000000" w:themeColor="text1"/>
                <w:sz w:val="20"/>
                <w:szCs w:val="24"/>
                <w:lang w:eastAsia="uk-UA"/>
              </w:rPr>
              <w:t>Оцінка</w:t>
            </w:r>
          </w:p>
        </w:tc>
        <w:tc>
          <w:tcPr>
            <w:tcW w:w="5883" w:type="dxa"/>
            <w:tcBorders>
              <w:left w:val="single" w:sz="8" w:space="0" w:color="9BBB59" w:themeColor="accent3"/>
            </w:tcBorders>
            <w:shd w:val="clear" w:color="auto" w:fill="8DB4E2"/>
          </w:tcPr>
          <w:p w:rsidR="00ED22E5" w:rsidRPr="00CC22F1" w:rsidRDefault="00ED22E5" w:rsidP="007276D6">
            <w:pPr>
              <w:tabs>
                <w:tab w:val="left" w:pos="993"/>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CC22F1">
              <w:rPr>
                <w:rFonts w:ascii="Arial" w:eastAsia="Times New Roman" w:hAnsi="Arial" w:cs="Arial"/>
                <w:color w:val="000000" w:themeColor="text1"/>
                <w:sz w:val="20"/>
                <w:szCs w:val="24"/>
                <w:lang w:eastAsia="uk-UA"/>
              </w:rPr>
              <w:t>Опис</w:t>
            </w:r>
          </w:p>
        </w:tc>
      </w:tr>
      <w:tr w:rsidR="00ED22E5" w:rsidRPr="007529B8" w:rsidTr="0072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Borders>
              <w:right w:val="single" w:sz="8" w:space="0" w:color="9BBB59" w:themeColor="accent3"/>
            </w:tcBorders>
            <w:shd w:val="clear" w:color="auto" w:fill="FFFFFF" w:themeFill="background1"/>
          </w:tcPr>
          <w:p w:rsidR="00ED22E5" w:rsidRPr="004425B2" w:rsidRDefault="00ED22E5" w:rsidP="007276D6">
            <w:pPr>
              <w:tabs>
                <w:tab w:val="left" w:pos="993"/>
              </w:tabs>
              <w:spacing w:before="60" w:after="6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Бюджетний ризик</w:t>
            </w:r>
          </w:p>
        </w:tc>
        <w:tc>
          <w:tcPr>
            <w:tcW w:w="1403" w:type="dxa"/>
            <w:tcBorders>
              <w:left w:val="single" w:sz="8" w:space="0" w:color="9BBB59" w:themeColor="accent3"/>
              <w:right w:val="single" w:sz="8" w:space="0" w:color="9BBB59" w:themeColor="accent3"/>
            </w:tcBorders>
            <w:shd w:val="clear" w:color="auto" w:fill="FFFFFF" w:themeFill="background1"/>
          </w:tcPr>
          <w:p w:rsidR="00ED22E5" w:rsidRPr="004425B2" w:rsidRDefault="005B1093" w:rsidP="007276D6">
            <w:pPr>
              <w:tabs>
                <w:tab w:val="left" w:pos="993"/>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Pr>
                <w:rFonts w:ascii="Arial" w:eastAsia="Times New Roman" w:hAnsi="Arial" w:cs="Arial"/>
                <w:color w:val="000000" w:themeColor="text1"/>
                <w:sz w:val="20"/>
                <w:szCs w:val="24"/>
                <w:lang w:eastAsia="uk-UA"/>
              </w:rPr>
              <w:t>помірний</w:t>
            </w:r>
          </w:p>
        </w:tc>
        <w:tc>
          <w:tcPr>
            <w:tcW w:w="5883" w:type="dxa"/>
            <w:tcBorders>
              <w:left w:val="single" w:sz="8" w:space="0" w:color="9BBB59" w:themeColor="accent3"/>
            </w:tcBorders>
            <w:shd w:val="clear" w:color="auto" w:fill="FFFFFF" w:themeFill="background1"/>
          </w:tcPr>
          <w:p w:rsidR="00ED22E5" w:rsidRPr="004425B2" w:rsidRDefault="00ED22E5" w:rsidP="007276D6">
            <w:pPr>
              <w:tabs>
                <w:tab w:val="left" w:pos="993"/>
              </w:tabs>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Може реалізуватись через збільшення річного планового показника дефіциту державного бюджету та невиконання плану надходжень від приватизації державного майна.</w:t>
            </w:r>
          </w:p>
        </w:tc>
      </w:tr>
      <w:tr w:rsidR="00ED22E5" w:rsidRPr="007529B8" w:rsidTr="007276D6">
        <w:tc>
          <w:tcPr>
            <w:cnfStyle w:val="001000000000" w:firstRow="0" w:lastRow="0" w:firstColumn="1" w:lastColumn="0" w:oddVBand="0" w:evenVBand="0" w:oddHBand="0" w:evenHBand="0" w:firstRowFirstColumn="0" w:firstRowLastColumn="0" w:lastRowFirstColumn="0" w:lastRowLastColumn="0"/>
            <w:tcW w:w="2353" w:type="dxa"/>
            <w:tcBorders>
              <w:right w:val="single" w:sz="8" w:space="0" w:color="9BBB59" w:themeColor="accent3"/>
            </w:tcBorders>
            <w:shd w:val="clear" w:color="auto" w:fill="DBE5F1" w:themeFill="accent1" w:themeFillTint="33"/>
          </w:tcPr>
          <w:p w:rsidR="00ED22E5" w:rsidRPr="004425B2" w:rsidRDefault="00ED22E5" w:rsidP="007276D6">
            <w:pPr>
              <w:tabs>
                <w:tab w:val="left" w:pos="993"/>
              </w:tabs>
              <w:spacing w:before="60" w:after="6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Валютний ризик</w:t>
            </w:r>
          </w:p>
        </w:tc>
        <w:tc>
          <w:tcPr>
            <w:tcW w:w="1403" w:type="dxa"/>
            <w:tcBorders>
              <w:left w:val="single" w:sz="8" w:space="0" w:color="9BBB59" w:themeColor="accent3"/>
              <w:right w:val="single" w:sz="8" w:space="0" w:color="9BBB59" w:themeColor="accent3"/>
            </w:tcBorders>
            <w:shd w:val="clear" w:color="auto" w:fill="DBE5F1" w:themeFill="accent1" w:themeFillTint="33"/>
          </w:tcPr>
          <w:p w:rsidR="00ED22E5" w:rsidRPr="004425B2" w:rsidRDefault="00ED22E5" w:rsidP="007276D6">
            <w:pPr>
              <w:tabs>
                <w:tab w:val="left" w:pos="993"/>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значний</w:t>
            </w:r>
          </w:p>
        </w:tc>
        <w:tc>
          <w:tcPr>
            <w:tcW w:w="5883" w:type="dxa"/>
            <w:tcBorders>
              <w:left w:val="single" w:sz="8" w:space="0" w:color="9BBB59" w:themeColor="accent3"/>
            </w:tcBorders>
            <w:shd w:val="clear" w:color="auto" w:fill="DBE5F1" w:themeFill="accent1" w:themeFillTint="33"/>
          </w:tcPr>
          <w:p w:rsidR="00ED22E5" w:rsidRPr="004425B2" w:rsidRDefault="00ED22E5" w:rsidP="007276D6">
            <w:pPr>
              <w:tabs>
                <w:tab w:val="left" w:pos="993"/>
              </w:tabs>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Темпи девальвації національної валюти очікуються помірні, однак питома вага державного боргу в іноземній валюті, що перевищує 60%, все ще демонструє значний валютний ризик.</w:t>
            </w:r>
          </w:p>
        </w:tc>
      </w:tr>
      <w:tr w:rsidR="00ED22E5" w:rsidRPr="007529B8" w:rsidTr="00727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Borders>
              <w:right w:val="single" w:sz="8" w:space="0" w:color="9BBB59" w:themeColor="accent3"/>
            </w:tcBorders>
            <w:shd w:val="clear" w:color="auto" w:fill="FFFFFF" w:themeFill="background1"/>
          </w:tcPr>
          <w:p w:rsidR="00ED22E5" w:rsidRPr="004425B2" w:rsidRDefault="00ED22E5" w:rsidP="007276D6">
            <w:pPr>
              <w:tabs>
                <w:tab w:val="left" w:pos="993"/>
              </w:tabs>
              <w:spacing w:before="60" w:after="6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Відсотковий ризик</w:t>
            </w:r>
          </w:p>
        </w:tc>
        <w:tc>
          <w:tcPr>
            <w:tcW w:w="1403" w:type="dxa"/>
            <w:tcBorders>
              <w:left w:val="single" w:sz="8" w:space="0" w:color="9BBB59" w:themeColor="accent3"/>
              <w:right w:val="single" w:sz="8" w:space="0" w:color="9BBB59" w:themeColor="accent3"/>
            </w:tcBorders>
            <w:shd w:val="clear" w:color="auto" w:fill="FFFFFF" w:themeFill="background1"/>
          </w:tcPr>
          <w:p w:rsidR="00ED22E5" w:rsidRPr="004425B2" w:rsidRDefault="00ED22E5" w:rsidP="007276D6">
            <w:pPr>
              <w:tabs>
                <w:tab w:val="left" w:pos="993"/>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низький</w:t>
            </w:r>
          </w:p>
        </w:tc>
        <w:tc>
          <w:tcPr>
            <w:tcW w:w="5883" w:type="dxa"/>
            <w:tcBorders>
              <w:left w:val="single" w:sz="8" w:space="0" w:color="9BBB59" w:themeColor="accent3"/>
            </w:tcBorders>
            <w:shd w:val="clear" w:color="auto" w:fill="FFFFFF" w:themeFill="background1"/>
          </w:tcPr>
          <w:p w:rsidR="00ED22E5" w:rsidRPr="004425B2" w:rsidRDefault="00ED22E5" w:rsidP="007276D6">
            <w:pPr>
              <w:tabs>
                <w:tab w:val="left" w:pos="993"/>
              </w:tabs>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Частка державного боргу з фіксованою ставкою очікується на рівні не менше 70 відсотків (на кінець 2018 року становила 74,4%).</w:t>
            </w:r>
          </w:p>
        </w:tc>
      </w:tr>
      <w:tr w:rsidR="00ED22E5" w:rsidRPr="007529B8" w:rsidTr="005A0E1F">
        <w:tc>
          <w:tcPr>
            <w:cnfStyle w:val="001000000000" w:firstRow="0" w:lastRow="0" w:firstColumn="1" w:lastColumn="0" w:oddVBand="0" w:evenVBand="0" w:oddHBand="0" w:evenHBand="0" w:firstRowFirstColumn="0" w:firstRowLastColumn="0" w:lastRowFirstColumn="0" w:lastRowLastColumn="0"/>
            <w:tcW w:w="2353" w:type="dxa"/>
            <w:tcBorders>
              <w:bottom w:val="nil"/>
              <w:right w:val="single" w:sz="8" w:space="0" w:color="9BBB59" w:themeColor="accent3"/>
            </w:tcBorders>
            <w:shd w:val="clear" w:color="auto" w:fill="DBE5F1" w:themeFill="accent1" w:themeFillTint="33"/>
          </w:tcPr>
          <w:p w:rsidR="00ED22E5" w:rsidRPr="004425B2" w:rsidRDefault="00ED22E5" w:rsidP="007276D6">
            <w:pPr>
              <w:tabs>
                <w:tab w:val="left" w:pos="993"/>
              </w:tabs>
              <w:spacing w:before="60" w:after="6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Ризик ліквідності</w:t>
            </w:r>
          </w:p>
        </w:tc>
        <w:tc>
          <w:tcPr>
            <w:tcW w:w="1403" w:type="dxa"/>
            <w:tcBorders>
              <w:left w:val="single" w:sz="8" w:space="0" w:color="9BBB59" w:themeColor="accent3"/>
              <w:bottom w:val="nil"/>
              <w:right w:val="single" w:sz="8" w:space="0" w:color="9BBB59" w:themeColor="accent3"/>
            </w:tcBorders>
            <w:shd w:val="clear" w:color="auto" w:fill="DBE5F1" w:themeFill="accent1" w:themeFillTint="33"/>
          </w:tcPr>
          <w:p w:rsidR="00ED22E5" w:rsidRPr="004425B2" w:rsidRDefault="00ED22E5" w:rsidP="007276D6">
            <w:pPr>
              <w:tabs>
                <w:tab w:val="left" w:pos="993"/>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помірний</w:t>
            </w:r>
          </w:p>
        </w:tc>
        <w:tc>
          <w:tcPr>
            <w:tcW w:w="5883" w:type="dxa"/>
            <w:tcBorders>
              <w:left w:val="single" w:sz="8" w:space="0" w:color="9BBB59" w:themeColor="accent3"/>
              <w:bottom w:val="nil"/>
            </w:tcBorders>
            <w:shd w:val="clear" w:color="auto" w:fill="DBE5F1" w:themeFill="accent1" w:themeFillTint="33"/>
          </w:tcPr>
          <w:p w:rsidR="00ED22E5" w:rsidRPr="004425B2" w:rsidRDefault="00ED22E5" w:rsidP="007276D6">
            <w:pPr>
              <w:tabs>
                <w:tab w:val="left" w:pos="993"/>
              </w:tabs>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Очікується, що залишок коштів на єдиному казначейському рахунку дозволятиме вчасно проводити платежі за державним боргом, а обсяг міжнародних резервів України буде достатнім для виконання зобов’язань України та поточних операцій Уряду і НБУ.</w:t>
            </w:r>
          </w:p>
        </w:tc>
      </w:tr>
      <w:tr w:rsidR="00ED22E5" w:rsidRPr="007529B8" w:rsidTr="005A0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Borders>
              <w:top w:val="nil"/>
              <w:bottom w:val="single" w:sz="4" w:space="0" w:color="auto"/>
              <w:right w:val="single" w:sz="8" w:space="0" w:color="9BBB59" w:themeColor="accent3"/>
            </w:tcBorders>
            <w:shd w:val="clear" w:color="auto" w:fill="FFFFFF" w:themeFill="background1"/>
          </w:tcPr>
          <w:p w:rsidR="00ED22E5" w:rsidRPr="004425B2" w:rsidRDefault="00ED22E5" w:rsidP="007276D6">
            <w:pPr>
              <w:tabs>
                <w:tab w:val="left" w:pos="993"/>
              </w:tabs>
              <w:spacing w:before="60" w:after="6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Ризик рефінансування</w:t>
            </w:r>
          </w:p>
        </w:tc>
        <w:tc>
          <w:tcPr>
            <w:tcW w:w="1403" w:type="dxa"/>
            <w:tcBorders>
              <w:top w:val="nil"/>
              <w:left w:val="single" w:sz="8" w:space="0" w:color="9BBB59" w:themeColor="accent3"/>
              <w:bottom w:val="single" w:sz="4" w:space="0" w:color="auto"/>
              <w:right w:val="single" w:sz="8" w:space="0" w:color="9BBB59" w:themeColor="accent3"/>
            </w:tcBorders>
            <w:shd w:val="clear" w:color="auto" w:fill="FFFFFF" w:themeFill="background1"/>
          </w:tcPr>
          <w:p w:rsidR="00ED22E5" w:rsidRPr="004425B2" w:rsidRDefault="00ED22E5" w:rsidP="007276D6">
            <w:pPr>
              <w:tabs>
                <w:tab w:val="left" w:pos="993"/>
              </w:tabs>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значний</w:t>
            </w:r>
          </w:p>
        </w:tc>
        <w:tc>
          <w:tcPr>
            <w:tcW w:w="5883" w:type="dxa"/>
            <w:tcBorders>
              <w:top w:val="nil"/>
              <w:left w:val="single" w:sz="8" w:space="0" w:color="9BBB59" w:themeColor="accent3"/>
              <w:bottom w:val="single" w:sz="4" w:space="0" w:color="auto"/>
            </w:tcBorders>
            <w:shd w:val="clear" w:color="auto" w:fill="FFFFFF" w:themeFill="background1"/>
          </w:tcPr>
          <w:p w:rsidR="00ED22E5" w:rsidRPr="004425B2" w:rsidRDefault="00ED22E5" w:rsidP="007276D6">
            <w:pPr>
              <w:tabs>
                <w:tab w:val="left" w:pos="993"/>
              </w:tabs>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4"/>
                <w:lang w:eastAsia="uk-UA"/>
              </w:rPr>
            </w:pPr>
            <w:r w:rsidRPr="004425B2">
              <w:rPr>
                <w:rFonts w:ascii="Arial" w:eastAsia="Times New Roman" w:hAnsi="Arial" w:cs="Arial"/>
                <w:color w:val="000000" w:themeColor="text1"/>
                <w:sz w:val="20"/>
                <w:szCs w:val="24"/>
                <w:lang w:eastAsia="uk-UA"/>
              </w:rPr>
              <w:t>Значне навантаження за борговими платежами все ще припадає на 2019 - 2022 роки внаслідок необхідності погашення державного боргу перед МВФ та за частиною випусків ОЗДП, а також у зв’язку зі значними обсягами випуску короткострокових ОВДП 2018-2019 років.</w:t>
            </w:r>
          </w:p>
        </w:tc>
      </w:tr>
    </w:tbl>
    <w:p w:rsidR="00FB7828" w:rsidRPr="00541F9A" w:rsidRDefault="00FB7828" w:rsidP="001D4F6F">
      <w:pPr>
        <w:pStyle w:val="ae"/>
        <w:spacing w:before="0" w:beforeAutospacing="0" w:after="0" w:afterAutospacing="0"/>
        <w:ind w:firstLine="567"/>
        <w:jc w:val="both"/>
        <w:rPr>
          <w:lang w:val="uk-UA"/>
        </w:rPr>
      </w:pPr>
    </w:p>
    <w:p w:rsidR="00FB7828" w:rsidRPr="00541F9A" w:rsidRDefault="00FB7828" w:rsidP="001D4F6F">
      <w:pPr>
        <w:pStyle w:val="ae"/>
        <w:spacing w:before="0" w:beforeAutospacing="0" w:after="0" w:afterAutospacing="0"/>
        <w:ind w:firstLine="567"/>
        <w:jc w:val="both"/>
        <w:rPr>
          <w:lang w:val="uk-UA"/>
        </w:rPr>
      </w:pPr>
      <w:r w:rsidRPr="00541F9A">
        <w:rPr>
          <w:lang w:val="uk-UA"/>
        </w:rPr>
        <w:t xml:space="preserve">Мінфін робить </w:t>
      </w:r>
      <w:r w:rsidR="005B0A65">
        <w:rPr>
          <w:lang w:val="uk-UA"/>
        </w:rPr>
        <w:t xml:space="preserve">такі </w:t>
      </w:r>
      <w:r w:rsidRPr="00541F9A">
        <w:rPr>
          <w:lang w:val="uk-UA"/>
        </w:rPr>
        <w:t xml:space="preserve">кроки по мінімізації </w:t>
      </w:r>
      <w:r w:rsidR="0061231D">
        <w:rPr>
          <w:lang w:val="uk-UA"/>
        </w:rPr>
        <w:t>найбільш критичних</w:t>
      </w:r>
      <w:r w:rsidR="0061231D" w:rsidRPr="00541F9A">
        <w:rPr>
          <w:lang w:val="uk-UA"/>
        </w:rPr>
        <w:t xml:space="preserve"> </w:t>
      </w:r>
      <w:r w:rsidRPr="00541F9A">
        <w:rPr>
          <w:lang w:val="uk-UA"/>
        </w:rPr>
        <w:t xml:space="preserve">ризиків: </w:t>
      </w:r>
    </w:p>
    <w:p w:rsidR="00FB7828" w:rsidRPr="00541F9A" w:rsidRDefault="00FB7828" w:rsidP="001D4F6F">
      <w:pPr>
        <w:pStyle w:val="ae"/>
        <w:spacing w:before="0" w:beforeAutospacing="0" w:after="0" w:afterAutospacing="0"/>
        <w:ind w:firstLine="567"/>
        <w:jc w:val="both"/>
        <w:rPr>
          <w:lang w:val="uk-UA"/>
        </w:rPr>
      </w:pPr>
      <w:r w:rsidRPr="00541F9A">
        <w:rPr>
          <w:lang w:val="uk-UA"/>
        </w:rPr>
        <w:t>• розвит</w:t>
      </w:r>
      <w:r w:rsidR="005B1093">
        <w:rPr>
          <w:lang w:val="uk-UA"/>
        </w:rPr>
        <w:t>о</w:t>
      </w:r>
      <w:r w:rsidRPr="00541F9A">
        <w:rPr>
          <w:lang w:val="uk-UA"/>
        </w:rPr>
        <w:t xml:space="preserve">к внутрішнього ринку державних цінних паперів; </w:t>
      </w:r>
    </w:p>
    <w:p w:rsidR="00FB7828" w:rsidRPr="00541F9A" w:rsidRDefault="00FB7828" w:rsidP="001D4F6F">
      <w:pPr>
        <w:pStyle w:val="ae"/>
        <w:spacing w:before="0" w:beforeAutospacing="0" w:after="0" w:afterAutospacing="0"/>
        <w:ind w:firstLine="567"/>
        <w:jc w:val="both"/>
        <w:rPr>
          <w:lang w:val="uk-UA"/>
        </w:rPr>
      </w:pPr>
      <w:r w:rsidRPr="00541F9A">
        <w:rPr>
          <w:lang w:val="uk-UA"/>
        </w:rPr>
        <w:t>• рефінансування шляхом залучення нових запозичень з довшим строком до погашення, що зменшить погашення в зазначені роки</w:t>
      </w:r>
      <w:r w:rsidR="0061231D">
        <w:rPr>
          <w:lang w:val="uk-UA"/>
        </w:rPr>
        <w:t xml:space="preserve"> (включно із залученням пільгових запозичень від МФО та ЄС)</w:t>
      </w:r>
      <w:r w:rsidRPr="00541F9A">
        <w:rPr>
          <w:lang w:val="uk-UA"/>
        </w:rPr>
        <w:t xml:space="preserve">; </w:t>
      </w:r>
    </w:p>
    <w:p w:rsidR="00FB7828" w:rsidRPr="00541F9A" w:rsidRDefault="00FB7828" w:rsidP="001D4F6F">
      <w:pPr>
        <w:pStyle w:val="ae"/>
        <w:spacing w:before="0" w:beforeAutospacing="0" w:after="0" w:afterAutospacing="0"/>
        <w:ind w:firstLine="567"/>
        <w:jc w:val="both"/>
        <w:rPr>
          <w:lang w:val="uk-UA"/>
        </w:rPr>
      </w:pPr>
      <w:r w:rsidRPr="00541F9A">
        <w:rPr>
          <w:lang w:val="uk-UA"/>
        </w:rPr>
        <w:t xml:space="preserve">• проведення активних боргових операцій. </w:t>
      </w:r>
    </w:p>
    <w:p w:rsidR="00FB7828" w:rsidRPr="00541F9A" w:rsidRDefault="00FB7828" w:rsidP="001D4F6F">
      <w:pPr>
        <w:pStyle w:val="ae"/>
        <w:spacing w:before="0" w:beforeAutospacing="0" w:after="0" w:afterAutospacing="0"/>
        <w:ind w:firstLine="567"/>
        <w:jc w:val="both"/>
        <w:rPr>
          <w:lang w:val="uk-UA"/>
        </w:rPr>
      </w:pPr>
      <w:r w:rsidRPr="00541F9A">
        <w:rPr>
          <w:lang w:val="uk-UA"/>
        </w:rPr>
        <w:t>Станом на 31.12.2018 року гарантований державою борг становив 308,2 млрд грн, або 8,7</w:t>
      </w:r>
      <w:r w:rsidR="0061231D">
        <w:rPr>
          <w:lang w:val="uk-UA"/>
        </w:rPr>
        <w:t>%</w:t>
      </w:r>
      <w:r w:rsidRPr="00541F9A">
        <w:rPr>
          <w:lang w:val="uk-UA"/>
        </w:rPr>
        <w:t xml:space="preserve"> ВВП. Більшість державних гарантій надаються за зовнішніми позиками, а тому містять валютно-курсові ризики. </w:t>
      </w:r>
    </w:p>
    <w:p w:rsidR="00FB7828" w:rsidRPr="00541F9A" w:rsidRDefault="00FB7828" w:rsidP="001D4F6F">
      <w:pPr>
        <w:pStyle w:val="ae"/>
        <w:spacing w:before="0" w:beforeAutospacing="0" w:after="0" w:afterAutospacing="0"/>
        <w:ind w:firstLine="567"/>
        <w:jc w:val="both"/>
        <w:rPr>
          <w:lang w:val="uk-UA"/>
        </w:rPr>
      </w:pPr>
      <w:r w:rsidRPr="00541F9A">
        <w:rPr>
          <w:lang w:val="uk-UA"/>
        </w:rPr>
        <w:t>Проєктом закону про державний бюджет на 2020 рік передбачаються витрати, пов’язані з виконанням державою гарантійних зобов’язань в сумі 1,4 млрд грн, зокрема стосовно позик, наданих ДП «Лисичанськвугілля» - 635,6 млн грн, ДП «Харківське конструкторське бюро з машинобудування імені О.О. Морозова</w:t>
      </w:r>
      <w:r w:rsidRPr="00651B4F">
        <w:rPr>
          <w:lang w:val="uk-UA"/>
        </w:rPr>
        <w:t>» - 738,1 млн гривень.</w:t>
      </w:r>
      <w:r w:rsidRPr="00541F9A">
        <w:rPr>
          <w:lang w:val="uk-UA"/>
        </w:rPr>
        <w:t xml:space="preserve"> </w:t>
      </w:r>
    </w:p>
    <w:p w:rsidR="00846204" w:rsidRPr="00541F9A" w:rsidRDefault="00FB7828" w:rsidP="001D4F6F">
      <w:pPr>
        <w:pStyle w:val="ae"/>
        <w:spacing w:before="0" w:beforeAutospacing="0" w:after="0" w:afterAutospacing="0"/>
        <w:ind w:firstLine="567"/>
        <w:jc w:val="both"/>
        <w:rPr>
          <w:lang w:val="uk-UA"/>
        </w:rPr>
      </w:pPr>
      <w:r w:rsidRPr="00541F9A">
        <w:rPr>
          <w:lang w:val="uk-UA"/>
        </w:rPr>
        <w:t>У 2020 році на виконання державного бюджету можуть вплинути фіскальні ризики, що спричинені високою часткою витрат за державним боргом. На 2019-2021 роки припадають пікові платежі з погашення та обслуговування державного боргу, в основному через початок погашення ОЗДП, випущених у 2014-2016 роках під гарантію США та у 2015 році внаслідок реструктуризації державного та гарантованого державою зовнішнього боргу, а також через значні платежі за кредитами МФО (в основному перед МВФ) та за ОВДП, номінованими як в національній, так і в іноземних валютах. Ризики державного боргу можуть посилюватись в разі ускладнення доступу України до міжнародних ринків капіталу</w:t>
      </w:r>
      <w:r w:rsidR="006D5772">
        <w:rPr>
          <w:lang w:val="uk-UA"/>
        </w:rPr>
        <w:t>.</w:t>
      </w:r>
    </w:p>
    <w:p w:rsidR="00541F9A" w:rsidRPr="00541F9A" w:rsidRDefault="00541F9A" w:rsidP="00541F9A">
      <w:pPr>
        <w:pStyle w:val="21"/>
        <w:tabs>
          <w:tab w:val="left" w:pos="9781"/>
        </w:tabs>
        <w:spacing w:after="0" w:line="240" w:lineRule="auto"/>
        <w:ind w:left="0" w:firstLine="567"/>
        <w:jc w:val="both"/>
        <w:rPr>
          <w:rFonts w:ascii="Times New Roman" w:hAnsi="Times New Roman" w:cs="Times New Roman"/>
          <w:sz w:val="24"/>
          <w:szCs w:val="24"/>
        </w:rPr>
      </w:pPr>
      <w:r w:rsidRPr="00541F9A">
        <w:rPr>
          <w:rFonts w:ascii="Times New Roman" w:hAnsi="Times New Roman" w:cs="Times New Roman"/>
          <w:sz w:val="24"/>
          <w:szCs w:val="24"/>
        </w:rPr>
        <w:t>Відхилення макроекономічних параметрів, зокрема ВВП та курсу національної валюти по відношенню до іноземних валют, від прогнозних матиме вплив на показники державного боргу та гарантованого державою боргу, оскільки рівень державного та гарантованого державою боргу, дві третини якого номіновано в іноземній валюті, є чутливим до змін валютного курсу та зовнішнього середовища.</w:t>
      </w:r>
    </w:p>
    <w:p w:rsidR="00C510C2" w:rsidRPr="001D4F6F" w:rsidRDefault="00C510C2" w:rsidP="001D4F6F">
      <w:pPr>
        <w:pStyle w:val="ae"/>
        <w:spacing w:before="0" w:beforeAutospacing="0" w:after="0" w:afterAutospacing="0"/>
        <w:ind w:firstLine="567"/>
        <w:jc w:val="both"/>
        <w:rPr>
          <w:lang w:val="uk-UA"/>
        </w:rPr>
      </w:pPr>
      <w:r w:rsidRPr="001D4F6F">
        <w:rPr>
          <w:lang w:val="uk-UA"/>
        </w:rPr>
        <w:t>Також</w:t>
      </w:r>
      <w:r w:rsidR="00284772">
        <w:rPr>
          <w:lang w:val="uk-UA"/>
        </w:rPr>
        <w:t>,</w:t>
      </w:r>
      <w:r w:rsidRPr="001D4F6F">
        <w:rPr>
          <w:lang w:val="uk-UA"/>
        </w:rPr>
        <w:t xml:space="preserve"> у 20</w:t>
      </w:r>
      <w:r w:rsidR="00FE0BD9" w:rsidRPr="001D4F6F">
        <w:rPr>
          <w:lang w:val="uk-UA"/>
        </w:rPr>
        <w:t>20</w:t>
      </w:r>
      <w:r w:rsidRPr="001D4F6F">
        <w:rPr>
          <w:lang w:val="uk-UA"/>
        </w:rPr>
        <w:t xml:space="preserve"> році </w:t>
      </w:r>
      <w:r w:rsidR="005B3A27">
        <w:rPr>
          <w:lang w:val="uk-UA"/>
        </w:rPr>
        <w:t>лишається актуальним</w:t>
      </w:r>
      <w:r w:rsidRPr="001D4F6F">
        <w:rPr>
          <w:lang w:val="uk-UA"/>
        </w:rPr>
        <w:t xml:space="preserve"> потенційний ризик, пов’язаний </w:t>
      </w:r>
      <w:r w:rsidR="00FA17C3">
        <w:rPr>
          <w:lang w:val="uk-UA"/>
        </w:rPr>
        <w:t>зі</w:t>
      </w:r>
      <w:r w:rsidR="00FA17C3" w:rsidRPr="001D4F6F">
        <w:rPr>
          <w:lang w:val="uk-UA"/>
        </w:rPr>
        <w:t xml:space="preserve"> </w:t>
      </w:r>
      <w:r w:rsidRPr="001D4F6F">
        <w:rPr>
          <w:lang w:val="uk-UA"/>
        </w:rPr>
        <w:t>збільшенням обсягу державного боргу, зумовлений необхідністю державної підтримки банківської системи шляхом капіталізації державних банків та Фонду гарантування вкладів фізичних осіб.</w:t>
      </w:r>
    </w:p>
    <w:p w:rsidR="00C510C2" w:rsidRPr="001D4F6F" w:rsidRDefault="00461DB8" w:rsidP="001D4F6F">
      <w:pPr>
        <w:pStyle w:val="ae"/>
        <w:spacing w:before="0" w:beforeAutospacing="0" w:after="0" w:afterAutospacing="0"/>
        <w:ind w:firstLine="567"/>
        <w:jc w:val="both"/>
        <w:rPr>
          <w:lang w:val="uk-UA"/>
        </w:rPr>
      </w:pPr>
      <w:r>
        <w:rPr>
          <w:lang w:val="uk-UA"/>
        </w:rPr>
        <w:t>Крім т</w:t>
      </w:r>
      <w:r w:rsidR="00C510C2" w:rsidRPr="001D4F6F">
        <w:rPr>
          <w:lang w:val="uk-UA"/>
        </w:rPr>
        <w:t xml:space="preserve">ого, </w:t>
      </w:r>
      <w:r w:rsidR="005B3A27">
        <w:rPr>
          <w:lang w:val="uk-UA"/>
        </w:rPr>
        <w:t xml:space="preserve">продовження тенденції </w:t>
      </w:r>
      <w:r w:rsidR="00C510C2" w:rsidRPr="001D4F6F">
        <w:rPr>
          <w:lang w:val="uk-UA"/>
        </w:rPr>
        <w:t>недовиконання плану приватизації у 20</w:t>
      </w:r>
      <w:r w:rsidR="00FE0BD9" w:rsidRPr="001D4F6F">
        <w:rPr>
          <w:lang w:val="uk-UA"/>
        </w:rPr>
        <w:t>20</w:t>
      </w:r>
      <w:r w:rsidR="00C510C2" w:rsidRPr="001D4F6F">
        <w:rPr>
          <w:lang w:val="uk-UA"/>
        </w:rPr>
        <w:t xml:space="preserve"> році матиме ризики зростання обсягу державних запозичень, здійснених з метою заміщення недонадходжень від приватизації, і, як наслідок, обсягу державного боргу та вартості його обслуговування.</w:t>
      </w:r>
    </w:p>
    <w:p w:rsidR="00C510C2" w:rsidRPr="001D4F6F" w:rsidRDefault="00FA17C3" w:rsidP="001D4F6F">
      <w:pPr>
        <w:pStyle w:val="21"/>
        <w:tabs>
          <w:tab w:val="left" w:pos="978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w:t>
      </w:r>
      <w:r w:rsidR="00EE3703" w:rsidRPr="001D4F6F">
        <w:rPr>
          <w:rFonts w:ascii="Times New Roman" w:hAnsi="Times New Roman" w:cs="Times New Roman"/>
          <w:sz w:val="24"/>
          <w:szCs w:val="24"/>
        </w:rPr>
        <w:t xml:space="preserve"> мінімізації фіскальних ризиків, пов’язаних із </w:t>
      </w:r>
      <w:r w:rsidR="00B650F8">
        <w:rPr>
          <w:rFonts w:ascii="Times New Roman" w:hAnsi="Times New Roman" w:cs="Times New Roman"/>
          <w:sz w:val="24"/>
          <w:szCs w:val="24"/>
        </w:rPr>
        <w:t xml:space="preserve">управлінням </w:t>
      </w:r>
      <w:r w:rsidR="00EE3703" w:rsidRPr="001D4F6F">
        <w:rPr>
          <w:rFonts w:ascii="Times New Roman" w:hAnsi="Times New Roman" w:cs="Times New Roman"/>
          <w:sz w:val="24"/>
          <w:szCs w:val="24"/>
        </w:rPr>
        <w:t>державним боргом та гарантованим державою боргом</w:t>
      </w:r>
      <w:r w:rsidR="00124025" w:rsidRPr="001D4F6F">
        <w:rPr>
          <w:rFonts w:ascii="Times New Roman" w:hAnsi="Times New Roman" w:cs="Times New Roman"/>
          <w:sz w:val="24"/>
          <w:szCs w:val="24"/>
        </w:rPr>
        <w:t>,</w:t>
      </w:r>
      <w:r w:rsidR="00EE3703" w:rsidRPr="001D4F6F">
        <w:rPr>
          <w:rFonts w:ascii="Times New Roman" w:hAnsi="Times New Roman" w:cs="Times New Roman"/>
          <w:sz w:val="24"/>
          <w:szCs w:val="24"/>
        </w:rPr>
        <w:t xml:space="preserve"> є необхідним:</w:t>
      </w:r>
    </w:p>
    <w:p w:rsidR="00EE3703" w:rsidRPr="001D4F6F" w:rsidRDefault="00EE3703" w:rsidP="001D4F6F">
      <w:pPr>
        <w:pStyle w:val="21"/>
        <w:numPr>
          <w:ilvl w:val="0"/>
          <w:numId w:val="23"/>
        </w:numPr>
        <w:tabs>
          <w:tab w:val="left" w:pos="9781"/>
        </w:tabs>
        <w:spacing w:after="0" w:line="240" w:lineRule="auto"/>
        <w:ind w:left="714" w:hanging="357"/>
        <w:jc w:val="both"/>
        <w:rPr>
          <w:rFonts w:ascii="Times New Roman" w:hAnsi="Times New Roman" w:cs="Times New Roman"/>
          <w:sz w:val="24"/>
          <w:szCs w:val="24"/>
        </w:rPr>
      </w:pPr>
      <w:r w:rsidRPr="001D4F6F">
        <w:rPr>
          <w:rFonts w:ascii="Times New Roman" w:hAnsi="Times New Roman" w:cs="Times New Roman"/>
          <w:sz w:val="24"/>
          <w:szCs w:val="24"/>
        </w:rPr>
        <w:t>збільшення частки державного боргу у національній валюті;</w:t>
      </w:r>
    </w:p>
    <w:p w:rsidR="00EE3703" w:rsidRPr="001D4F6F" w:rsidRDefault="00EE3703" w:rsidP="001D4F6F">
      <w:pPr>
        <w:pStyle w:val="21"/>
        <w:numPr>
          <w:ilvl w:val="0"/>
          <w:numId w:val="23"/>
        </w:numPr>
        <w:tabs>
          <w:tab w:val="left" w:pos="9781"/>
        </w:tabs>
        <w:spacing w:after="0" w:line="240" w:lineRule="auto"/>
        <w:ind w:left="714" w:hanging="357"/>
        <w:jc w:val="both"/>
        <w:rPr>
          <w:rFonts w:ascii="Times New Roman" w:hAnsi="Times New Roman" w:cs="Times New Roman"/>
          <w:sz w:val="24"/>
          <w:szCs w:val="24"/>
        </w:rPr>
      </w:pPr>
      <w:r w:rsidRPr="001D4F6F">
        <w:rPr>
          <w:rFonts w:ascii="Times New Roman" w:hAnsi="Times New Roman" w:cs="Times New Roman"/>
          <w:sz w:val="24"/>
          <w:szCs w:val="24"/>
        </w:rPr>
        <w:t>продовження середнього строку до погашення і забезпечення рівномірного графіка погашення державного боргу</w:t>
      </w:r>
      <w:r w:rsidR="00124025" w:rsidRPr="001D4F6F">
        <w:rPr>
          <w:rFonts w:ascii="Times New Roman" w:hAnsi="Times New Roman" w:cs="Times New Roman"/>
          <w:sz w:val="24"/>
          <w:szCs w:val="24"/>
        </w:rPr>
        <w:t>;</w:t>
      </w:r>
    </w:p>
    <w:p w:rsidR="00124025" w:rsidRPr="001D4F6F" w:rsidRDefault="005B3A27" w:rsidP="001D4F6F">
      <w:pPr>
        <w:pStyle w:val="21"/>
        <w:numPr>
          <w:ilvl w:val="0"/>
          <w:numId w:val="23"/>
        </w:numPr>
        <w:tabs>
          <w:tab w:val="left" w:pos="9781"/>
        </w:tab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обмеження надання державних гарантій виключно для реалізації інвестиційних проєктів із забезпеченням контролю за їх впровадженням</w:t>
      </w:r>
      <w:r w:rsidR="00124025" w:rsidRPr="001D4F6F">
        <w:rPr>
          <w:rFonts w:ascii="Times New Roman" w:hAnsi="Times New Roman" w:cs="Times New Roman"/>
          <w:sz w:val="24"/>
          <w:szCs w:val="24"/>
        </w:rPr>
        <w:t>;</w:t>
      </w:r>
    </w:p>
    <w:p w:rsidR="00C510C2" w:rsidRPr="001D4F6F" w:rsidRDefault="00124025" w:rsidP="001D4F6F">
      <w:pPr>
        <w:pStyle w:val="21"/>
        <w:numPr>
          <w:ilvl w:val="0"/>
          <w:numId w:val="23"/>
        </w:numPr>
        <w:tabs>
          <w:tab w:val="left" w:pos="9781"/>
        </w:tabs>
        <w:spacing w:after="0" w:line="240" w:lineRule="auto"/>
        <w:ind w:left="714" w:hanging="357"/>
        <w:jc w:val="both"/>
        <w:rPr>
          <w:rFonts w:ascii="Times New Roman" w:hAnsi="Times New Roman" w:cs="Times New Roman"/>
          <w:sz w:val="24"/>
          <w:szCs w:val="24"/>
        </w:rPr>
      </w:pPr>
      <w:r w:rsidRPr="001D4F6F">
        <w:rPr>
          <w:rFonts w:ascii="Times New Roman" w:hAnsi="Times New Roman" w:cs="Times New Roman"/>
          <w:sz w:val="24"/>
          <w:szCs w:val="24"/>
        </w:rPr>
        <w:t>залучення довгострокового пільгового фінансування від міжнародних фінансових організацій, зокрема МВФ, МБРР та ЄС;</w:t>
      </w:r>
    </w:p>
    <w:p w:rsidR="00124025" w:rsidRDefault="00124025" w:rsidP="001D4F6F">
      <w:pPr>
        <w:pStyle w:val="21"/>
        <w:numPr>
          <w:ilvl w:val="0"/>
          <w:numId w:val="23"/>
        </w:numPr>
        <w:tabs>
          <w:tab w:val="left" w:pos="9781"/>
        </w:tabs>
        <w:spacing w:after="0" w:line="240" w:lineRule="auto"/>
        <w:ind w:left="714" w:hanging="357"/>
        <w:jc w:val="both"/>
        <w:rPr>
          <w:rFonts w:ascii="Times New Roman" w:hAnsi="Times New Roman" w:cs="Times New Roman"/>
          <w:sz w:val="24"/>
          <w:szCs w:val="24"/>
        </w:rPr>
      </w:pPr>
      <w:r w:rsidRPr="001D4F6F">
        <w:rPr>
          <w:rFonts w:ascii="Times New Roman" w:hAnsi="Times New Roman" w:cs="Times New Roman"/>
          <w:sz w:val="24"/>
          <w:szCs w:val="24"/>
        </w:rPr>
        <w:t>продовження розвитку системних та довгострокових відносин із інвесторами.</w:t>
      </w:r>
    </w:p>
    <w:p w:rsidR="00802DDA" w:rsidRPr="00594FDE" w:rsidRDefault="00970C0D" w:rsidP="00594FDE">
      <w:pPr>
        <w:pStyle w:val="1"/>
        <w:spacing w:after="120"/>
        <w:jc w:val="center"/>
        <w:rPr>
          <w:b/>
          <w:sz w:val="28"/>
        </w:rPr>
      </w:pPr>
      <w:bookmarkStart w:id="9" w:name="_Toc19289904"/>
      <w:r w:rsidRPr="00594FDE">
        <w:rPr>
          <w:b/>
          <w:sz w:val="28"/>
        </w:rPr>
        <w:t xml:space="preserve">ФІСКАЛЬНІ РИЗИКИ, ПОВ’ЯЗАНІ ІЗ ДІЯЛЬНІСТЮ </w:t>
      </w:r>
      <w:r w:rsidR="00802DDA" w:rsidRPr="00594FDE">
        <w:rPr>
          <w:b/>
          <w:sz w:val="28"/>
        </w:rPr>
        <w:t>СУБ’ЄКТ</w:t>
      </w:r>
      <w:r w:rsidRPr="00594FDE">
        <w:rPr>
          <w:b/>
          <w:sz w:val="28"/>
        </w:rPr>
        <w:t>ІВ</w:t>
      </w:r>
      <w:r w:rsidR="00802DDA" w:rsidRPr="00594FDE">
        <w:rPr>
          <w:b/>
          <w:sz w:val="28"/>
        </w:rPr>
        <w:t xml:space="preserve"> ГОСПОДАРЮВАННЯ ДЕРЖАВНОГО СЕКТОРУ ЕКОНОМІКИ</w:t>
      </w:r>
      <w:bookmarkEnd w:id="9"/>
    </w:p>
    <w:p w:rsidR="00B979FE" w:rsidRPr="007A06C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Оцінювання фіскальних ризиків діяльності суб’єктів господарювання здійснюється Міністерством фінансів України відповідно до Методики оцінювання фіскальних ризиків, пов’язаних з діяльністю суб’єктів господарювання державного сектору економіки, затвердженої постановою Кабінету Міністрів України від 11.01.</w:t>
      </w:r>
      <w:r w:rsidRPr="007A06CE">
        <w:rPr>
          <w:rFonts w:ascii="Times New Roman" w:eastAsia="Times New Roman" w:hAnsi="Times New Roman" w:cs="Times New Roman"/>
          <w:color w:val="000000"/>
          <w:sz w:val="24"/>
          <w:szCs w:val="24"/>
          <w:lang w:eastAsia="ru-RU"/>
        </w:rPr>
        <w:t>2017 № 7 (далі – Методика).</w:t>
      </w:r>
    </w:p>
    <w:p w:rsidR="00B979FE" w:rsidRPr="000114E9"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sidRPr="007A06CE">
        <w:rPr>
          <w:rFonts w:ascii="Times New Roman" w:eastAsia="Times New Roman" w:hAnsi="Times New Roman" w:cs="Times New Roman"/>
          <w:color w:val="000000"/>
          <w:sz w:val="24"/>
          <w:szCs w:val="24"/>
          <w:lang w:eastAsia="ru-RU"/>
        </w:rPr>
        <w:t>Міністерством фінансів України відповідно до вимог Методики визначений перелік із 20 суб’єктів господарювання, з якими можуть бути пов’язані найбільші фіскальні ризики (далі – Перелік)</w:t>
      </w:r>
      <w:r>
        <w:rPr>
          <w:rFonts w:ascii="Times New Roman" w:eastAsia="Times New Roman" w:hAnsi="Times New Roman" w:cs="Times New Roman"/>
          <w:color w:val="000000"/>
          <w:sz w:val="24"/>
          <w:szCs w:val="24"/>
          <w:lang w:eastAsia="ru-RU"/>
        </w:rPr>
        <w:t>,</w:t>
      </w:r>
      <w:r w:rsidRPr="007A06CE">
        <w:rPr>
          <w:rFonts w:ascii="Times New Roman" w:eastAsia="Times New Roman" w:hAnsi="Times New Roman" w:cs="Times New Roman"/>
          <w:color w:val="000000"/>
          <w:sz w:val="24"/>
          <w:szCs w:val="24"/>
          <w:lang w:eastAsia="ru-RU"/>
        </w:rPr>
        <w:t xml:space="preserve"> та розміщений на офіційному вебсайті Мінфіну. До Переліку увійшли суб’єкти господарювання, що є великими платниками податків, мають</w:t>
      </w:r>
      <w:r w:rsidRPr="000114E9">
        <w:rPr>
          <w:rFonts w:ascii="Times New Roman" w:eastAsia="Times New Roman" w:hAnsi="Times New Roman" w:cs="Times New Roman"/>
          <w:color w:val="000000"/>
          <w:sz w:val="24"/>
          <w:szCs w:val="24"/>
          <w:lang w:eastAsia="ru-RU"/>
        </w:rPr>
        <w:t xml:space="preserve"> значні обсяги активів, кредити, залучені під державні гарантії, зобов’язання за кредитами в іноземній валюті</w:t>
      </w:r>
      <w:r>
        <w:rPr>
          <w:rFonts w:ascii="Times New Roman" w:eastAsia="Times New Roman" w:hAnsi="Times New Roman" w:cs="Times New Roman"/>
          <w:color w:val="000000"/>
          <w:sz w:val="24"/>
          <w:szCs w:val="24"/>
          <w:lang w:eastAsia="ru-RU"/>
        </w:rPr>
        <w:t>, а також</w:t>
      </w:r>
      <w:r w:rsidRPr="000114E9">
        <w:rPr>
          <w:rFonts w:ascii="Times New Roman" w:eastAsia="Times New Roman" w:hAnsi="Times New Roman" w:cs="Times New Roman"/>
          <w:color w:val="000000"/>
          <w:sz w:val="24"/>
          <w:szCs w:val="24"/>
          <w:lang w:eastAsia="ru-RU"/>
        </w:rPr>
        <w:t xml:space="preserve"> потребують державної підтримки.</w:t>
      </w:r>
    </w:p>
    <w:p w:rsidR="00B979FE" w:rsidRPr="008B7DDF" w:rsidRDefault="00C55ED2" w:rsidP="00B979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B979FE" w:rsidRPr="008B7DDF">
        <w:rPr>
          <w:rFonts w:ascii="Times New Roman" w:hAnsi="Times New Roman" w:cs="Times New Roman"/>
          <w:sz w:val="24"/>
          <w:szCs w:val="24"/>
        </w:rPr>
        <w:t>ідповідно до Господарського кодексу України суб’єкти управління об’єктами державної власності та Кабінет Міністрів України до 1 вересня (крім підприємств електроенергетики, фінансові плани яких підлягають затвердженню до 31 грудня року) мають затверджувати фінансові плани підприємств на наступний плановий рік.</w:t>
      </w:r>
    </w:p>
    <w:p w:rsidR="00BC0065" w:rsidRDefault="00C55ED2"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w:t>
      </w:r>
      <w:r w:rsidR="00B979FE" w:rsidRPr="00A56454">
        <w:rPr>
          <w:rFonts w:ascii="Times New Roman" w:eastAsia="Times New Roman" w:hAnsi="Times New Roman" w:cs="Times New Roman"/>
          <w:color w:val="000000"/>
          <w:sz w:val="24"/>
          <w:szCs w:val="24"/>
          <w:lang w:eastAsia="ru-RU"/>
        </w:rPr>
        <w:t xml:space="preserve">з 38 фінансових планів на 2020 рік, які відповідно до законодавства мають затверджуватись Кабінетом Міністрів України, затверджений лише </w:t>
      </w:r>
      <w:r>
        <w:rPr>
          <w:rFonts w:ascii="Times New Roman" w:eastAsia="Times New Roman" w:hAnsi="Times New Roman" w:cs="Times New Roman"/>
          <w:color w:val="000000"/>
          <w:sz w:val="24"/>
          <w:szCs w:val="24"/>
          <w:lang w:eastAsia="ru-RU"/>
        </w:rPr>
        <w:t>один</w:t>
      </w:r>
      <w:r w:rsidR="00B979FE" w:rsidRPr="00A56454">
        <w:rPr>
          <w:rFonts w:ascii="Times New Roman" w:eastAsia="Times New Roman" w:hAnsi="Times New Roman" w:cs="Times New Roman"/>
          <w:color w:val="000000"/>
          <w:sz w:val="24"/>
          <w:szCs w:val="24"/>
          <w:lang w:eastAsia="ru-RU"/>
        </w:rPr>
        <w:t xml:space="preserve"> фінансовий план – ПрАТ</w:t>
      </w:r>
      <w:r>
        <w:rPr>
          <w:rFonts w:ascii="Times New Roman" w:eastAsia="Times New Roman" w:hAnsi="Times New Roman" w:cs="Times New Roman"/>
          <w:color w:val="000000"/>
          <w:sz w:val="24"/>
          <w:szCs w:val="24"/>
          <w:lang w:eastAsia="ru-RU"/>
        </w:rPr>
        <w:t> </w:t>
      </w:r>
      <w:r w:rsidR="00B979FE" w:rsidRPr="00A56454">
        <w:rPr>
          <w:rFonts w:ascii="Times New Roman" w:eastAsia="Times New Roman" w:hAnsi="Times New Roman" w:cs="Times New Roman"/>
          <w:color w:val="000000"/>
          <w:sz w:val="24"/>
          <w:szCs w:val="24"/>
          <w:lang w:eastAsia="ru-RU"/>
        </w:rPr>
        <w:t>«Укргідроенерго».</w:t>
      </w:r>
      <w:r>
        <w:rPr>
          <w:rFonts w:ascii="Times New Roman" w:eastAsia="Times New Roman" w:hAnsi="Times New Roman" w:cs="Times New Roman"/>
          <w:color w:val="000000"/>
          <w:sz w:val="24"/>
          <w:szCs w:val="24"/>
          <w:lang w:eastAsia="ru-RU"/>
        </w:rPr>
        <w:t xml:space="preserve"> </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sidRPr="00A56454">
        <w:rPr>
          <w:rFonts w:ascii="Times New Roman" w:eastAsia="Times New Roman" w:hAnsi="Times New Roman" w:cs="Times New Roman"/>
          <w:color w:val="000000"/>
          <w:sz w:val="24"/>
          <w:szCs w:val="24"/>
          <w:lang w:eastAsia="ru-RU"/>
        </w:rPr>
        <w:t xml:space="preserve">Відсутність затверджених в установленому порядку фінансових планів на 2020 рік є одним із чинників, який негативно впливає на якість оцінки фіскальних ризиків та визначення їх можливого впливу на показники державного бюджету у 2020 році. </w:t>
      </w:r>
    </w:p>
    <w:p w:rsidR="00B979FE" w:rsidRDefault="00B979FE" w:rsidP="005A0E1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Разом з тим, о</w:t>
      </w:r>
      <w:r w:rsidRPr="00140A93">
        <w:rPr>
          <w:rFonts w:ascii="Times New Roman" w:eastAsia="Times New Roman" w:hAnsi="Times New Roman" w:cs="Times New Roman"/>
          <w:sz w:val="24"/>
          <w:szCs w:val="24"/>
          <w:lang w:eastAsia="ru-RU"/>
        </w:rPr>
        <w:t xml:space="preserve">сновними </w:t>
      </w:r>
      <w:r>
        <w:rPr>
          <w:rFonts w:ascii="Times New Roman" w:eastAsia="Times New Roman" w:hAnsi="Times New Roman" w:cs="Times New Roman"/>
          <w:sz w:val="24"/>
          <w:szCs w:val="24"/>
          <w:lang w:eastAsia="ru-RU"/>
        </w:rPr>
        <w:t xml:space="preserve">фіскальними </w:t>
      </w:r>
      <w:r w:rsidRPr="00140A93">
        <w:rPr>
          <w:rFonts w:ascii="Times New Roman" w:eastAsia="Times New Roman" w:hAnsi="Times New Roman" w:cs="Times New Roman"/>
          <w:sz w:val="24"/>
          <w:szCs w:val="24"/>
          <w:lang w:eastAsia="ru-RU"/>
        </w:rPr>
        <w:t>ризиками</w:t>
      </w:r>
      <w:r>
        <w:rPr>
          <w:rFonts w:ascii="Times New Roman" w:eastAsia="Times New Roman" w:hAnsi="Times New Roman" w:cs="Times New Roman"/>
          <w:sz w:val="24"/>
          <w:szCs w:val="24"/>
          <w:lang w:eastAsia="ru-RU"/>
        </w:rPr>
        <w:t xml:space="preserve">, </w:t>
      </w:r>
      <w:r w:rsidRPr="00140A93">
        <w:rPr>
          <w:rFonts w:ascii="Times New Roman" w:eastAsia="Times New Roman" w:hAnsi="Times New Roman" w:cs="Times New Roman"/>
          <w:sz w:val="24"/>
          <w:szCs w:val="24"/>
          <w:lang w:eastAsia="ru-RU"/>
        </w:rPr>
        <w:t>пов’язан</w:t>
      </w:r>
      <w:r>
        <w:rPr>
          <w:rFonts w:ascii="Times New Roman" w:eastAsia="Times New Roman" w:hAnsi="Times New Roman" w:cs="Times New Roman"/>
          <w:sz w:val="24"/>
          <w:szCs w:val="24"/>
          <w:lang w:eastAsia="ru-RU"/>
        </w:rPr>
        <w:t>ими</w:t>
      </w:r>
      <w:r w:rsidRPr="00140A93">
        <w:rPr>
          <w:rFonts w:ascii="Times New Roman" w:eastAsia="Times New Roman" w:hAnsi="Times New Roman" w:cs="Times New Roman"/>
          <w:sz w:val="24"/>
          <w:szCs w:val="24"/>
          <w:lang w:eastAsia="ru-RU"/>
        </w:rPr>
        <w:t xml:space="preserve"> з діяльністю суб’єктів господарювання державного сектору економіки, </w:t>
      </w:r>
      <w:r>
        <w:rPr>
          <w:rFonts w:ascii="Times New Roman" w:eastAsia="Times New Roman" w:hAnsi="Times New Roman" w:cs="Times New Roman"/>
          <w:sz w:val="24"/>
          <w:szCs w:val="24"/>
          <w:lang w:eastAsia="ru-RU"/>
        </w:rPr>
        <w:t>що</w:t>
      </w:r>
      <w:r w:rsidRPr="00140A93">
        <w:rPr>
          <w:rFonts w:ascii="Times New Roman" w:eastAsia="Times New Roman" w:hAnsi="Times New Roman" w:cs="Times New Roman"/>
          <w:sz w:val="24"/>
          <w:szCs w:val="24"/>
          <w:lang w:eastAsia="ru-RU"/>
        </w:rPr>
        <w:t xml:space="preserve"> можуть негативно впливати на </w:t>
      </w:r>
      <w:r>
        <w:rPr>
          <w:rFonts w:ascii="Times New Roman" w:eastAsia="Times New Roman" w:hAnsi="Times New Roman" w:cs="Times New Roman"/>
          <w:sz w:val="24"/>
          <w:szCs w:val="24"/>
          <w:lang w:eastAsia="ru-RU"/>
        </w:rPr>
        <w:t xml:space="preserve">показники </w:t>
      </w:r>
      <w:r w:rsidRPr="00140A93">
        <w:rPr>
          <w:rFonts w:ascii="Times New Roman" w:eastAsia="Times New Roman" w:hAnsi="Times New Roman" w:cs="Times New Roman"/>
          <w:sz w:val="24"/>
          <w:szCs w:val="24"/>
          <w:lang w:eastAsia="ru-RU"/>
        </w:rPr>
        <w:t>державн</w:t>
      </w:r>
      <w:r>
        <w:rPr>
          <w:rFonts w:ascii="Times New Roman" w:eastAsia="Times New Roman" w:hAnsi="Times New Roman" w:cs="Times New Roman"/>
          <w:sz w:val="24"/>
          <w:szCs w:val="24"/>
          <w:lang w:eastAsia="ru-RU"/>
        </w:rPr>
        <w:t>ого</w:t>
      </w:r>
      <w:r w:rsidRPr="00140A93">
        <w:rPr>
          <w:rFonts w:ascii="Times New Roman" w:eastAsia="Times New Roman" w:hAnsi="Times New Roman" w:cs="Times New Roman"/>
          <w:sz w:val="24"/>
          <w:szCs w:val="24"/>
          <w:lang w:eastAsia="ru-RU"/>
        </w:rPr>
        <w:t xml:space="preserve"> бюджет</w:t>
      </w:r>
      <w:r>
        <w:rPr>
          <w:rFonts w:ascii="Times New Roman" w:eastAsia="Times New Roman" w:hAnsi="Times New Roman" w:cs="Times New Roman"/>
          <w:sz w:val="24"/>
          <w:szCs w:val="24"/>
          <w:lang w:eastAsia="ru-RU"/>
        </w:rPr>
        <w:t xml:space="preserve"> у 2020 році</w:t>
      </w:r>
      <w:r w:rsidRPr="00140A93">
        <w:rPr>
          <w:rFonts w:ascii="Times New Roman" w:eastAsia="Times New Roman" w:hAnsi="Times New Roman" w:cs="Times New Roman"/>
          <w:sz w:val="24"/>
          <w:szCs w:val="24"/>
          <w:lang w:eastAsia="ru-RU"/>
        </w:rPr>
        <w:t xml:space="preserve">, можуть бути: </w:t>
      </w:r>
    </w:p>
    <w:p w:rsidR="00B979FE" w:rsidRPr="00CF529C" w:rsidRDefault="00B979FE" w:rsidP="00B979FE">
      <w:pPr>
        <w:pStyle w:val="a4"/>
        <w:numPr>
          <w:ilvl w:val="0"/>
          <w:numId w:val="31"/>
        </w:numPr>
        <w:tabs>
          <w:tab w:val="left" w:pos="1134"/>
        </w:tabs>
        <w:spacing w:before="120" w:after="0" w:line="240" w:lineRule="auto"/>
        <w:ind w:left="0" w:firstLine="567"/>
        <w:jc w:val="both"/>
        <w:rPr>
          <w:rFonts w:ascii="Times New Roman" w:eastAsia="Times New Roman" w:hAnsi="Times New Roman" w:cs="Times New Roman"/>
          <w:b/>
          <w:i/>
          <w:sz w:val="24"/>
          <w:szCs w:val="24"/>
          <w:lang w:eastAsia="ru-RU"/>
        </w:rPr>
      </w:pPr>
      <w:r w:rsidRPr="00CF529C">
        <w:rPr>
          <w:rFonts w:ascii="Times New Roman" w:eastAsia="Times New Roman" w:hAnsi="Times New Roman" w:cs="Times New Roman"/>
          <w:b/>
          <w:i/>
          <w:sz w:val="24"/>
          <w:szCs w:val="24"/>
          <w:lang w:eastAsia="ru-RU"/>
        </w:rPr>
        <w:t>зменшення відрахувань податкових та неподаткових платежів, у тому числі частини чистого прибутку, дивідендів на державну частку (порівняно із запланованим обсягом)</w:t>
      </w:r>
      <w:r w:rsidR="00050493">
        <w:rPr>
          <w:rFonts w:ascii="Times New Roman" w:eastAsia="Times New Roman" w:hAnsi="Times New Roman" w:cs="Times New Roman"/>
          <w:b/>
          <w:i/>
          <w:sz w:val="24"/>
          <w:szCs w:val="24"/>
          <w:lang w:eastAsia="ru-RU"/>
        </w:rPr>
        <w:t>.</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даними </w:t>
      </w:r>
      <w:r w:rsidRPr="000114E9">
        <w:rPr>
          <w:rFonts w:ascii="Times New Roman" w:eastAsia="Times New Roman" w:hAnsi="Times New Roman" w:cs="Times New Roman"/>
          <w:color w:val="000000"/>
          <w:sz w:val="24"/>
          <w:szCs w:val="24"/>
          <w:lang w:eastAsia="ru-RU"/>
        </w:rPr>
        <w:t>Державної фіскальної служби України</w:t>
      </w:r>
      <w:r w:rsidRPr="003E32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3E3278">
        <w:rPr>
          <w:rFonts w:ascii="Times New Roman" w:eastAsia="Times New Roman" w:hAnsi="Times New Roman" w:cs="Times New Roman"/>
          <w:color w:val="000000"/>
          <w:sz w:val="24"/>
          <w:szCs w:val="24"/>
          <w:lang w:eastAsia="ru-RU"/>
        </w:rPr>
        <w:t>айбільшим</w:t>
      </w:r>
      <w:r>
        <w:rPr>
          <w:rFonts w:ascii="Times New Roman" w:eastAsia="Times New Roman" w:hAnsi="Times New Roman" w:cs="Times New Roman"/>
          <w:color w:val="000000"/>
          <w:sz w:val="24"/>
          <w:szCs w:val="24"/>
          <w:lang w:eastAsia="ru-RU"/>
        </w:rPr>
        <w:t>и платниками</w:t>
      </w:r>
      <w:r w:rsidRPr="003E3278">
        <w:rPr>
          <w:rFonts w:ascii="Times New Roman" w:eastAsia="Times New Roman" w:hAnsi="Times New Roman" w:cs="Times New Roman"/>
          <w:color w:val="000000"/>
          <w:sz w:val="24"/>
          <w:szCs w:val="24"/>
          <w:lang w:eastAsia="ru-RU"/>
        </w:rPr>
        <w:t xml:space="preserve"> податків, зборів та інших платежів до державного бюджету у </w:t>
      </w:r>
      <w:r>
        <w:rPr>
          <w:rFonts w:ascii="Times New Roman" w:eastAsia="Times New Roman" w:hAnsi="Times New Roman" w:cs="Times New Roman"/>
          <w:color w:val="000000"/>
          <w:sz w:val="24"/>
          <w:szCs w:val="24"/>
          <w:lang w:eastAsia="ru-RU"/>
        </w:rPr>
        <w:t xml:space="preserve">І півріччі </w:t>
      </w:r>
      <w:r w:rsidRPr="003E327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 xml:space="preserve">9 року </w:t>
      </w:r>
      <w:r w:rsidRPr="003E3278">
        <w:rPr>
          <w:rFonts w:ascii="Times New Roman" w:eastAsia="Times New Roman" w:hAnsi="Times New Roman" w:cs="Times New Roman"/>
          <w:color w:val="000000"/>
          <w:sz w:val="24"/>
          <w:szCs w:val="24"/>
          <w:lang w:eastAsia="ru-RU"/>
        </w:rPr>
        <w:t xml:space="preserve">серед суб’єктів господарювання, включених до Переліку, зокрема були: АТ «НАК «Нафтогаз України» – </w:t>
      </w:r>
      <w:r>
        <w:rPr>
          <w:rFonts w:ascii="Times New Roman" w:eastAsia="Times New Roman" w:hAnsi="Times New Roman" w:cs="Times New Roman"/>
          <w:color w:val="000000"/>
          <w:sz w:val="24"/>
          <w:szCs w:val="24"/>
          <w:lang w:eastAsia="ru-RU"/>
        </w:rPr>
        <w:t>16,9 </w:t>
      </w:r>
      <w:r w:rsidRPr="003E3278">
        <w:rPr>
          <w:rFonts w:ascii="Times New Roman" w:eastAsia="Times New Roman" w:hAnsi="Times New Roman" w:cs="Times New Roman"/>
          <w:color w:val="000000"/>
          <w:sz w:val="24"/>
          <w:szCs w:val="24"/>
          <w:lang w:eastAsia="ru-RU"/>
        </w:rPr>
        <w:t xml:space="preserve">млрд грн; АТ «Укртрансгаз» – </w:t>
      </w:r>
      <w:r>
        <w:rPr>
          <w:rFonts w:ascii="Times New Roman" w:eastAsia="Times New Roman" w:hAnsi="Times New Roman" w:cs="Times New Roman"/>
          <w:color w:val="000000"/>
          <w:sz w:val="24"/>
          <w:szCs w:val="24"/>
          <w:lang w:eastAsia="ru-RU"/>
        </w:rPr>
        <w:t>4,3</w:t>
      </w:r>
      <w:r w:rsidRPr="003E3278">
        <w:rPr>
          <w:rFonts w:ascii="Times New Roman" w:eastAsia="Times New Roman" w:hAnsi="Times New Roman" w:cs="Times New Roman"/>
          <w:color w:val="000000"/>
          <w:sz w:val="24"/>
          <w:szCs w:val="24"/>
          <w:lang w:eastAsia="ru-RU"/>
        </w:rPr>
        <w:t xml:space="preserve"> мл</w:t>
      </w:r>
      <w:r>
        <w:rPr>
          <w:rFonts w:ascii="Times New Roman" w:eastAsia="Times New Roman" w:hAnsi="Times New Roman" w:cs="Times New Roman"/>
          <w:color w:val="000000"/>
          <w:sz w:val="24"/>
          <w:szCs w:val="24"/>
          <w:lang w:eastAsia="ru-RU"/>
        </w:rPr>
        <w:t xml:space="preserve">рд грн; ДП НАЕК «Енергоатом» – 5,9 млрд грн та </w:t>
      </w:r>
      <w:r w:rsidRPr="003E3278">
        <w:rPr>
          <w:rFonts w:ascii="Times New Roman" w:eastAsia="Times New Roman" w:hAnsi="Times New Roman" w:cs="Times New Roman"/>
          <w:color w:val="000000"/>
          <w:sz w:val="24"/>
          <w:szCs w:val="24"/>
          <w:lang w:eastAsia="ru-RU"/>
        </w:rPr>
        <w:t xml:space="preserve">АТ «Укрзалізниця» – </w:t>
      </w:r>
      <w:r>
        <w:rPr>
          <w:rFonts w:ascii="Times New Roman" w:eastAsia="Times New Roman" w:hAnsi="Times New Roman" w:cs="Times New Roman"/>
          <w:color w:val="000000"/>
          <w:sz w:val="24"/>
          <w:szCs w:val="24"/>
          <w:lang w:eastAsia="ru-RU"/>
        </w:rPr>
        <w:t>2,9</w:t>
      </w:r>
      <w:r w:rsidRPr="003E3278">
        <w:rPr>
          <w:rFonts w:ascii="Times New Roman" w:eastAsia="Times New Roman" w:hAnsi="Times New Roman" w:cs="Times New Roman"/>
          <w:color w:val="000000"/>
          <w:sz w:val="24"/>
          <w:szCs w:val="24"/>
          <w:lang w:eastAsia="ru-RU"/>
        </w:rPr>
        <w:t xml:space="preserve"> млрд гривень.</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Можливе погіршення фінансового стану зазначених підприємств</w:t>
      </w:r>
      <w:r w:rsidR="00050493">
        <w:rPr>
          <w:rFonts w:ascii="Times New Roman" w:eastAsia="Times New Roman" w:hAnsi="Times New Roman" w:cs="Times New Roman"/>
          <w:color w:val="000000"/>
          <w:sz w:val="24"/>
          <w:szCs w:val="24"/>
          <w:lang w:eastAsia="ru-RU"/>
        </w:rPr>
        <w:t xml:space="preserve"> в кінці 2019 року та у 2020 році</w:t>
      </w:r>
      <w:r w:rsidRPr="000114E9">
        <w:rPr>
          <w:rFonts w:ascii="Times New Roman" w:eastAsia="Times New Roman" w:hAnsi="Times New Roman" w:cs="Times New Roman"/>
          <w:color w:val="000000"/>
          <w:sz w:val="24"/>
          <w:szCs w:val="24"/>
          <w:lang w:eastAsia="ru-RU"/>
        </w:rPr>
        <w:t xml:space="preserve">, </w:t>
      </w:r>
      <w:r w:rsidR="00050493">
        <w:rPr>
          <w:rFonts w:ascii="Times New Roman" w:eastAsia="Times New Roman" w:hAnsi="Times New Roman" w:cs="Times New Roman"/>
          <w:color w:val="000000"/>
          <w:sz w:val="24"/>
          <w:szCs w:val="24"/>
          <w:lang w:eastAsia="ru-RU"/>
        </w:rPr>
        <w:t xml:space="preserve">зокрема через настання </w:t>
      </w:r>
      <w:r w:rsidRPr="000114E9">
        <w:rPr>
          <w:rFonts w:ascii="Times New Roman" w:eastAsia="Times New Roman" w:hAnsi="Times New Roman" w:cs="Times New Roman"/>
          <w:color w:val="000000"/>
          <w:sz w:val="24"/>
          <w:szCs w:val="24"/>
          <w:lang w:eastAsia="ru-RU"/>
        </w:rPr>
        <w:t>ризиків в їх діяльності</w:t>
      </w:r>
      <w:r w:rsidR="00050493">
        <w:rPr>
          <w:rFonts w:ascii="Times New Roman" w:eastAsia="Times New Roman" w:hAnsi="Times New Roman" w:cs="Times New Roman"/>
          <w:color w:val="000000"/>
          <w:sz w:val="24"/>
          <w:szCs w:val="24"/>
          <w:lang w:eastAsia="ru-RU"/>
        </w:rPr>
        <w:t>,</w:t>
      </w:r>
      <w:r w:rsidRPr="000114E9">
        <w:rPr>
          <w:rFonts w:ascii="Times New Roman" w:eastAsia="Times New Roman" w:hAnsi="Times New Roman" w:cs="Times New Roman"/>
          <w:color w:val="000000"/>
          <w:sz w:val="24"/>
          <w:szCs w:val="24"/>
          <w:lang w:eastAsia="ru-RU"/>
        </w:rPr>
        <w:t xml:space="preserve"> може призвести до зменшення </w:t>
      </w:r>
      <w:r w:rsidR="00050493">
        <w:rPr>
          <w:rFonts w:ascii="Times New Roman" w:eastAsia="Times New Roman" w:hAnsi="Times New Roman" w:cs="Times New Roman"/>
          <w:color w:val="000000"/>
          <w:sz w:val="24"/>
          <w:szCs w:val="24"/>
          <w:lang w:eastAsia="ru-RU"/>
        </w:rPr>
        <w:t xml:space="preserve">їх </w:t>
      </w:r>
      <w:r w:rsidRPr="000114E9">
        <w:rPr>
          <w:rFonts w:ascii="Times New Roman" w:eastAsia="Times New Roman" w:hAnsi="Times New Roman" w:cs="Times New Roman"/>
          <w:color w:val="000000"/>
          <w:sz w:val="24"/>
          <w:szCs w:val="24"/>
          <w:lang w:eastAsia="ru-RU"/>
        </w:rPr>
        <w:t xml:space="preserve">податкових та неподаткових платежів до бюджетів, зокрема частини чистого </w:t>
      </w:r>
      <w:r w:rsidR="003A2C22">
        <w:rPr>
          <w:rFonts w:ascii="Times New Roman" w:eastAsia="Times New Roman" w:hAnsi="Times New Roman" w:cs="Times New Roman"/>
          <w:color w:val="000000"/>
          <w:sz w:val="24"/>
          <w:szCs w:val="24"/>
          <w:lang w:eastAsia="ru-RU"/>
        </w:rPr>
        <w:br/>
      </w:r>
      <w:r w:rsidRPr="000114E9">
        <w:rPr>
          <w:rFonts w:ascii="Times New Roman" w:eastAsia="Times New Roman" w:hAnsi="Times New Roman" w:cs="Times New Roman"/>
          <w:color w:val="000000"/>
          <w:sz w:val="24"/>
          <w:szCs w:val="24"/>
          <w:lang w:eastAsia="ru-RU"/>
        </w:rPr>
        <w:t xml:space="preserve">прибутку </w:t>
      </w:r>
      <w:r w:rsidR="00050493">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дивідендів, по</w:t>
      </w:r>
      <w:r>
        <w:rPr>
          <w:rFonts w:ascii="Times New Roman" w:eastAsia="Times New Roman" w:hAnsi="Times New Roman" w:cs="Times New Roman"/>
          <w:color w:val="000000"/>
          <w:sz w:val="24"/>
          <w:szCs w:val="24"/>
          <w:lang w:eastAsia="ru-RU"/>
        </w:rPr>
        <w:t>рівняно із запланованим обсягом</w:t>
      </w:r>
      <w:r w:rsidRPr="000114E9">
        <w:rPr>
          <w:rFonts w:ascii="Times New Roman" w:eastAsia="Times New Roman" w:hAnsi="Times New Roman" w:cs="Times New Roman"/>
          <w:color w:val="000000"/>
          <w:sz w:val="24"/>
          <w:szCs w:val="24"/>
          <w:lang w:eastAsia="ru-RU"/>
        </w:rPr>
        <w:t>.</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3E3278">
        <w:rPr>
          <w:rFonts w:ascii="Times New Roman" w:eastAsia="Times New Roman" w:hAnsi="Times New Roman" w:cs="Times New Roman"/>
          <w:color w:val="000000"/>
          <w:sz w:val="24"/>
          <w:szCs w:val="24"/>
          <w:lang w:eastAsia="ru-RU"/>
        </w:rPr>
        <w:t>таном на 01.07.2019 податковий борг по сплаті до бюджетів податків, зборів та інших платежів суб’єктів господарювання, включених до Переліку, становив 4,3 млрд грн та з</w:t>
      </w:r>
      <w:r>
        <w:rPr>
          <w:rFonts w:ascii="Times New Roman" w:eastAsia="Times New Roman" w:hAnsi="Times New Roman" w:cs="Times New Roman"/>
          <w:color w:val="000000"/>
          <w:sz w:val="24"/>
          <w:szCs w:val="24"/>
          <w:lang w:eastAsia="ru-RU"/>
        </w:rPr>
        <w:t xml:space="preserve">більшився </w:t>
      </w:r>
      <w:r w:rsidRPr="003E3278">
        <w:rPr>
          <w:rFonts w:ascii="Times New Roman" w:eastAsia="Times New Roman" w:hAnsi="Times New Roman" w:cs="Times New Roman"/>
          <w:color w:val="000000"/>
          <w:sz w:val="24"/>
          <w:szCs w:val="24"/>
          <w:lang w:eastAsia="ru-RU"/>
        </w:rPr>
        <w:t>порівняно із початком року на 1,9 млрд грн або на 80,3%.</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Основну частку податкового боргу із року в рік становлять борги вуглевидобувних підприємств (понад 90%), суттєве зростання вказаного показника відбулось за рахунок виникнення заборгованості </w:t>
      </w:r>
      <w:r w:rsidRPr="00E71A10">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П «НАЕК «Енергоатом»</w:t>
      </w:r>
      <w:r w:rsidRPr="00E71A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 сумі 1,8 млрд гривень.</w:t>
      </w:r>
      <w:r w:rsidR="009F20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 цьому, за результатами діяльності у ІІ кварталі 2019 року </w:t>
      </w:r>
      <w:r w:rsidRPr="00E71A10">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П «НАЕК «Енергоатом»</w:t>
      </w:r>
      <w:r w:rsidRPr="00E71A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отримало чистий збиток у сумі 1,2 млрд грн (фінансовим планом на 2019 рік передбачався чистий прибуток у сумі 0,1 млрд грн).</w:t>
      </w:r>
    </w:p>
    <w:p w:rsidR="00321C61" w:rsidRPr="007C67AC" w:rsidRDefault="00321C61" w:rsidP="00321C6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0114E9">
        <w:rPr>
          <w:rFonts w:ascii="Times New Roman" w:eastAsia="Times New Roman" w:hAnsi="Times New Roman" w:cs="Times New Roman"/>
          <w:color w:val="000000"/>
          <w:sz w:val="24"/>
          <w:szCs w:val="24"/>
          <w:lang w:eastAsia="ru-RU"/>
        </w:rPr>
        <w:t xml:space="preserve">ума надміру сплачених податків, зборів </w:t>
      </w:r>
      <w:r w:rsidRPr="003A53D4">
        <w:rPr>
          <w:rFonts w:ascii="Times New Roman" w:eastAsia="Times New Roman" w:hAnsi="Times New Roman" w:cs="Times New Roman"/>
          <w:color w:val="000000"/>
          <w:sz w:val="24"/>
          <w:szCs w:val="24"/>
          <w:lang w:eastAsia="ru-RU"/>
        </w:rPr>
        <w:t xml:space="preserve">та інших платежів </w:t>
      </w:r>
      <w:r w:rsidRPr="000114E9">
        <w:rPr>
          <w:rFonts w:ascii="Times New Roman" w:eastAsia="Times New Roman" w:hAnsi="Times New Roman" w:cs="Times New Roman"/>
          <w:color w:val="000000"/>
          <w:sz w:val="24"/>
          <w:szCs w:val="24"/>
          <w:lang w:eastAsia="ru-RU"/>
        </w:rPr>
        <w:t>суб’єкт</w:t>
      </w:r>
      <w:r>
        <w:rPr>
          <w:rFonts w:ascii="Times New Roman" w:eastAsia="Times New Roman" w:hAnsi="Times New Roman" w:cs="Times New Roman"/>
          <w:color w:val="000000"/>
          <w:sz w:val="24"/>
          <w:szCs w:val="24"/>
          <w:lang w:eastAsia="ru-RU"/>
        </w:rPr>
        <w:t>ів</w:t>
      </w:r>
      <w:r w:rsidRPr="000114E9">
        <w:rPr>
          <w:rFonts w:ascii="Times New Roman" w:eastAsia="Times New Roman" w:hAnsi="Times New Roman" w:cs="Times New Roman"/>
          <w:color w:val="000000"/>
          <w:sz w:val="24"/>
          <w:szCs w:val="24"/>
          <w:lang w:eastAsia="ru-RU"/>
        </w:rPr>
        <w:t xml:space="preserve"> господарювання</w:t>
      </w:r>
      <w:r>
        <w:rPr>
          <w:rFonts w:ascii="Times New Roman" w:eastAsia="Times New Roman" w:hAnsi="Times New Roman" w:cs="Times New Roman"/>
          <w:color w:val="000000"/>
          <w:sz w:val="24"/>
          <w:szCs w:val="24"/>
          <w:lang w:eastAsia="ru-RU"/>
        </w:rPr>
        <w:t xml:space="preserve">, включених до Переліку, </w:t>
      </w:r>
      <w:r w:rsidRPr="000114E9">
        <w:rPr>
          <w:rFonts w:ascii="Times New Roman" w:eastAsia="Times New Roman" w:hAnsi="Times New Roman" w:cs="Times New Roman"/>
          <w:color w:val="000000"/>
          <w:sz w:val="24"/>
          <w:szCs w:val="24"/>
          <w:lang w:eastAsia="ru-RU"/>
        </w:rPr>
        <w:t>на 01.0</w:t>
      </w:r>
      <w:r>
        <w:rPr>
          <w:rFonts w:ascii="Times New Roman" w:eastAsia="Times New Roman" w:hAnsi="Times New Roman" w:cs="Times New Roman"/>
          <w:color w:val="000000"/>
          <w:sz w:val="24"/>
          <w:szCs w:val="24"/>
          <w:lang w:eastAsia="ru-RU"/>
        </w:rPr>
        <w:t>7</w:t>
      </w:r>
      <w:r w:rsidRPr="000114E9">
        <w:rPr>
          <w:rFonts w:ascii="Times New Roman" w:eastAsia="Times New Roman" w:hAnsi="Times New Roman" w:cs="Times New Roman"/>
          <w:color w:val="000000"/>
          <w:sz w:val="24"/>
          <w:szCs w:val="24"/>
          <w:lang w:eastAsia="ru-RU"/>
        </w:rPr>
        <w:t>.2019</w:t>
      </w:r>
      <w:r>
        <w:rPr>
          <w:rFonts w:ascii="Times New Roman" w:eastAsia="Times New Roman" w:hAnsi="Times New Roman" w:cs="Times New Roman"/>
          <w:color w:val="000000"/>
          <w:sz w:val="24"/>
          <w:szCs w:val="24"/>
          <w:lang w:eastAsia="ru-RU"/>
        </w:rPr>
        <w:t xml:space="preserve"> становила 0,9 </w:t>
      </w:r>
      <w:r w:rsidRPr="003A53D4">
        <w:rPr>
          <w:rFonts w:ascii="Times New Roman" w:eastAsia="Times New Roman" w:hAnsi="Times New Roman" w:cs="Times New Roman"/>
          <w:color w:val="000000"/>
          <w:sz w:val="24"/>
          <w:szCs w:val="24"/>
          <w:lang w:eastAsia="ru-RU"/>
        </w:rPr>
        <w:t xml:space="preserve">млрд грн </w:t>
      </w:r>
      <w:r>
        <w:rPr>
          <w:rFonts w:ascii="Times New Roman" w:eastAsia="Times New Roman" w:hAnsi="Times New Roman" w:cs="Times New Roman"/>
          <w:color w:val="000000"/>
          <w:sz w:val="24"/>
          <w:szCs w:val="24"/>
          <w:lang w:eastAsia="ru-RU"/>
        </w:rPr>
        <w:t xml:space="preserve">та зменшилась порівняно із початком року </w:t>
      </w:r>
      <w:r w:rsidRPr="000114E9">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0,8 </w:t>
      </w:r>
      <w:r w:rsidRPr="000114E9">
        <w:rPr>
          <w:rFonts w:ascii="Times New Roman" w:eastAsia="Times New Roman" w:hAnsi="Times New Roman" w:cs="Times New Roman"/>
          <w:color w:val="000000"/>
          <w:sz w:val="24"/>
          <w:szCs w:val="24"/>
          <w:lang w:eastAsia="ru-RU"/>
        </w:rPr>
        <w:t>млрд грн</w:t>
      </w:r>
      <w:r>
        <w:rPr>
          <w:rFonts w:ascii="Times New Roman" w:eastAsia="Times New Roman" w:hAnsi="Times New Roman" w:cs="Times New Roman"/>
          <w:color w:val="000000"/>
          <w:sz w:val="24"/>
          <w:szCs w:val="24"/>
          <w:lang w:eastAsia="ru-RU"/>
        </w:rPr>
        <w:t xml:space="preserve"> або на 47,3%.</w:t>
      </w:r>
    </w:p>
    <w:p w:rsidR="00B979FE" w:rsidRPr="003A53D4" w:rsidRDefault="00B979FE" w:rsidP="00B979FE">
      <w:pPr>
        <w:pStyle w:val="af"/>
        <w:spacing w:before="0" w:beforeAutospacing="0" w:after="0" w:afterAutospacing="0"/>
        <w:ind w:firstLine="567"/>
        <w:jc w:val="both"/>
        <w:rPr>
          <w:rFonts w:eastAsia="Times New Roman"/>
          <w:color w:val="000000"/>
          <w:szCs w:val="28"/>
          <w:lang w:eastAsia="ru-RU"/>
        </w:rPr>
      </w:pPr>
      <w:r w:rsidRPr="003A53D4">
        <w:rPr>
          <w:rFonts w:eastAsia="Times New Roman"/>
          <w:color w:val="000000"/>
          <w:szCs w:val="28"/>
          <w:lang w:eastAsia="ru-RU"/>
        </w:rPr>
        <w:t>До державного бюджету у 2018 році надійшло частини чистого прибутку (доходу) державних унітарних підприємств та їх об’єднань, що вилучається до бюджету, та дивідендів (доходу), нарахованих на акції (частки, паї) господарських товариств, у статутних капіталах яких є державна власність, в загальній сумі 3</w:t>
      </w:r>
      <w:r>
        <w:rPr>
          <w:rFonts w:eastAsia="Times New Roman"/>
          <w:color w:val="000000"/>
          <w:szCs w:val="28"/>
          <w:lang w:eastAsia="ru-RU"/>
        </w:rPr>
        <w:t>9</w:t>
      </w:r>
      <w:r w:rsidRPr="003A53D4">
        <w:rPr>
          <w:rFonts w:eastAsia="Times New Roman"/>
          <w:color w:val="000000"/>
          <w:szCs w:val="28"/>
          <w:lang w:eastAsia="ru-RU"/>
        </w:rPr>
        <w:t>,</w:t>
      </w:r>
      <w:r>
        <w:rPr>
          <w:rFonts w:eastAsia="Times New Roman"/>
          <w:color w:val="000000"/>
          <w:szCs w:val="28"/>
          <w:lang w:eastAsia="ru-RU"/>
        </w:rPr>
        <w:t>7</w:t>
      </w:r>
      <w:r w:rsidRPr="003A53D4">
        <w:rPr>
          <w:rFonts w:eastAsia="Times New Roman"/>
          <w:color w:val="000000"/>
          <w:szCs w:val="28"/>
          <w:lang w:eastAsia="ru-RU"/>
        </w:rPr>
        <w:t xml:space="preserve"> млр</w:t>
      </w:r>
      <w:r>
        <w:rPr>
          <w:rFonts w:eastAsia="Times New Roman"/>
          <w:color w:val="000000"/>
          <w:szCs w:val="28"/>
          <w:lang w:eastAsia="ru-RU"/>
        </w:rPr>
        <w:t>д</w:t>
      </w:r>
      <w:r w:rsidRPr="003A53D4">
        <w:rPr>
          <w:rFonts w:eastAsia="Times New Roman"/>
          <w:color w:val="000000"/>
          <w:szCs w:val="28"/>
          <w:lang w:eastAsia="ru-RU"/>
        </w:rPr>
        <w:t xml:space="preserve"> грн </w:t>
      </w:r>
      <w:r>
        <w:rPr>
          <w:rFonts w:eastAsia="Times New Roman"/>
          <w:color w:val="000000"/>
          <w:szCs w:val="28"/>
          <w:lang w:eastAsia="ru-RU"/>
        </w:rPr>
        <w:t xml:space="preserve">(з них 38,8 млрд грн до загального фонду) </w:t>
      </w:r>
      <w:r w:rsidRPr="003A53D4">
        <w:rPr>
          <w:rFonts w:eastAsia="Times New Roman"/>
          <w:color w:val="000000"/>
          <w:szCs w:val="28"/>
          <w:lang w:eastAsia="ru-RU"/>
        </w:rPr>
        <w:t xml:space="preserve">або </w:t>
      </w:r>
      <w:r>
        <w:rPr>
          <w:rFonts w:eastAsia="Times New Roman"/>
          <w:color w:val="000000"/>
          <w:szCs w:val="28"/>
          <w:lang w:eastAsia="ru-RU"/>
        </w:rPr>
        <w:t>1,1</w:t>
      </w:r>
      <w:r w:rsidRPr="003A53D4">
        <w:rPr>
          <w:rFonts w:eastAsia="Times New Roman"/>
          <w:color w:val="000000"/>
          <w:szCs w:val="28"/>
          <w:lang w:eastAsia="ru-RU"/>
        </w:rPr>
        <w:t>%</w:t>
      </w:r>
      <w:r>
        <w:rPr>
          <w:rFonts w:eastAsia="Times New Roman"/>
          <w:color w:val="000000"/>
          <w:szCs w:val="28"/>
          <w:lang w:eastAsia="ru-RU"/>
        </w:rPr>
        <w:t xml:space="preserve"> </w:t>
      </w:r>
      <w:r w:rsidRPr="003A53D4">
        <w:rPr>
          <w:rFonts w:eastAsia="Times New Roman"/>
          <w:color w:val="000000"/>
          <w:szCs w:val="28"/>
          <w:lang w:eastAsia="ru-RU"/>
        </w:rPr>
        <w:t>ВВП.</w:t>
      </w:r>
      <w:r w:rsidR="00475AC2">
        <w:rPr>
          <w:rFonts w:eastAsia="Times New Roman"/>
          <w:color w:val="000000"/>
          <w:szCs w:val="28"/>
          <w:lang w:eastAsia="ru-RU"/>
        </w:rPr>
        <w:t xml:space="preserve"> </w:t>
      </w:r>
      <w:r w:rsidRPr="003A53D4">
        <w:rPr>
          <w:rFonts w:eastAsia="Times New Roman"/>
          <w:color w:val="000000"/>
          <w:szCs w:val="28"/>
          <w:lang w:eastAsia="ru-RU"/>
        </w:rPr>
        <w:t>Виконання річного плану по сплаті вказаних платежів до державного бюджету становило 109,6%.</w:t>
      </w:r>
    </w:p>
    <w:p w:rsidR="00B979FE" w:rsidRPr="003A53D4" w:rsidRDefault="00B979FE" w:rsidP="00B979FE">
      <w:pPr>
        <w:pStyle w:val="af"/>
        <w:spacing w:before="0" w:beforeAutospacing="0" w:after="0" w:afterAutospacing="0"/>
        <w:ind w:firstLine="567"/>
        <w:jc w:val="both"/>
        <w:rPr>
          <w:rFonts w:eastAsia="Times New Roman"/>
          <w:color w:val="000000"/>
          <w:szCs w:val="28"/>
          <w:lang w:eastAsia="ru-RU"/>
        </w:rPr>
      </w:pPr>
      <w:r w:rsidRPr="003A53D4">
        <w:rPr>
          <w:rFonts w:eastAsia="Times New Roman"/>
          <w:color w:val="000000"/>
          <w:szCs w:val="28"/>
          <w:lang w:eastAsia="ru-RU"/>
        </w:rPr>
        <w:t xml:space="preserve">При цьому сума дивідендів </w:t>
      </w:r>
      <w:r w:rsidRPr="003A53D4">
        <w:rPr>
          <w:color w:val="000000"/>
          <w:szCs w:val="28"/>
        </w:rPr>
        <w:t>АТ «НАК «Нафтогаз України»</w:t>
      </w:r>
      <w:r>
        <w:rPr>
          <w:color w:val="000000"/>
          <w:szCs w:val="28"/>
        </w:rPr>
        <w:t>,</w:t>
      </w:r>
      <w:r w:rsidRPr="003A53D4">
        <w:rPr>
          <w:color w:val="000000"/>
          <w:szCs w:val="28"/>
        </w:rPr>
        <w:t xml:space="preserve"> </w:t>
      </w:r>
      <w:r>
        <w:rPr>
          <w:rFonts w:eastAsia="Times New Roman"/>
          <w:color w:val="000000"/>
          <w:szCs w:val="28"/>
          <w:lang w:eastAsia="ru-RU"/>
        </w:rPr>
        <w:t>сплачених у 2018 році</w:t>
      </w:r>
      <w:r w:rsidRPr="003A53D4">
        <w:rPr>
          <w:color w:val="000000"/>
          <w:szCs w:val="28"/>
        </w:rPr>
        <w:t xml:space="preserve"> складає </w:t>
      </w:r>
      <w:r>
        <w:rPr>
          <w:color w:val="000000"/>
          <w:szCs w:val="28"/>
        </w:rPr>
        <w:t xml:space="preserve">29,5 млрд грн </w:t>
      </w:r>
      <w:r w:rsidRPr="003A53D4">
        <w:rPr>
          <w:color w:val="000000"/>
          <w:szCs w:val="28"/>
        </w:rPr>
        <w:t>(</w:t>
      </w:r>
      <w:r>
        <w:rPr>
          <w:color w:val="000000"/>
          <w:szCs w:val="28"/>
        </w:rPr>
        <w:t xml:space="preserve">з них </w:t>
      </w:r>
      <w:r w:rsidRPr="003A53D4">
        <w:rPr>
          <w:color w:val="000000"/>
          <w:szCs w:val="28"/>
        </w:rPr>
        <w:t>28,6</w:t>
      </w:r>
      <w:r>
        <w:rPr>
          <w:color w:val="000000"/>
          <w:szCs w:val="28"/>
        </w:rPr>
        <w:t xml:space="preserve"> млрд</w:t>
      </w:r>
      <w:r w:rsidRPr="003A53D4">
        <w:rPr>
          <w:color w:val="000000"/>
          <w:szCs w:val="28"/>
        </w:rPr>
        <w:t xml:space="preserve"> грн</w:t>
      </w:r>
      <w:r>
        <w:rPr>
          <w:color w:val="000000"/>
          <w:szCs w:val="28"/>
        </w:rPr>
        <w:t xml:space="preserve"> до загального фонду</w:t>
      </w:r>
      <w:r w:rsidRPr="003A53D4">
        <w:rPr>
          <w:color w:val="000000"/>
          <w:szCs w:val="28"/>
        </w:rPr>
        <w:t xml:space="preserve">), </w:t>
      </w:r>
      <w:r>
        <w:rPr>
          <w:color w:val="000000"/>
          <w:szCs w:val="28"/>
        </w:rPr>
        <w:t xml:space="preserve">що становить </w:t>
      </w:r>
      <w:r w:rsidRPr="003A53D4">
        <w:rPr>
          <w:color w:val="000000"/>
          <w:szCs w:val="28"/>
        </w:rPr>
        <w:t>7</w:t>
      </w:r>
      <w:r>
        <w:rPr>
          <w:color w:val="000000"/>
          <w:szCs w:val="28"/>
        </w:rPr>
        <w:t>4</w:t>
      </w:r>
      <w:r w:rsidRPr="003A53D4">
        <w:rPr>
          <w:color w:val="000000"/>
          <w:szCs w:val="28"/>
        </w:rPr>
        <w:t>,</w:t>
      </w:r>
      <w:r>
        <w:rPr>
          <w:color w:val="000000"/>
          <w:szCs w:val="28"/>
        </w:rPr>
        <w:t>3</w:t>
      </w:r>
      <w:r w:rsidRPr="003A53D4">
        <w:rPr>
          <w:color w:val="000000"/>
          <w:szCs w:val="28"/>
        </w:rPr>
        <w:t> %</w:t>
      </w:r>
      <w:r w:rsidRPr="003A53D4">
        <w:rPr>
          <w:rFonts w:eastAsia="Times New Roman"/>
          <w:color w:val="000000"/>
          <w:szCs w:val="28"/>
          <w:lang w:eastAsia="ru-RU"/>
        </w:rPr>
        <w:t xml:space="preserve"> загальної суми надходжень частини чистого прибутку та дивідендів до державного бюджету.</w:t>
      </w:r>
    </w:p>
    <w:p w:rsidR="00B979FE" w:rsidRPr="005E5163" w:rsidRDefault="00B979FE" w:rsidP="00B979F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Законом України «Про Державний бюджет України на 2019 рік» надходження частини чистого прибутку та дивідендів заплановані в сумі 44,5 млрд гривень. Станом на 06.09.2019 надійшло 32,3 млрд грн, що </w:t>
      </w:r>
      <w:r w:rsidRPr="002E12F0">
        <w:rPr>
          <w:rFonts w:ascii="Times New Roman" w:hAnsi="Times New Roman" w:cs="Times New Roman"/>
          <w:sz w:val="24"/>
          <w:szCs w:val="24"/>
          <w:lang w:eastAsia="ru-RU"/>
        </w:rPr>
        <w:t>становить 72,6% планового</w:t>
      </w:r>
      <w:r>
        <w:rPr>
          <w:rFonts w:ascii="Times New Roman" w:hAnsi="Times New Roman" w:cs="Times New Roman"/>
          <w:sz w:val="24"/>
          <w:szCs w:val="24"/>
          <w:lang w:eastAsia="ru-RU"/>
        </w:rPr>
        <w:t xml:space="preserve"> показника на рік. У 2019 році існує ризик недонадходження до державного бюджету частини чистого </w:t>
      </w:r>
      <w:r w:rsidRPr="005E5163">
        <w:rPr>
          <w:rFonts w:ascii="Times New Roman" w:hAnsi="Times New Roman" w:cs="Times New Roman"/>
          <w:sz w:val="24"/>
          <w:szCs w:val="24"/>
          <w:lang w:eastAsia="ru-RU"/>
        </w:rPr>
        <w:t>прибутку та дивідендів у сумі 8,6 млрд грн у зв’язку із:</w:t>
      </w:r>
    </w:p>
    <w:p w:rsidR="00B979FE" w:rsidRDefault="00B979FE" w:rsidP="00B979FE">
      <w:pPr>
        <w:spacing w:after="0" w:line="240" w:lineRule="auto"/>
        <w:ind w:firstLine="567"/>
        <w:jc w:val="both"/>
        <w:rPr>
          <w:rFonts w:ascii="Times New Roman" w:hAnsi="Times New Roman" w:cs="Times New Roman"/>
          <w:sz w:val="24"/>
          <w:szCs w:val="24"/>
          <w:lang w:eastAsia="ru-RU"/>
        </w:rPr>
      </w:pPr>
      <w:r w:rsidRPr="005E5163">
        <w:rPr>
          <w:rFonts w:ascii="Times New Roman" w:hAnsi="Times New Roman" w:cs="Times New Roman"/>
          <w:sz w:val="24"/>
          <w:szCs w:val="24"/>
          <w:lang w:eastAsia="ru-RU"/>
        </w:rPr>
        <w:t>- встановленням диференційованих нормативів щодо сплати зазначених платежів для деяких суб’єктів господарювання (</w:t>
      </w:r>
      <w:r w:rsidRPr="005E5163">
        <w:rPr>
          <w:rFonts w:ascii="Times New Roman" w:hAnsi="Times New Roman" w:cs="Times New Roman"/>
          <w:sz w:val="24"/>
          <w:szCs w:val="24"/>
        </w:rPr>
        <w:t>ДП «Укрхімтрансаміак», П</w:t>
      </w:r>
      <w:r>
        <w:rPr>
          <w:rFonts w:ascii="Times New Roman" w:hAnsi="Times New Roman" w:cs="Times New Roman"/>
          <w:sz w:val="24"/>
          <w:szCs w:val="24"/>
        </w:rPr>
        <w:t>р</w:t>
      </w:r>
      <w:r w:rsidRPr="005E5163">
        <w:rPr>
          <w:rFonts w:ascii="Times New Roman" w:hAnsi="Times New Roman" w:cs="Times New Roman"/>
          <w:sz w:val="24"/>
          <w:szCs w:val="24"/>
        </w:rPr>
        <w:t xml:space="preserve">АТ «Укргідроенерго», </w:t>
      </w:r>
      <w:r w:rsidRPr="005E5163">
        <w:rPr>
          <w:rFonts w:ascii="Times New Roman" w:hAnsi="Times New Roman" w:cs="Times New Roman"/>
          <w:sz w:val="24"/>
          <w:szCs w:val="24"/>
        </w:rPr>
        <w:br/>
        <w:t xml:space="preserve">ПАТ «ОГХК», ПАТ «Укрзалізниця», ПАТ «Ощадбанк», ДК </w:t>
      </w:r>
      <w:r>
        <w:rPr>
          <w:rFonts w:ascii="Times New Roman" w:hAnsi="Times New Roman" w:cs="Times New Roman"/>
          <w:sz w:val="24"/>
          <w:szCs w:val="24"/>
        </w:rPr>
        <w:t>«</w:t>
      </w:r>
      <w:r w:rsidRPr="005E5163">
        <w:rPr>
          <w:rFonts w:ascii="Times New Roman" w:hAnsi="Times New Roman" w:cs="Times New Roman"/>
          <w:sz w:val="24"/>
          <w:szCs w:val="24"/>
        </w:rPr>
        <w:t>Укроборонпром</w:t>
      </w:r>
      <w:r>
        <w:rPr>
          <w:rFonts w:ascii="Times New Roman" w:hAnsi="Times New Roman" w:cs="Times New Roman"/>
          <w:sz w:val="24"/>
          <w:szCs w:val="24"/>
        </w:rPr>
        <w:t xml:space="preserve">», підприємства ОПК, </w:t>
      </w:r>
      <w:r w:rsidRPr="005E5163">
        <w:rPr>
          <w:rFonts w:ascii="Times New Roman" w:hAnsi="Times New Roman" w:cs="Times New Roman"/>
          <w:sz w:val="24"/>
          <w:szCs w:val="24"/>
        </w:rPr>
        <w:t>ДП «Поліграфічний комбінат «Україна»</w:t>
      </w:r>
      <w:r w:rsidRPr="005E5163">
        <w:rPr>
          <w:rFonts w:ascii="Times New Roman" w:hAnsi="Times New Roman" w:cs="Times New Roman"/>
          <w:sz w:val="24"/>
          <w:szCs w:val="24"/>
          <w:lang w:eastAsia="ru-RU"/>
        </w:rPr>
        <w:t>);</w:t>
      </w:r>
    </w:p>
    <w:p w:rsidR="00B979FE" w:rsidRPr="006221E5" w:rsidRDefault="00B979FE" w:rsidP="00B979FE">
      <w:pPr>
        <w:pStyle w:val="a4"/>
        <w:spacing w:after="0" w:line="240" w:lineRule="auto"/>
        <w:ind w:left="0" w:firstLine="567"/>
        <w:contextualSpacing w:val="0"/>
        <w:jc w:val="both"/>
        <w:rPr>
          <w:rFonts w:ascii="Times New Roman" w:eastAsia="Calibri" w:hAnsi="Times New Roman" w:cs="Times New Roman"/>
          <w:sz w:val="24"/>
          <w:szCs w:val="24"/>
        </w:rPr>
      </w:pPr>
      <w:r w:rsidRPr="006F2306">
        <w:rPr>
          <w:rFonts w:ascii="Times New Roman" w:hAnsi="Times New Roman" w:cs="Times New Roman"/>
          <w:sz w:val="24"/>
          <w:szCs w:val="24"/>
          <w:lang w:eastAsia="ru-RU"/>
        </w:rPr>
        <w:t xml:space="preserve">- при плануванні </w:t>
      </w:r>
      <w:r w:rsidRPr="006F2306">
        <w:rPr>
          <w:rFonts w:ascii="Times New Roman" w:eastAsia="Calibri" w:hAnsi="Times New Roman" w:cs="Times New Roman"/>
          <w:sz w:val="24"/>
          <w:szCs w:val="24"/>
        </w:rPr>
        <w:t xml:space="preserve">показників </w:t>
      </w:r>
      <w:r w:rsidRPr="006F2306">
        <w:rPr>
          <w:rFonts w:ascii="Times New Roman" w:hAnsi="Times New Roman" w:cs="Times New Roman"/>
          <w:sz w:val="24"/>
          <w:szCs w:val="24"/>
          <w:lang w:eastAsia="ru-RU"/>
        </w:rPr>
        <w:t>частини чистого прибутку та дивідендів</w:t>
      </w:r>
      <w:r w:rsidRPr="006F2306">
        <w:rPr>
          <w:rFonts w:ascii="Times New Roman" w:eastAsia="Calibri" w:hAnsi="Times New Roman" w:cs="Times New Roman"/>
          <w:sz w:val="24"/>
          <w:szCs w:val="24"/>
        </w:rPr>
        <w:t xml:space="preserve"> враховувались прогнозні показники на 2018 та 2019 роки фінпланів та проектів фінпланів, показники яких по деяких підприємствах мали значні відхилення від фактичних показників, зокрема,  було враховано сплату дивідендів НАК «Нафтогаз України» у сумі 19,4 млрд грн (чистий прибуток відповідно до проекту фінплану на 2018 рік – 21,6 млрд грн), фактичні надходження дивідендів – 12,3 млрд грн (фактичний чистий прибуток – 13,6 млрд грн). Недонадходження </w:t>
      </w:r>
      <w:r>
        <w:rPr>
          <w:rFonts w:ascii="Times New Roman" w:eastAsia="Calibri" w:hAnsi="Times New Roman" w:cs="Times New Roman"/>
          <w:sz w:val="24"/>
          <w:szCs w:val="24"/>
        </w:rPr>
        <w:t xml:space="preserve">становить </w:t>
      </w:r>
      <w:r w:rsidRPr="006F2306">
        <w:rPr>
          <w:rFonts w:ascii="Times New Roman" w:eastAsia="Calibri" w:hAnsi="Times New Roman" w:cs="Times New Roman"/>
          <w:sz w:val="24"/>
          <w:szCs w:val="24"/>
        </w:rPr>
        <w:t>7,1 млрд гривень.</w:t>
      </w:r>
      <w:r w:rsidRPr="006221E5">
        <w:rPr>
          <w:rFonts w:ascii="Times New Roman" w:eastAsia="Calibri" w:hAnsi="Times New Roman" w:cs="Times New Roman"/>
          <w:sz w:val="24"/>
          <w:szCs w:val="24"/>
        </w:rPr>
        <w:t xml:space="preserve"> </w:t>
      </w:r>
    </w:p>
    <w:p w:rsidR="00B979FE" w:rsidRDefault="00B979FE" w:rsidP="00B979FE">
      <w:pPr>
        <w:spacing w:after="0" w:line="240" w:lineRule="auto"/>
        <w:ind w:firstLine="567"/>
        <w:jc w:val="both"/>
        <w:rPr>
          <w:rFonts w:ascii="Times New Roman" w:hAnsi="Times New Roman" w:cs="Times New Roman"/>
          <w:sz w:val="24"/>
          <w:szCs w:val="24"/>
          <w:lang w:eastAsia="ru-RU"/>
        </w:rPr>
      </w:pPr>
      <w:r w:rsidRPr="005E5163">
        <w:rPr>
          <w:rFonts w:ascii="Times New Roman" w:hAnsi="Times New Roman" w:cs="Times New Roman"/>
          <w:sz w:val="24"/>
          <w:szCs w:val="24"/>
          <w:lang w:eastAsia="ru-RU"/>
        </w:rPr>
        <w:t xml:space="preserve">- несплатою суб’єктами господарювання зазначених платежів до державного бюджету (ПАТ «Укрнафта») або сплатою не за встановленими нормативами (ПАТ «Турбоатом», </w:t>
      </w:r>
      <w:r w:rsidR="00F86ABA">
        <w:rPr>
          <w:rFonts w:ascii="Times New Roman" w:hAnsi="Times New Roman" w:cs="Times New Roman"/>
          <w:sz w:val="24"/>
          <w:szCs w:val="24"/>
          <w:lang w:eastAsia="ru-RU"/>
        </w:rPr>
        <w:br/>
      </w:r>
      <w:r w:rsidRPr="005E5163">
        <w:rPr>
          <w:rFonts w:ascii="Times New Roman" w:hAnsi="Times New Roman" w:cs="Times New Roman"/>
          <w:sz w:val="24"/>
          <w:szCs w:val="24"/>
          <w:lang w:eastAsia="ru-RU"/>
        </w:rPr>
        <w:t>ПАТ «Центренерго», ДП «Бориспіль»).</w:t>
      </w:r>
    </w:p>
    <w:p w:rsidR="00B979FE"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w:t>
      </w:r>
      <w:r w:rsidRPr="00C23E82">
        <w:rPr>
          <w:rFonts w:ascii="Times New Roman" w:eastAsia="Times New Roman" w:hAnsi="Times New Roman" w:cs="Times New Roman"/>
          <w:color w:val="000000"/>
          <w:sz w:val="24"/>
          <w:szCs w:val="24"/>
          <w:lang w:eastAsia="ru-RU"/>
        </w:rPr>
        <w:t>, ПАТ «Укрнафта» (50%+1 акція належить АТ «НАК «Нафтогаз України»), яке за результатами діяльності у 2018 році отримало чистий прибуток у сумі 6,4 млрд грн, та згідно із Законом України «Про управління об’єктами державної власності» зобов’язане спрямувати частину чистого прибутку на виплату дивідендів згідно з порядком, затвердженим Кабінетом Міністрів України, не було сплачено до державного бюджету дивіденди у сумі 2,9 млрд гривень.</w:t>
      </w:r>
      <w:r>
        <w:rPr>
          <w:rFonts w:ascii="Times New Roman" w:eastAsia="Times New Roman" w:hAnsi="Times New Roman" w:cs="Times New Roman"/>
          <w:color w:val="000000"/>
          <w:sz w:val="24"/>
          <w:szCs w:val="24"/>
          <w:lang w:eastAsia="ru-RU"/>
        </w:rPr>
        <w:t xml:space="preserve"> Питання щодо сплати товариством дивідендів до державного бюджету в даний час розглядається в судовому порядку.</w:t>
      </w:r>
    </w:p>
    <w:p w:rsidR="00B979FE" w:rsidRPr="006873A4" w:rsidRDefault="006873A4" w:rsidP="006873A4">
      <w:pPr>
        <w:spacing w:after="0" w:line="240" w:lineRule="auto"/>
        <w:jc w:val="both"/>
        <w:rPr>
          <w:rFonts w:ascii="Times New Roman" w:eastAsia="Times New Roman" w:hAnsi="Times New Roman" w:cs="Times New Roman"/>
          <w:i/>
          <w:color w:val="000000"/>
          <w:sz w:val="20"/>
          <w:szCs w:val="28"/>
          <w:lang w:eastAsia="ru-RU"/>
        </w:rPr>
      </w:pPr>
      <w:r w:rsidRPr="006873A4">
        <w:rPr>
          <w:rFonts w:ascii="Times New Roman" w:hAnsi="Times New Roman" w:cs="Times New Roman"/>
          <w:noProof/>
          <w:lang w:eastAsia="uk-UA"/>
        </w:rPr>
        <w:drawing>
          <wp:anchor distT="0" distB="0" distL="114300" distR="114300" simplePos="0" relativeHeight="251659264" behindDoc="0" locked="0" layoutInCell="1" allowOverlap="1" wp14:anchorId="01C1CC37" wp14:editId="76D35893">
            <wp:simplePos x="0" y="0"/>
            <wp:positionH relativeFrom="column">
              <wp:posOffset>-6350</wp:posOffset>
            </wp:positionH>
            <wp:positionV relativeFrom="paragraph">
              <wp:posOffset>107950</wp:posOffset>
            </wp:positionV>
            <wp:extent cx="6080760" cy="3756660"/>
            <wp:effectExtent l="0" t="0" r="0" b="0"/>
            <wp:wrapSquare wrapText="bothSides"/>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979FE" w:rsidRPr="006873A4">
        <w:rPr>
          <w:rFonts w:ascii="Times New Roman" w:eastAsia="Times New Roman" w:hAnsi="Times New Roman" w:cs="Times New Roman"/>
          <w:i/>
          <w:color w:val="000000"/>
          <w:sz w:val="20"/>
          <w:szCs w:val="28"/>
          <w:lang w:eastAsia="ru-RU"/>
        </w:rPr>
        <w:t>Джерело: дані Мінфіну</w:t>
      </w:r>
    </w:p>
    <w:p w:rsidR="00B979FE" w:rsidRPr="005A0E1F" w:rsidRDefault="00B979FE" w:rsidP="005A0E1F">
      <w:pPr>
        <w:spacing w:after="0" w:line="240" w:lineRule="auto"/>
        <w:jc w:val="both"/>
        <w:rPr>
          <w:rFonts w:eastAsia="Times New Roman"/>
          <w:i/>
          <w:color w:val="000000"/>
          <w:sz w:val="20"/>
          <w:szCs w:val="28"/>
          <w:lang w:eastAsia="ru-RU"/>
        </w:rPr>
      </w:pPr>
      <w:r w:rsidRPr="005A0E1F">
        <w:rPr>
          <w:rFonts w:ascii="Times New Roman" w:eastAsia="Times New Roman" w:hAnsi="Times New Roman" w:cs="Times New Roman"/>
          <w:i/>
          <w:color w:val="000000"/>
          <w:sz w:val="20"/>
          <w:szCs w:val="28"/>
          <w:lang w:eastAsia="ru-RU"/>
        </w:rPr>
        <w:t>*очікувані надходження 2019 року</w:t>
      </w:r>
    </w:p>
    <w:p w:rsidR="00C55ED2" w:rsidRDefault="00C55ED2" w:rsidP="00D43B1F">
      <w:pPr>
        <w:spacing w:after="0" w:line="240" w:lineRule="auto"/>
        <w:ind w:firstLine="567"/>
        <w:jc w:val="both"/>
        <w:rPr>
          <w:rFonts w:ascii="Times New Roman" w:eastAsia="Times New Roman" w:hAnsi="Times New Roman" w:cs="Times New Roman"/>
          <w:color w:val="000000"/>
          <w:sz w:val="24"/>
          <w:szCs w:val="24"/>
          <w:lang w:eastAsia="ru-RU"/>
        </w:rPr>
      </w:pPr>
    </w:p>
    <w:p w:rsidR="00D43B1F" w:rsidRPr="00AD3A75" w:rsidRDefault="00D43B1F" w:rsidP="00D43B1F">
      <w:pPr>
        <w:spacing w:after="0" w:line="240" w:lineRule="auto"/>
        <w:ind w:firstLine="567"/>
        <w:jc w:val="both"/>
        <w:rPr>
          <w:rFonts w:ascii="Times New Roman" w:eastAsia="Times New Roman" w:hAnsi="Times New Roman" w:cs="Times New Roman"/>
          <w:color w:val="000000"/>
          <w:sz w:val="24"/>
          <w:szCs w:val="24"/>
          <w:lang w:eastAsia="ru-RU"/>
        </w:rPr>
      </w:pPr>
      <w:r w:rsidRPr="00AD3A75">
        <w:rPr>
          <w:rFonts w:ascii="Times New Roman" w:eastAsia="Times New Roman" w:hAnsi="Times New Roman" w:cs="Times New Roman"/>
          <w:color w:val="000000"/>
          <w:sz w:val="24"/>
          <w:szCs w:val="24"/>
          <w:lang w:eastAsia="ru-RU"/>
        </w:rPr>
        <w:t>Міністерством фінансів вживається комплекс заходів, направлених на мінімізацію фіскальних ризиків, пов’язаних із недонадходженням до державного бюджету вказаних платежів.</w:t>
      </w:r>
    </w:p>
    <w:p w:rsidR="006873A4" w:rsidRPr="00497DA0" w:rsidRDefault="006873A4" w:rsidP="006873A4">
      <w:pPr>
        <w:spacing w:after="0" w:line="240" w:lineRule="auto"/>
        <w:ind w:firstLine="567"/>
        <w:jc w:val="both"/>
        <w:rPr>
          <w:rFonts w:ascii="Times New Roman" w:eastAsia="Times New Roman" w:hAnsi="Times New Roman" w:cs="Times New Roman"/>
          <w:color w:val="000000"/>
          <w:sz w:val="24"/>
          <w:szCs w:val="24"/>
          <w:lang w:eastAsia="ru-RU"/>
        </w:rPr>
      </w:pPr>
      <w:r w:rsidRPr="00345B28">
        <w:rPr>
          <w:rFonts w:ascii="Times New Roman" w:hAnsi="Times New Roman" w:cs="Times New Roman"/>
          <w:sz w:val="24"/>
          <w:szCs w:val="24"/>
        </w:rPr>
        <w:t xml:space="preserve">У 2020 році плануються надходження частини чистого прибутку та дивідендів у сумі </w:t>
      </w:r>
      <w:r w:rsidRPr="00345B28">
        <w:rPr>
          <w:rFonts w:ascii="Times New Roman" w:hAnsi="Times New Roman" w:cs="Times New Roman"/>
          <w:sz w:val="24"/>
          <w:szCs w:val="24"/>
        </w:rPr>
        <w:br/>
      </w:r>
      <w:r w:rsidR="003A2C22">
        <w:rPr>
          <w:rFonts w:ascii="Times New Roman" w:hAnsi="Times New Roman" w:cs="Times New Roman"/>
          <w:sz w:val="24"/>
          <w:szCs w:val="24"/>
          <w:lang w:val="ru-RU"/>
        </w:rPr>
        <w:t>32,4</w:t>
      </w:r>
      <w:r w:rsidR="00345B28" w:rsidRPr="00345B28">
        <w:rPr>
          <w:rFonts w:ascii="Times New Roman" w:hAnsi="Times New Roman" w:cs="Times New Roman"/>
          <w:sz w:val="24"/>
          <w:szCs w:val="24"/>
        </w:rPr>
        <w:t xml:space="preserve"> млрд грн, що на </w:t>
      </w:r>
      <w:r w:rsidR="003A2C22">
        <w:rPr>
          <w:rFonts w:ascii="Times New Roman" w:hAnsi="Times New Roman" w:cs="Times New Roman"/>
          <w:sz w:val="24"/>
          <w:szCs w:val="24"/>
        </w:rPr>
        <w:t>9,7</w:t>
      </w:r>
      <w:r w:rsidRPr="00345B28">
        <w:rPr>
          <w:rFonts w:ascii="Times New Roman" w:hAnsi="Times New Roman" w:cs="Times New Roman"/>
          <w:sz w:val="24"/>
          <w:szCs w:val="24"/>
        </w:rPr>
        <w:t xml:space="preserve"> % або на </w:t>
      </w:r>
      <w:r w:rsidR="003A2C22">
        <w:rPr>
          <w:rFonts w:ascii="Times New Roman" w:hAnsi="Times New Roman" w:cs="Times New Roman"/>
          <w:sz w:val="24"/>
          <w:szCs w:val="24"/>
        </w:rPr>
        <w:t>3,5</w:t>
      </w:r>
      <w:r w:rsidRPr="00345B28">
        <w:rPr>
          <w:rFonts w:ascii="Times New Roman" w:hAnsi="Times New Roman" w:cs="Times New Roman"/>
          <w:sz w:val="24"/>
          <w:szCs w:val="24"/>
        </w:rPr>
        <w:t xml:space="preserve"> млрд грн менше від прогнозних даних 2019 року.</w:t>
      </w:r>
      <w:r w:rsidRPr="00497DA0">
        <w:rPr>
          <w:rFonts w:ascii="Times New Roman" w:hAnsi="Times New Roman" w:cs="Times New Roman"/>
          <w:sz w:val="24"/>
          <w:szCs w:val="24"/>
        </w:rPr>
        <w:t xml:space="preserve"> </w:t>
      </w:r>
      <w:r w:rsidRPr="00497DA0">
        <w:rPr>
          <w:rFonts w:ascii="Times New Roman" w:eastAsia="Times New Roman" w:hAnsi="Times New Roman" w:cs="Times New Roman"/>
          <w:color w:val="000000"/>
          <w:sz w:val="24"/>
          <w:szCs w:val="24"/>
          <w:lang w:eastAsia="ru-RU"/>
        </w:rPr>
        <w:t xml:space="preserve">Зменшення надходжень частини </w:t>
      </w:r>
      <w:r w:rsidRPr="00497DA0">
        <w:rPr>
          <w:rFonts w:ascii="Times New Roman" w:hAnsi="Times New Roman" w:cs="Times New Roman"/>
          <w:sz w:val="24"/>
          <w:szCs w:val="24"/>
          <w:lang w:eastAsia="ru-RU"/>
        </w:rPr>
        <w:t>чистого прибутку та дивідендів</w:t>
      </w:r>
      <w:r w:rsidRPr="00497DA0">
        <w:rPr>
          <w:rFonts w:ascii="Times New Roman" w:eastAsia="Calibri" w:hAnsi="Times New Roman" w:cs="Times New Roman"/>
          <w:sz w:val="24"/>
          <w:szCs w:val="24"/>
        </w:rPr>
        <w:t xml:space="preserve"> </w:t>
      </w:r>
      <w:r w:rsidRPr="00497DA0">
        <w:rPr>
          <w:rFonts w:ascii="Times New Roman" w:eastAsia="Times New Roman" w:hAnsi="Times New Roman" w:cs="Times New Roman"/>
          <w:color w:val="000000"/>
          <w:sz w:val="24"/>
          <w:szCs w:val="24"/>
          <w:lang w:eastAsia="ru-RU"/>
        </w:rPr>
        <w:t>до державного бюджету у 2020 році у порівн</w:t>
      </w:r>
      <w:r>
        <w:rPr>
          <w:rFonts w:ascii="Times New Roman" w:eastAsia="Times New Roman" w:hAnsi="Times New Roman" w:cs="Times New Roman"/>
          <w:color w:val="000000"/>
          <w:sz w:val="24"/>
          <w:szCs w:val="24"/>
          <w:lang w:eastAsia="ru-RU"/>
        </w:rPr>
        <w:t>янні з прогнозом поточного року</w:t>
      </w:r>
      <w:r w:rsidRPr="00497DA0">
        <w:rPr>
          <w:rFonts w:ascii="Times New Roman" w:eastAsia="Times New Roman" w:hAnsi="Times New Roman" w:cs="Times New Roman"/>
          <w:color w:val="000000"/>
          <w:sz w:val="24"/>
          <w:szCs w:val="24"/>
          <w:lang w:eastAsia="ru-RU"/>
        </w:rPr>
        <w:t xml:space="preserve"> пов’язане із запланованим зниженням нормативу відрахувань </w:t>
      </w:r>
      <w:r w:rsidRPr="00497DA0">
        <w:rPr>
          <w:rFonts w:ascii="Times New Roman" w:hAnsi="Times New Roman" w:cs="Times New Roman"/>
          <w:sz w:val="24"/>
          <w:szCs w:val="24"/>
          <w:lang w:eastAsia="ru-RU"/>
        </w:rPr>
        <w:t>відповідних платежів до 50% для всіх суб’єктів господарювання, крім</w:t>
      </w:r>
      <w:r w:rsidRPr="00497DA0">
        <w:rPr>
          <w:rFonts w:ascii="Times New Roman" w:eastAsia="Calibri" w:hAnsi="Times New Roman" w:cs="Times New Roman"/>
          <w:sz w:val="24"/>
          <w:szCs w:val="24"/>
        </w:rPr>
        <w:t xml:space="preserve"> ПАТ «Ощадбанк»</w:t>
      </w:r>
      <w:r w:rsidR="00531CAA">
        <w:rPr>
          <w:rFonts w:ascii="Times New Roman" w:eastAsia="Calibri" w:hAnsi="Times New Roman" w:cs="Times New Roman"/>
          <w:sz w:val="24"/>
          <w:szCs w:val="24"/>
        </w:rPr>
        <w:t>,</w:t>
      </w:r>
      <w:r w:rsidR="00531CAA" w:rsidRPr="00531CAA">
        <w:rPr>
          <w:rFonts w:ascii="Times New Roman" w:eastAsia="Calibri" w:hAnsi="Times New Roman" w:cs="Times New Roman"/>
          <w:sz w:val="24"/>
          <w:szCs w:val="24"/>
        </w:rPr>
        <w:t xml:space="preserve"> </w:t>
      </w:r>
      <w:r w:rsidRPr="00497DA0">
        <w:rPr>
          <w:rFonts w:ascii="Times New Roman" w:eastAsia="Calibri" w:hAnsi="Times New Roman" w:cs="Times New Roman"/>
          <w:sz w:val="24"/>
          <w:szCs w:val="24"/>
        </w:rPr>
        <w:t xml:space="preserve">ДК </w:t>
      </w:r>
      <w:r>
        <w:rPr>
          <w:rFonts w:ascii="Times New Roman" w:eastAsia="Calibri" w:hAnsi="Times New Roman" w:cs="Times New Roman"/>
          <w:sz w:val="24"/>
          <w:szCs w:val="24"/>
        </w:rPr>
        <w:t>«</w:t>
      </w:r>
      <w:r w:rsidRPr="00497DA0">
        <w:rPr>
          <w:rFonts w:ascii="Times New Roman" w:eastAsia="Calibri" w:hAnsi="Times New Roman" w:cs="Times New Roman"/>
          <w:sz w:val="24"/>
          <w:szCs w:val="24"/>
        </w:rPr>
        <w:t>Укроборонпром</w:t>
      </w:r>
      <w:r>
        <w:rPr>
          <w:rFonts w:ascii="Times New Roman" w:eastAsia="Calibri" w:hAnsi="Times New Roman" w:cs="Times New Roman"/>
          <w:sz w:val="24"/>
          <w:szCs w:val="24"/>
        </w:rPr>
        <w:t>»</w:t>
      </w:r>
      <w:r w:rsidRPr="00497DA0">
        <w:rPr>
          <w:rFonts w:ascii="Times New Roman" w:eastAsia="Calibri" w:hAnsi="Times New Roman" w:cs="Times New Roman"/>
          <w:sz w:val="24"/>
          <w:szCs w:val="24"/>
        </w:rPr>
        <w:t>, підприємств ОПК</w:t>
      </w:r>
      <w:r w:rsidR="008845B9">
        <w:rPr>
          <w:rFonts w:ascii="Times New Roman" w:eastAsia="Calibri" w:hAnsi="Times New Roman" w:cs="Times New Roman"/>
          <w:sz w:val="24"/>
          <w:szCs w:val="24"/>
        </w:rPr>
        <w:t>,</w:t>
      </w:r>
      <w:r w:rsidRPr="00497DA0">
        <w:rPr>
          <w:rFonts w:ascii="Times New Roman" w:eastAsia="Calibri" w:hAnsi="Times New Roman" w:cs="Times New Roman"/>
          <w:sz w:val="24"/>
          <w:szCs w:val="24"/>
        </w:rPr>
        <w:t xml:space="preserve"> для яких норматив 30%</w:t>
      </w:r>
      <w:r w:rsidRPr="00497DA0">
        <w:rPr>
          <w:rFonts w:ascii="Times New Roman" w:hAnsi="Times New Roman" w:cs="Times New Roman"/>
          <w:sz w:val="24"/>
          <w:szCs w:val="24"/>
          <w:lang w:eastAsia="ru-RU"/>
        </w:rPr>
        <w:t xml:space="preserve"> </w:t>
      </w:r>
      <w:r w:rsidR="008845B9">
        <w:rPr>
          <w:rFonts w:ascii="Times New Roman" w:hAnsi="Times New Roman" w:cs="Times New Roman"/>
          <w:sz w:val="24"/>
          <w:szCs w:val="24"/>
          <w:lang w:eastAsia="ru-RU"/>
        </w:rPr>
        <w:br/>
      </w:r>
      <w:r w:rsidRPr="00497DA0">
        <w:rPr>
          <w:rFonts w:ascii="Times New Roman" w:hAnsi="Times New Roman" w:cs="Times New Roman"/>
          <w:sz w:val="24"/>
          <w:szCs w:val="24"/>
          <w:lang w:eastAsia="ru-RU"/>
        </w:rPr>
        <w:t xml:space="preserve">(у 2019 році діє диференційований норматив 90% для </w:t>
      </w:r>
      <w:r>
        <w:rPr>
          <w:rFonts w:ascii="Times New Roman" w:hAnsi="Times New Roman" w:cs="Times New Roman"/>
          <w:sz w:val="24"/>
          <w:szCs w:val="24"/>
          <w:lang w:eastAsia="ru-RU"/>
        </w:rPr>
        <w:t>суб’єктів</w:t>
      </w:r>
      <w:r w:rsidRPr="00497DA0">
        <w:rPr>
          <w:rFonts w:ascii="Times New Roman" w:hAnsi="Times New Roman" w:cs="Times New Roman"/>
          <w:sz w:val="24"/>
          <w:szCs w:val="24"/>
          <w:lang w:eastAsia="ru-RU"/>
        </w:rPr>
        <w:t xml:space="preserve"> чистий прибуток у яких більше 50 млн грн, та 50% для усіх інших суб’єктів, </w:t>
      </w:r>
      <w:r w:rsidRPr="00497DA0">
        <w:rPr>
          <w:rFonts w:ascii="Times New Roman" w:eastAsia="Calibri" w:hAnsi="Times New Roman" w:cs="Times New Roman"/>
          <w:sz w:val="24"/>
          <w:szCs w:val="24"/>
        </w:rPr>
        <w:t xml:space="preserve">крім ДП «Укрхімтрансаміак», </w:t>
      </w:r>
      <w:r w:rsidR="008845B9">
        <w:rPr>
          <w:rFonts w:ascii="Times New Roman" w:eastAsia="Calibri" w:hAnsi="Times New Roman" w:cs="Times New Roman"/>
          <w:sz w:val="24"/>
          <w:szCs w:val="24"/>
        </w:rPr>
        <w:br/>
      </w:r>
      <w:r w:rsidRPr="00497DA0">
        <w:rPr>
          <w:rFonts w:ascii="Times New Roman" w:eastAsia="Calibri" w:hAnsi="Times New Roman" w:cs="Times New Roman"/>
          <w:sz w:val="24"/>
          <w:szCs w:val="24"/>
        </w:rPr>
        <w:t xml:space="preserve">ПАТ «Укргідроенерго», ПАТ «ОГХК», ПАТ «Укрзалізниця», ПАТ «Ощадбанк», </w:t>
      </w:r>
      <w:r w:rsidR="008845B9">
        <w:rPr>
          <w:rFonts w:ascii="Times New Roman" w:eastAsia="Calibri" w:hAnsi="Times New Roman" w:cs="Times New Roman"/>
          <w:sz w:val="24"/>
          <w:szCs w:val="24"/>
        </w:rPr>
        <w:br/>
      </w:r>
      <w:r w:rsidRPr="00497DA0">
        <w:rPr>
          <w:rFonts w:ascii="Times New Roman" w:eastAsia="Calibri" w:hAnsi="Times New Roman" w:cs="Times New Roman"/>
          <w:sz w:val="24"/>
          <w:szCs w:val="24"/>
        </w:rPr>
        <w:t xml:space="preserve">ДК </w:t>
      </w:r>
      <w:r>
        <w:rPr>
          <w:rFonts w:ascii="Times New Roman" w:eastAsia="Calibri" w:hAnsi="Times New Roman" w:cs="Times New Roman"/>
          <w:sz w:val="24"/>
          <w:szCs w:val="24"/>
        </w:rPr>
        <w:t>«</w:t>
      </w:r>
      <w:r w:rsidRPr="00497DA0">
        <w:rPr>
          <w:rFonts w:ascii="Times New Roman" w:eastAsia="Calibri" w:hAnsi="Times New Roman" w:cs="Times New Roman"/>
          <w:sz w:val="24"/>
          <w:szCs w:val="24"/>
        </w:rPr>
        <w:t>Укроборонпром</w:t>
      </w:r>
      <w:r>
        <w:rPr>
          <w:rFonts w:ascii="Times New Roman" w:eastAsia="Calibri" w:hAnsi="Times New Roman" w:cs="Times New Roman"/>
          <w:sz w:val="24"/>
          <w:szCs w:val="24"/>
        </w:rPr>
        <w:t>»</w:t>
      </w:r>
      <w:r w:rsidRPr="00497DA0">
        <w:rPr>
          <w:rFonts w:ascii="Times New Roman" w:eastAsia="Calibri" w:hAnsi="Times New Roman" w:cs="Times New Roman"/>
          <w:sz w:val="24"/>
          <w:szCs w:val="24"/>
        </w:rPr>
        <w:t>, підприємства ОПК для яких норматив встановлено 30% та 40% ДП «Поліграфкомбінат»).</w:t>
      </w:r>
    </w:p>
    <w:p w:rsidR="00F86ABA" w:rsidRPr="00577073" w:rsidRDefault="00F86ABA" w:rsidP="00F86ABA">
      <w:pPr>
        <w:spacing w:before="120" w:after="0" w:line="240" w:lineRule="auto"/>
        <w:ind w:firstLine="567"/>
        <w:jc w:val="both"/>
        <w:rPr>
          <w:rFonts w:ascii="Times New Roman" w:eastAsia="Times New Roman" w:hAnsi="Times New Roman" w:cs="Times New Roman"/>
          <w:color w:val="000000"/>
          <w:sz w:val="24"/>
          <w:szCs w:val="24"/>
          <w:lang w:eastAsia="ru-RU"/>
        </w:rPr>
      </w:pPr>
      <w:r w:rsidRPr="00577073">
        <w:rPr>
          <w:rFonts w:ascii="Times New Roman" w:eastAsia="Times New Roman" w:hAnsi="Times New Roman" w:cs="Times New Roman"/>
          <w:color w:val="000000"/>
          <w:sz w:val="24"/>
          <w:szCs w:val="24"/>
          <w:lang w:eastAsia="ru-RU"/>
        </w:rPr>
        <w:t>Існують ризики погіршення фінансового стану суб’єктів господарювання, включених до Переліку, внаслідок стягнення коштів за рішеннями</w:t>
      </w:r>
      <w:r>
        <w:rPr>
          <w:rFonts w:ascii="Times New Roman" w:eastAsia="Times New Roman" w:hAnsi="Times New Roman" w:cs="Times New Roman"/>
          <w:color w:val="000000"/>
          <w:sz w:val="24"/>
          <w:szCs w:val="24"/>
          <w:lang w:eastAsia="ru-RU"/>
        </w:rPr>
        <w:t xml:space="preserve"> судів, що набули законної сили, що може призвести до зменшення сплати до державного бюджету відповідних податків і зборів.</w:t>
      </w:r>
    </w:p>
    <w:p w:rsidR="00F86ABA" w:rsidRDefault="00F86ABA" w:rsidP="00F86ABA">
      <w:pPr>
        <w:spacing w:after="0" w:line="240" w:lineRule="auto"/>
        <w:ind w:firstLine="567"/>
        <w:jc w:val="both"/>
        <w:rPr>
          <w:rFonts w:ascii="Times New Roman" w:eastAsia="Times New Roman" w:hAnsi="Times New Roman" w:cs="Times New Roman"/>
          <w:color w:val="000000"/>
          <w:sz w:val="24"/>
          <w:szCs w:val="24"/>
          <w:lang w:eastAsia="ru-RU"/>
        </w:rPr>
      </w:pPr>
      <w:r w:rsidRPr="00577073">
        <w:rPr>
          <w:rFonts w:ascii="Times New Roman" w:eastAsia="Times New Roman" w:hAnsi="Times New Roman" w:cs="Times New Roman"/>
          <w:color w:val="000000"/>
          <w:sz w:val="24"/>
          <w:szCs w:val="24"/>
          <w:lang w:eastAsia="ru-RU"/>
        </w:rPr>
        <w:t>Так, загальна сума коштів, що підлягає стягненню із суб’єктів господарювання, включених до Переліку, згідно рішень судів, які набрали законної сили станом на 01.07.2019, складала 21,1 млрд гривень.</w:t>
      </w:r>
    </w:p>
    <w:p w:rsidR="00F86ABA" w:rsidRDefault="00F86ABA" w:rsidP="00F86ABA">
      <w:pPr>
        <w:spacing w:after="0" w:line="240" w:lineRule="auto"/>
        <w:ind w:firstLine="567"/>
        <w:jc w:val="both"/>
        <w:rPr>
          <w:rFonts w:ascii="Times New Roman" w:eastAsia="Times New Roman" w:hAnsi="Times New Roman" w:cs="Times New Roman"/>
          <w:color w:val="000000"/>
          <w:sz w:val="24"/>
          <w:szCs w:val="24"/>
          <w:lang w:eastAsia="ru-RU"/>
        </w:rPr>
      </w:pPr>
      <w:r w:rsidRPr="00BB50C8">
        <w:rPr>
          <w:rFonts w:ascii="Times New Roman" w:eastAsia="Times New Roman" w:hAnsi="Times New Roman" w:cs="Times New Roman"/>
          <w:color w:val="000000"/>
          <w:sz w:val="24"/>
          <w:szCs w:val="24"/>
          <w:lang w:eastAsia="ru-RU"/>
        </w:rPr>
        <w:t>Крім того, станом на 01.07.2019 року на розгляді у судах перебувають позовні вимоги до суб’єктів господарювання, включених до Переліку, на загальну суму 120,8 млрд гривень.</w:t>
      </w:r>
      <w:r>
        <w:rPr>
          <w:rFonts w:ascii="Times New Roman" w:eastAsia="Times New Roman" w:hAnsi="Times New Roman" w:cs="Times New Roman"/>
          <w:color w:val="000000"/>
          <w:sz w:val="24"/>
          <w:szCs w:val="24"/>
          <w:lang w:eastAsia="ru-RU"/>
        </w:rPr>
        <w:t xml:space="preserve"> </w:t>
      </w:r>
      <w:r w:rsidRPr="00BB50C8">
        <w:rPr>
          <w:rFonts w:ascii="Times New Roman" w:eastAsia="Times New Roman" w:hAnsi="Times New Roman" w:cs="Times New Roman"/>
          <w:color w:val="000000"/>
          <w:sz w:val="24"/>
          <w:szCs w:val="24"/>
          <w:lang w:eastAsia="ru-RU"/>
        </w:rPr>
        <w:t>При цьому</w:t>
      </w:r>
      <w:r w:rsidR="006D43B8">
        <w:rPr>
          <w:rFonts w:ascii="Times New Roman" w:eastAsia="Times New Roman" w:hAnsi="Times New Roman" w:cs="Times New Roman"/>
          <w:color w:val="000000"/>
          <w:sz w:val="24"/>
          <w:szCs w:val="24"/>
          <w:lang w:eastAsia="ru-RU"/>
        </w:rPr>
        <w:t>,</w:t>
      </w:r>
      <w:r w:rsidRPr="00BB50C8">
        <w:rPr>
          <w:rFonts w:ascii="Times New Roman" w:eastAsia="Times New Roman" w:hAnsi="Times New Roman" w:cs="Times New Roman"/>
          <w:color w:val="000000"/>
          <w:sz w:val="24"/>
          <w:szCs w:val="24"/>
          <w:lang w:eastAsia="ru-RU"/>
        </w:rPr>
        <w:t xml:space="preserve"> 89,4 млрд грн або близько 74% загальної суми позовних вимог становлять позовні вимоги ПАТ «Укрнафта» (71,5 млрд грн) та АТ «Укр</w:t>
      </w:r>
      <w:r>
        <w:rPr>
          <w:rFonts w:ascii="Times New Roman" w:eastAsia="Times New Roman" w:hAnsi="Times New Roman" w:cs="Times New Roman"/>
          <w:color w:val="000000"/>
          <w:sz w:val="24"/>
          <w:szCs w:val="24"/>
          <w:lang w:eastAsia="ru-RU"/>
        </w:rPr>
        <w:t xml:space="preserve">трансгаз» (17,9 млрд грн) до </w:t>
      </w:r>
      <w:r>
        <w:rPr>
          <w:rFonts w:ascii="Times New Roman" w:eastAsia="Times New Roman" w:hAnsi="Times New Roman" w:cs="Times New Roman"/>
          <w:color w:val="000000"/>
          <w:sz w:val="24"/>
          <w:szCs w:val="24"/>
          <w:lang w:eastAsia="ru-RU"/>
        </w:rPr>
        <w:br/>
        <w:t>АТ </w:t>
      </w:r>
      <w:r w:rsidRPr="00BB50C8">
        <w:rPr>
          <w:rFonts w:ascii="Times New Roman" w:eastAsia="Times New Roman" w:hAnsi="Times New Roman" w:cs="Times New Roman"/>
          <w:color w:val="000000"/>
          <w:sz w:val="24"/>
          <w:szCs w:val="24"/>
          <w:lang w:eastAsia="ru-RU"/>
        </w:rPr>
        <w:t>«НАК «Нафтогаз України».</w:t>
      </w:r>
    </w:p>
    <w:p w:rsidR="00F86ABA" w:rsidRDefault="00F86ABA" w:rsidP="00F86ABA">
      <w:pPr>
        <w:spacing w:before="120" w:after="0"/>
        <w:jc w:val="both"/>
        <w:rPr>
          <w:rFonts w:ascii="Times New Roman" w:eastAsia="Times New Roman" w:hAnsi="Times New Roman" w:cs="Times New Roman"/>
          <w:color w:val="000000"/>
          <w:sz w:val="24"/>
          <w:szCs w:val="24"/>
          <w:lang w:eastAsia="ru-RU"/>
        </w:rPr>
      </w:pPr>
      <w:r>
        <w:rPr>
          <w:noProof/>
          <w:lang w:eastAsia="uk-UA"/>
        </w:rPr>
        <w:drawing>
          <wp:inline distT="0" distB="0" distL="0" distR="0" wp14:anchorId="37E3008E" wp14:editId="0675EFFE">
            <wp:extent cx="6111240" cy="4869180"/>
            <wp:effectExtent l="0" t="0" r="3810" b="762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6ABA" w:rsidRPr="00A17AB8" w:rsidRDefault="00F86ABA" w:rsidP="00F86ABA">
      <w:pPr>
        <w:pStyle w:val="af"/>
        <w:spacing w:before="0" w:beforeAutospacing="0" w:after="120" w:afterAutospacing="0"/>
        <w:jc w:val="both"/>
        <w:rPr>
          <w:rFonts w:eastAsia="Times New Roman"/>
          <w:i/>
          <w:color w:val="000000"/>
          <w:sz w:val="22"/>
          <w:szCs w:val="28"/>
          <w:lang w:eastAsia="ru-RU"/>
        </w:rPr>
      </w:pPr>
      <w:r w:rsidRPr="00A17AB8">
        <w:rPr>
          <w:rFonts w:eastAsia="Times New Roman"/>
          <w:i/>
          <w:color w:val="000000"/>
          <w:sz w:val="22"/>
          <w:szCs w:val="28"/>
          <w:lang w:eastAsia="ru-RU"/>
        </w:rPr>
        <w:t>Джерело: дані суб’єктів господарювання</w:t>
      </w:r>
    </w:p>
    <w:p w:rsidR="00B979FE" w:rsidRDefault="00475AC2" w:rsidP="00B979FE">
      <w:pPr>
        <w:pStyle w:val="a4"/>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979FE" w:rsidRPr="00EF6768">
        <w:rPr>
          <w:rFonts w:ascii="Times New Roman" w:eastAsia="Times New Roman" w:hAnsi="Times New Roman" w:cs="Times New Roman"/>
          <w:sz w:val="24"/>
          <w:szCs w:val="24"/>
          <w:lang w:eastAsia="ru-RU"/>
        </w:rPr>
        <w:t>о зменшення відрахування податкових та неподаткових платежів до державного бюджету у 2020 році мож</w:t>
      </w:r>
      <w:r>
        <w:rPr>
          <w:rFonts w:ascii="Times New Roman" w:eastAsia="Times New Roman" w:hAnsi="Times New Roman" w:cs="Times New Roman"/>
          <w:sz w:val="24"/>
          <w:szCs w:val="24"/>
          <w:lang w:eastAsia="ru-RU"/>
        </w:rPr>
        <w:t>уть</w:t>
      </w:r>
      <w:r w:rsidR="00B979FE" w:rsidRPr="00EF6768">
        <w:rPr>
          <w:rFonts w:ascii="Times New Roman" w:eastAsia="Times New Roman" w:hAnsi="Times New Roman" w:cs="Times New Roman"/>
          <w:sz w:val="24"/>
          <w:szCs w:val="24"/>
          <w:lang w:eastAsia="ru-RU"/>
        </w:rPr>
        <w:t xml:space="preserve"> призвести</w:t>
      </w:r>
      <w:r w:rsidR="00B979FE">
        <w:rPr>
          <w:rFonts w:ascii="Times New Roman" w:eastAsia="Times New Roman" w:hAnsi="Times New Roman" w:cs="Times New Roman"/>
          <w:sz w:val="24"/>
          <w:szCs w:val="24"/>
          <w:lang w:eastAsia="ru-RU"/>
        </w:rPr>
        <w:t>, зокрема</w:t>
      </w:r>
      <w:r>
        <w:rPr>
          <w:rFonts w:ascii="Times New Roman" w:eastAsia="Times New Roman" w:hAnsi="Times New Roman" w:cs="Times New Roman"/>
          <w:sz w:val="24"/>
          <w:szCs w:val="24"/>
          <w:lang w:eastAsia="ru-RU"/>
        </w:rPr>
        <w:t>, такі чинники</w:t>
      </w:r>
      <w:r w:rsidR="00B979FE" w:rsidRPr="00EF6768">
        <w:rPr>
          <w:rFonts w:ascii="Times New Roman" w:eastAsia="Times New Roman" w:hAnsi="Times New Roman" w:cs="Times New Roman"/>
          <w:sz w:val="24"/>
          <w:szCs w:val="24"/>
          <w:lang w:eastAsia="ru-RU"/>
        </w:rPr>
        <w:t>:</w:t>
      </w:r>
    </w:p>
    <w:p w:rsidR="00B979FE" w:rsidRDefault="00B979FE" w:rsidP="00B979FE">
      <w:pPr>
        <w:pStyle w:val="a4"/>
        <w:numPr>
          <w:ilvl w:val="0"/>
          <w:numId w:val="32"/>
        </w:numPr>
        <w:spacing w:before="120" w:after="120" w:line="240" w:lineRule="auto"/>
        <w:ind w:left="0" w:firstLine="567"/>
        <w:jc w:val="both"/>
        <w:rPr>
          <w:rFonts w:ascii="Times New Roman" w:eastAsia="Times New Roman" w:hAnsi="Times New Roman" w:cs="Times New Roman"/>
          <w:color w:val="000000"/>
          <w:sz w:val="24"/>
          <w:szCs w:val="24"/>
          <w:lang w:eastAsia="ru-RU"/>
        </w:rPr>
      </w:pPr>
      <w:r w:rsidRPr="001A11B7">
        <w:rPr>
          <w:rFonts w:ascii="Times New Roman" w:eastAsia="Times New Roman" w:hAnsi="Times New Roman" w:cs="Times New Roman"/>
          <w:color w:val="000000"/>
          <w:sz w:val="24"/>
          <w:szCs w:val="24"/>
          <w:lang w:eastAsia="ru-RU"/>
        </w:rPr>
        <w:t>зниження обсягів транзиту природного газу для зовнішнього ринку та зниження обсягів транспортування природного газу для споживачів України;</w:t>
      </w:r>
    </w:p>
    <w:p w:rsidR="00B979FE" w:rsidRDefault="00B979FE" w:rsidP="00B979FE">
      <w:pPr>
        <w:pStyle w:val="a4"/>
        <w:numPr>
          <w:ilvl w:val="0"/>
          <w:numId w:val="32"/>
        </w:numPr>
        <w:spacing w:before="120" w:after="120" w:line="240" w:lineRule="auto"/>
        <w:ind w:left="0" w:firstLine="567"/>
        <w:jc w:val="both"/>
        <w:rPr>
          <w:rFonts w:ascii="Times New Roman" w:eastAsia="Times New Roman" w:hAnsi="Times New Roman" w:cs="Times New Roman"/>
          <w:color w:val="000000"/>
          <w:sz w:val="24"/>
          <w:szCs w:val="24"/>
          <w:lang w:eastAsia="ru-RU"/>
        </w:rPr>
      </w:pPr>
      <w:r w:rsidRPr="001A11B7">
        <w:rPr>
          <w:rFonts w:ascii="Times New Roman" w:eastAsia="Times New Roman" w:hAnsi="Times New Roman" w:cs="Times New Roman"/>
          <w:color w:val="000000"/>
          <w:sz w:val="24"/>
          <w:szCs w:val="24"/>
          <w:lang w:eastAsia="ru-RU"/>
        </w:rPr>
        <w:t>погіршення результатів діяльності підприємств енергетичної галузі, зокрема внаслідок запровадження з 1 липня 2019 року в Україні нового ринку електроенергії та покладення на учасників ринку електричної енергії (ДП «НАЕК «Енергоатом» та ПрАТ «Укргідроенерго») спеціальних обов’язків;</w:t>
      </w:r>
    </w:p>
    <w:p w:rsidR="00B979FE" w:rsidRDefault="00B979FE" w:rsidP="00B979FE">
      <w:pPr>
        <w:pStyle w:val="a4"/>
        <w:numPr>
          <w:ilvl w:val="0"/>
          <w:numId w:val="32"/>
        </w:numPr>
        <w:spacing w:before="120" w:after="120" w:line="240" w:lineRule="auto"/>
        <w:ind w:left="0" w:firstLine="567"/>
        <w:jc w:val="both"/>
        <w:rPr>
          <w:rFonts w:ascii="Times New Roman" w:eastAsia="Times New Roman" w:hAnsi="Times New Roman" w:cs="Times New Roman"/>
          <w:color w:val="000000"/>
          <w:sz w:val="24"/>
          <w:szCs w:val="24"/>
          <w:lang w:eastAsia="ru-RU"/>
        </w:rPr>
      </w:pPr>
      <w:r w:rsidRPr="001A11B7">
        <w:rPr>
          <w:rFonts w:ascii="Times New Roman" w:eastAsia="Times New Roman" w:hAnsi="Times New Roman" w:cs="Times New Roman"/>
          <w:color w:val="000000"/>
          <w:sz w:val="24"/>
          <w:szCs w:val="24"/>
          <w:lang w:eastAsia="ru-RU"/>
        </w:rPr>
        <w:t>зниження обсягів</w:t>
      </w:r>
      <w:r w:rsidRPr="00AA60A5">
        <w:t xml:space="preserve"> </w:t>
      </w:r>
      <w:r>
        <w:t>в</w:t>
      </w:r>
      <w:r w:rsidRPr="001A11B7">
        <w:rPr>
          <w:rFonts w:ascii="Times New Roman" w:eastAsia="Times New Roman" w:hAnsi="Times New Roman" w:cs="Times New Roman"/>
          <w:color w:val="000000"/>
          <w:sz w:val="24"/>
          <w:szCs w:val="24"/>
          <w:lang w:eastAsia="ru-RU"/>
        </w:rPr>
        <w:t>нутрішньодержавних та транзитних перевезень залізничним транспортом;</w:t>
      </w:r>
    </w:p>
    <w:p w:rsidR="00B979FE" w:rsidRPr="001A11B7" w:rsidRDefault="00B979FE" w:rsidP="00B979FE">
      <w:pPr>
        <w:pStyle w:val="a4"/>
        <w:numPr>
          <w:ilvl w:val="0"/>
          <w:numId w:val="32"/>
        </w:numPr>
        <w:spacing w:before="120" w:after="120" w:line="240" w:lineRule="auto"/>
        <w:ind w:left="0" w:firstLine="567"/>
        <w:jc w:val="both"/>
        <w:rPr>
          <w:rFonts w:ascii="Times New Roman" w:eastAsia="Times New Roman" w:hAnsi="Times New Roman" w:cs="Times New Roman"/>
          <w:color w:val="000000"/>
          <w:sz w:val="24"/>
          <w:szCs w:val="24"/>
          <w:lang w:eastAsia="ru-RU"/>
        </w:rPr>
      </w:pPr>
      <w:r w:rsidRPr="001A11B7">
        <w:rPr>
          <w:rFonts w:ascii="Times New Roman" w:eastAsia="Times New Roman" w:hAnsi="Times New Roman" w:cs="Times New Roman"/>
          <w:color w:val="000000"/>
          <w:sz w:val="24"/>
          <w:szCs w:val="24"/>
          <w:lang w:eastAsia="ru-RU"/>
        </w:rPr>
        <w:t>наявність значного обсягу зобов’язань суб’єктів господарювання в іноземній валюті.</w:t>
      </w:r>
    </w:p>
    <w:p w:rsidR="00B979FE" w:rsidRPr="00CF529C" w:rsidRDefault="00B979FE" w:rsidP="00B979FE">
      <w:pPr>
        <w:pStyle w:val="a4"/>
        <w:spacing w:after="0" w:line="240" w:lineRule="auto"/>
        <w:ind w:left="0" w:firstLine="567"/>
        <w:jc w:val="both"/>
        <w:rPr>
          <w:rFonts w:ascii="Times New Roman" w:eastAsia="Times New Roman" w:hAnsi="Times New Roman" w:cs="Times New Roman"/>
          <w:i/>
          <w:sz w:val="24"/>
          <w:szCs w:val="24"/>
          <w:lang w:eastAsia="ru-RU"/>
        </w:rPr>
      </w:pPr>
    </w:p>
    <w:p w:rsidR="00B979FE" w:rsidRPr="00D11F69" w:rsidRDefault="00B979FE" w:rsidP="00B979FE">
      <w:pPr>
        <w:pStyle w:val="a4"/>
        <w:numPr>
          <w:ilvl w:val="0"/>
          <w:numId w:val="31"/>
        </w:numPr>
        <w:tabs>
          <w:tab w:val="left" w:pos="1134"/>
        </w:tabs>
        <w:spacing w:after="0" w:line="240" w:lineRule="auto"/>
        <w:ind w:left="0" w:firstLine="567"/>
        <w:jc w:val="both"/>
        <w:rPr>
          <w:rFonts w:ascii="Times New Roman" w:eastAsia="Times New Roman" w:hAnsi="Times New Roman" w:cs="Times New Roman"/>
          <w:b/>
          <w:i/>
          <w:sz w:val="24"/>
          <w:szCs w:val="24"/>
          <w:lang w:eastAsia="ru-RU"/>
        </w:rPr>
      </w:pPr>
      <w:r w:rsidRPr="00D11F69">
        <w:rPr>
          <w:rFonts w:ascii="Times New Roman" w:eastAsia="Times New Roman" w:hAnsi="Times New Roman" w:cs="Times New Roman"/>
          <w:b/>
          <w:i/>
          <w:sz w:val="24"/>
          <w:szCs w:val="24"/>
          <w:lang w:eastAsia="ru-RU"/>
        </w:rPr>
        <w:t xml:space="preserve">виконання державою гарантійних зобов’язань у разі неможливості суб’єктів господарювання виконати свої зобов’язання перед кредиторами </w:t>
      </w:r>
    </w:p>
    <w:p w:rsidR="00B979FE" w:rsidRDefault="00B979FE" w:rsidP="00B979FE">
      <w:pPr>
        <w:spacing w:before="120" w:after="120" w:line="240" w:lineRule="auto"/>
        <w:ind w:firstLine="567"/>
        <w:jc w:val="both"/>
        <w:rPr>
          <w:rFonts w:ascii="Times New Roman" w:eastAsia="Times New Roman" w:hAnsi="Times New Roman" w:cs="Times New Roman"/>
          <w:color w:val="000000"/>
          <w:sz w:val="24"/>
          <w:szCs w:val="24"/>
          <w:lang w:eastAsia="ru-RU"/>
        </w:rPr>
      </w:pPr>
      <w:r w:rsidRPr="00D11F69">
        <w:rPr>
          <w:rFonts w:ascii="Times New Roman" w:eastAsia="Times New Roman" w:hAnsi="Times New Roman" w:cs="Times New Roman"/>
          <w:color w:val="000000"/>
          <w:sz w:val="24"/>
          <w:szCs w:val="24"/>
          <w:lang w:eastAsia="ru-RU"/>
        </w:rPr>
        <w:t>У 2019 році суб’єкти господарювання, які включені до Переліку, мають здійснити платежі з погашення та обслуговування кредитів, отриманих під державні гарантії, в загальній сумі 2</w:t>
      </w:r>
      <w:r>
        <w:rPr>
          <w:rFonts w:ascii="Times New Roman" w:eastAsia="Times New Roman" w:hAnsi="Times New Roman" w:cs="Times New Roman"/>
          <w:color w:val="000000"/>
          <w:sz w:val="24"/>
          <w:szCs w:val="24"/>
          <w:lang w:eastAsia="ru-RU"/>
        </w:rPr>
        <w:t>3</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D11F69">
        <w:rPr>
          <w:rFonts w:ascii="Times New Roman" w:eastAsia="Times New Roman" w:hAnsi="Times New Roman" w:cs="Times New Roman"/>
          <w:color w:val="000000"/>
          <w:sz w:val="24"/>
          <w:szCs w:val="24"/>
          <w:lang w:eastAsia="ru-RU"/>
        </w:rPr>
        <w:t xml:space="preserve"> млрд грн, зокрема: ПАТ «НАК «Нафтогаз України» (1</w:t>
      </w:r>
      <w:r>
        <w:rPr>
          <w:rFonts w:ascii="Times New Roman" w:eastAsia="Times New Roman" w:hAnsi="Times New Roman" w:cs="Times New Roman"/>
          <w:color w:val="000000"/>
          <w:sz w:val="24"/>
          <w:szCs w:val="24"/>
          <w:lang w:eastAsia="ru-RU"/>
        </w:rPr>
        <w:t>2,</w:t>
      </w:r>
      <w:r w:rsidRPr="00D11F69">
        <w:rPr>
          <w:rFonts w:ascii="Times New Roman" w:eastAsia="Times New Roman" w:hAnsi="Times New Roman" w:cs="Times New Roman"/>
          <w:color w:val="000000"/>
          <w:sz w:val="24"/>
          <w:szCs w:val="24"/>
          <w:lang w:eastAsia="ru-RU"/>
        </w:rPr>
        <w:t xml:space="preserve">4 млрд грн), </w:t>
      </w:r>
      <w:r>
        <w:rPr>
          <w:rFonts w:ascii="Times New Roman" w:eastAsia="Times New Roman" w:hAnsi="Times New Roman" w:cs="Times New Roman"/>
          <w:color w:val="000000"/>
          <w:sz w:val="24"/>
          <w:szCs w:val="24"/>
          <w:lang w:eastAsia="ru-RU"/>
        </w:rPr>
        <w:br/>
      </w:r>
      <w:r w:rsidRPr="00D11F69">
        <w:rPr>
          <w:rFonts w:ascii="Times New Roman" w:eastAsia="Times New Roman" w:hAnsi="Times New Roman" w:cs="Times New Roman"/>
          <w:color w:val="000000"/>
          <w:sz w:val="24"/>
          <w:szCs w:val="24"/>
          <w:lang w:eastAsia="ru-RU"/>
        </w:rPr>
        <w:t>ПАТ «Державна продовольчо-зернова корпорація України» (6,</w:t>
      </w:r>
      <w:r>
        <w:rPr>
          <w:rFonts w:ascii="Times New Roman" w:eastAsia="Times New Roman" w:hAnsi="Times New Roman" w:cs="Times New Roman"/>
          <w:color w:val="000000"/>
          <w:sz w:val="24"/>
          <w:szCs w:val="24"/>
          <w:lang w:eastAsia="ru-RU"/>
        </w:rPr>
        <w:t>6</w:t>
      </w:r>
      <w:r w:rsidRPr="00D11F69">
        <w:rPr>
          <w:rFonts w:ascii="Times New Roman" w:eastAsia="Times New Roman" w:hAnsi="Times New Roman" w:cs="Times New Roman"/>
          <w:color w:val="000000"/>
          <w:sz w:val="24"/>
          <w:szCs w:val="24"/>
          <w:lang w:eastAsia="ru-RU"/>
        </w:rPr>
        <w:t xml:space="preserve"> млрд грн), </w:t>
      </w:r>
      <w:r>
        <w:rPr>
          <w:rFonts w:ascii="Times New Roman" w:eastAsia="Times New Roman" w:hAnsi="Times New Roman" w:cs="Times New Roman"/>
          <w:color w:val="000000"/>
          <w:sz w:val="24"/>
          <w:szCs w:val="24"/>
          <w:lang w:eastAsia="ru-RU"/>
        </w:rPr>
        <w:t>ДП «Укркосмос</w:t>
      </w:r>
      <w:r w:rsidRPr="00D11F6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1,3</w:t>
      </w:r>
      <w:r w:rsidRPr="00D11F69">
        <w:rPr>
          <w:rFonts w:ascii="Times New Roman" w:eastAsia="Times New Roman" w:hAnsi="Times New Roman" w:cs="Times New Roman"/>
          <w:color w:val="000000"/>
          <w:sz w:val="24"/>
          <w:szCs w:val="24"/>
          <w:lang w:eastAsia="ru-RU"/>
        </w:rPr>
        <w:t> млрд грн)</w:t>
      </w:r>
      <w:r>
        <w:rPr>
          <w:rFonts w:ascii="Times New Roman" w:eastAsia="Times New Roman" w:hAnsi="Times New Roman" w:cs="Times New Roman"/>
          <w:color w:val="000000"/>
          <w:sz w:val="24"/>
          <w:szCs w:val="24"/>
          <w:lang w:eastAsia="ru-RU"/>
        </w:rPr>
        <w:t xml:space="preserve">, АТ </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Укрзалізниця» </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D11F69">
        <w:rPr>
          <w:rFonts w:ascii="Times New Roman" w:eastAsia="Times New Roman" w:hAnsi="Times New Roman" w:cs="Times New Roman"/>
          <w:color w:val="000000"/>
          <w:sz w:val="24"/>
          <w:szCs w:val="24"/>
          <w:lang w:eastAsia="ru-RU"/>
        </w:rPr>
        <w:t> млрд грн)</w:t>
      </w:r>
      <w:r w:rsidRPr="00F7523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та ДП «НАЕК «Енергоатом» </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Pr="00D11F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D11F69">
        <w:rPr>
          <w:rFonts w:ascii="Times New Roman" w:eastAsia="Times New Roman" w:hAnsi="Times New Roman" w:cs="Times New Roman"/>
          <w:color w:val="000000"/>
          <w:sz w:val="24"/>
          <w:szCs w:val="24"/>
          <w:lang w:eastAsia="ru-RU"/>
        </w:rPr>
        <w:t> млрд грн)</w:t>
      </w:r>
      <w:r>
        <w:rPr>
          <w:rFonts w:ascii="Times New Roman" w:eastAsia="Times New Roman" w:hAnsi="Times New Roman" w:cs="Times New Roman"/>
          <w:color w:val="000000"/>
          <w:sz w:val="24"/>
          <w:szCs w:val="24"/>
          <w:lang w:eastAsia="ru-RU"/>
        </w:rPr>
        <w:t>.</w:t>
      </w:r>
    </w:p>
    <w:p w:rsidR="00B979FE" w:rsidRPr="00D11F69" w:rsidRDefault="00B979FE" w:rsidP="00B979FE">
      <w:pPr>
        <w:spacing w:before="120" w:after="120" w:line="240" w:lineRule="auto"/>
        <w:jc w:val="both"/>
        <w:rPr>
          <w:rFonts w:ascii="Times New Roman" w:eastAsia="Times New Roman" w:hAnsi="Times New Roman" w:cs="Times New Roman"/>
          <w:color w:val="000000"/>
          <w:sz w:val="24"/>
          <w:szCs w:val="24"/>
          <w:lang w:eastAsia="ru-RU"/>
        </w:rPr>
      </w:pPr>
      <w:r>
        <w:rPr>
          <w:noProof/>
          <w:lang w:eastAsia="uk-UA"/>
        </w:rPr>
        <w:drawing>
          <wp:inline distT="0" distB="0" distL="0" distR="0" wp14:anchorId="00534E61" wp14:editId="7A04FAAC">
            <wp:extent cx="6172200" cy="3444240"/>
            <wp:effectExtent l="0" t="0" r="0" b="381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79FE" w:rsidRPr="00A17AB8" w:rsidRDefault="00B979FE" w:rsidP="00B979FE">
      <w:pPr>
        <w:pStyle w:val="af"/>
        <w:spacing w:before="0" w:beforeAutospacing="0" w:after="120" w:afterAutospacing="0"/>
        <w:jc w:val="both"/>
        <w:rPr>
          <w:rFonts w:eastAsia="Times New Roman"/>
          <w:i/>
          <w:color w:val="000000"/>
          <w:sz w:val="22"/>
          <w:szCs w:val="28"/>
          <w:lang w:eastAsia="ru-RU"/>
        </w:rPr>
      </w:pPr>
      <w:r w:rsidRPr="00A17AB8">
        <w:rPr>
          <w:rFonts w:eastAsia="Times New Roman"/>
          <w:i/>
          <w:color w:val="000000"/>
          <w:sz w:val="22"/>
          <w:szCs w:val="28"/>
          <w:lang w:eastAsia="ru-RU"/>
        </w:rPr>
        <w:t xml:space="preserve">Джерело: дані </w:t>
      </w:r>
      <w:r>
        <w:rPr>
          <w:rFonts w:eastAsia="Times New Roman"/>
          <w:i/>
          <w:color w:val="000000"/>
          <w:sz w:val="22"/>
          <w:szCs w:val="28"/>
          <w:lang w:eastAsia="ru-RU"/>
        </w:rPr>
        <w:t>Мінфіну</w:t>
      </w:r>
    </w:p>
    <w:p w:rsidR="00B979FE" w:rsidRPr="006C243F" w:rsidRDefault="00B979FE" w:rsidP="00B979FE">
      <w:pPr>
        <w:pStyle w:val="a4"/>
        <w:spacing w:before="120" w:after="120" w:line="240" w:lineRule="auto"/>
        <w:ind w:left="0" w:firstLine="567"/>
        <w:jc w:val="both"/>
        <w:rPr>
          <w:rFonts w:ascii="Times New Roman" w:eastAsia="Times New Roman" w:hAnsi="Times New Roman" w:cs="Times New Roman"/>
          <w:color w:val="000000"/>
          <w:sz w:val="24"/>
          <w:szCs w:val="24"/>
          <w:lang w:eastAsia="ru-RU"/>
        </w:rPr>
      </w:pPr>
      <w:r w:rsidRPr="006C243F">
        <w:rPr>
          <w:rFonts w:ascii="Times New Roman" w:eastAsia="Times New Roman" w:hAnsi="Times New Roman" w:cs="Times New Roman"/>
          <w:color w:val="000000"/>
          <w:sz w:val="24"/>
          <w:szCs w:val="24"/>
          <w:lang w:eastAsia="ru-RU"/>
        </w:rPr>
        <w:t xml:space="preserve">Існують ризики невиконання у 2019 році суб’єктами господарювання своїх зобов’язань перед кредиторами за кредитами, залученими під державні гарантії. Так, за </w:t>
      </w:r>
      <w:r w:rsidR="00321C9C" w:rsidRPr="006C243F">
        <w:rPr>
          <w:rFonts w:ascii="Times New Roman" w:eastAsia="Times New Roman" w:hAnsi="Times New Roman" w:cs="Times New Roman"/>
          <w:color w:val="000000"/>
          <w:sz w:val="24"/>
          <w:szCs w:val="24"/>
          <w:lang w:val="ru-RU" w:eastAsia="ru-RU"/>
        </w:rPr>
        <w:t>7</w:t>
      </w:r>
      <w:r w:rsidR="00321C9C" w:rsidRPr="006C243F">
        <w:rPr>
          <w:rFonts w:ascii="Times New Roman" w:eastAsia="Times New Roman" w:hAnsi="Times New Roman" w:cs="Times New Roman"/>
          <w:color w:val="000000"/>
          <w:sz w:val="24"/>
          <w:szCs w:val="24"/>
          <w:lang w:eastAsia="ru-RU"/>
        </w:rPr>
        <w:t xml:space="preserve"> місяців</w:t>
      </w:r>
      <w:r w:rsidRPr="006C243F">
        <w:rPr>
          <w:rFonts w:ascii="Times New Roman" w:eastAsia="Times New Roman" w:hAnsi="Times New Roman" w:cs="Times New Roman"/>
          <w:color w:val="000000"/>
          <w:sz w:val="24"/>
          <w:szCs w:val="24"/>
          <w:lang w:eastAsia="ru-RU"/>
        </w:rPr>
        <w:t xml:space="preserve"> 2019 року державою вже виконано зобов’язання за позичальників, що отримали кредити під державні гарантії, на загальну суму </w:t>
      </w:r>
      <w:r w:rsidR="00321C9C" w:rsidRPr="006C243F">
        <w:rPr>
          <w:rFonts w:ascii="Times New Roman" w:eastAsia="Times New Roman" w:hAnsi="Times New Roman" w:cs="Times New Roman"/>
          <w:color w:val="000000"/>
          <w:sz w:val="24"/>
          <w:szCs w:val="24"/>
          <w:lang w:eastAsia="ru-RU"/>
        </w:rPr>
        <w:t>1547,6</w:t>
      </w:r>
      <w:r w:rsidRPr="006C243F">
        <w:rPr>
          <w:rFonts w:ascii="Times New Roman" w:eastAsia="Times New Roman" w:hAnsi="Times New Roman" w:cs="Times New Roman"/>
          <w:color w:val="000000"/>
          <w:sz w:val="24"/>
          <w:szCs w:val="24"/>
          <w:lang w:eastAsia="ru-RU"/>
        </w:rPr>
        <w:t xml:space="preserve"> млн грн, а саме:</w:t>
      </w:r>
    </w:p>
    <w:p w:rsidR="00B979FE" w:rsidRPr="006C243F" w:rsidRDefault="00321C9C"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6C243F">
        <w:rPr>
          <w:rFonts w:ascii="Times New Roman" w:eastAsia="Times New Roman" w:hAnsi="Times New Roman" w:cs="Times New Roman"/>
          <w:color w:val="000000"/>
          <w:sz w:val="24"/>
          <w:szCs w:val="24"/>
          <w:lang w:eastAsia="ru-RU"/>
        </w:rPr>
        <w:t>1343,8</w:t>
      </w:r>
      <w:r w:rsidR="00B979FE" w:rsidRPr="006C243F">
        <w:rPr>
          <w:rFonts w:ascii="Times New Roman" w:eastAsia="Times New Roman" w:hAnsi="Times New Roman" w:cs="Times New Roman"/>
          <w:color w:val="000000"/>
          <w:sz w:val="24"/>
          <w:szCs w:val="24"/>
          <w:lang w:eastAsia="ru-RU"/>
        </w:rPr>
        <w:t xml:space="preserve"> млн грн – за кредитним договором від 15.12.2009 між ДП «Укркосмос» та Канадською експортною агенцією;</w:t>
      </w:r>
    </w:p>
    <w:p w:rsidR="00B979FE" w:rsidRPr="00D11F69" w:rsidRDefault="00321C9C"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6C243F">
        <w:rPr>
          <w:rFonts w:ascii="Times New Roman" w:eastAsia="Times New Roman" w:hAnsi="Times New Roman" w:cs="Times New Roman"/>
          <w:color w:val="000000"/>
          <w:sz w:val="24"/>
          <w:szCs w:val="24"/>
          <w:lang w:eastAsia="ru-RU"/>
        </w:rPr>
        <w:t>203,8</w:t>
      </w:r>
      <w:r w:rsidR="00B979FE" w:rsidRPr="006C243F">
        <w:rPr>
          <w:rFonts w:ascii="Times New Roman" w:eastAsia="Times New Roman" w:hAnsi="Times New Roman" w:cs="Times New Roman"/>
          <w:color w:val="000000"/>
          <w:sz w:val="24"/>
          <w:szCs w:val="24"/>
          <w:lang w:eastAsia="ru-RU"/>
        </w:rPr>
        <w:t xml:space="preserve"> млн грн – за</w:t>
      </w:r>
      <w:r w:rsidR="00B979FE" w:rsidRPr="006C243F">
        <w:rPr>
          <w:rFonts w:ascii="Times New Roman" w:eastAsia="Times New Roman" w:hAnsi="Times New Roman" w:cs="Times New Roman"/>
          <w:sz w:val="20"/>
          <w:szCs w:val="20"/>
          <w:lang w:eastAsia="uk-UA"/>
        </w:rPr>
        <w:t xml:space="preserve"> </w:t>
      </w:r>
      <w:r w:rsidR="00B979FE" w:rsidRPr="006C243F">
        <w:rPr>
          <w:rFonts w:ascii="Times New Roman" w:eastAsia="Times New Roman" w:hAnsi="Times New Roman" w:cs="Times New Roman"/>
          <w:color w:val="000000"/>
          <w:sz w:val="24"/>
          <w:szCs w:val="24"/>
          <w:lang w:eastAsia="ru-RU"/>
        </w:rPr>
        <w:t>кредитним договором від 21.12.2011 між ПАТ «Лисичанськвугілля» та Державним банком розвитку КНР.</w:t>
      </w:r>
    </w:p>
    <w:p w:rsidR="00B979FE" w:rsidRPr="00D11F69" w:rsidRDefault="00B979FE" w:rsidP="00B979FE">
      <w:pPr>
        <w:pStyle w:val="a4"/>
        <w:spacing w:after="0" w:line="240" w:lineRule="auto"/>
        <w:ind w:left="0" w:firstLine="567"/>
        <w:jc w:val="both"/>
        <w:rPr>
          <w:rFonts w:ascii="Times New Roman" w:eastAsia="Times New Roman" w:hAnsi="Times New Roman" w:cs="Times New Roman"/>
          <w:color w:val="000000"/>
          <w:sz w:val="24"/>
          <w:szCs w:val="24"/>
          <w:lang w:eastAsia="ru-RU"/>
        </w:rPr>
      </w:pPr>
      <w:r w:rsidRPr="00D11F69">
        <w:rPr>
          <w:rFonts w:ascii="Times New Roman" w:eastAsia="Times New Roman" w:hAnsi="Times New Roman" w:cs="Times New Roman"/>
          <w:color w:val="000000"/>
          <w:sz w:val="24"/>
          <w:szCs w:val="24"/>
          <w:lang w:eastAsia="ru-RU"/>
        </w:rPr>
        <w:t>При цьому, у державному бюджеті на 2019 рік були передбачені видатки лише на сплату можливих гарантійних випадків за зобов’я</w:t>
      </w:r>
      <w:r>
        <w:rPr>
          <w:rFonts w:ascii="Times New Roman" w:eastAsia="Times New Roman" w:hAnsi="Times New Roman" w:cs="Times New Roman"/>
          <w:color w:val="000000"/>
          <w:sz w:val="24"/>
          <w:szCs w:val="24"/>
          <w:lang w:eastAsia="ru-RU"/>
        </w:rPr>
        <w:t>заннями ПАТ «Лисичанськвугілля».</w:t>
      </w:r>
    </w:p>
    <w:p w:rsidR="00B979FE" w:rsidRPr="00D11F69" w:rsidRDefault="00B979FE" w:rsidP="00B979FE">
      <w:pPr>
        <w:pStyle w:val="a4"/>
        <w:spacing w:after="0" w:line="240" w:lineRule="auto"/>
        <w:ind w:left="0" w:firstLine="567"/>
        <w:jc w:val="both"/>
        <w:rPr>
          <w:rFonts w:ascii="Times New Roman" w:eastAsia="Times New Roman" w:hAnsi="Times New Roman" w:cs="Times New Roman"/>
          <w:color w:val="000000"/>
          <w:sz w:val="24"/>
          <w:szCs w:val="24"/>
          <w:lang w:eastAsia="ru-RU"/>
        </w:rPr>
      </w:pPr>
      <w:r w:rsidRPr="00D11F69">
        <w:rPr>
          <w:rFonts w:ascii="Times New Roman" w:eastAsia="Times New Roman" w:hAnsi="Times New Roman" w:cs="Times New Roman"/>
          <w:color w:val="000000"/>
          <w:sz w:val="24"/>
          <w:szCs w:val="24"/>
          <w:lang w:eastAsia="ru-RU"/>
        </w:rPr>
        <w:t>Гарантійний випадок за зобов’язаннями ДП «Укркосмос» за кредитним договором від 15.12.2009 з Канадською експортною агенцією стався внаслідок арешту Виконавчою службою поточних рахунків підприємства, у зв’язку з чим, підприємство не мало можливості перерахувати кошти за вказаним договором.</w:t>
      </w:r>
    </w:p>
    <w:p w:rsidR="00B979FE" w:rsidRDefault="00B979FE" w:rsidP="00B979FE">
      <w:pPr>
        <w:pStyle w:val="a4"/>
        <w:spacing w:after="0" w:line="240" w:lineRule="auto"/>
        <w:ind w:left="0" w:firstLine="567"/>
        <w:jc w:val="both"/>
        <w:rPr>
          <w:rFonts w:ascii="Times New Roman" w:eastAsia="Times New Roman" w:hAnsi="Times New Roman" w:cs="Times New Roman"/>
          <w:color w:val="000000"/>
          <w:sz w:val="24"/>
          <w:szCs w:val="24"/>
          <w:lang w:eastAsia="ru-RU"/>
        </w:rPr>
      </w:pPr>
      <w:r w:rsidRPr="00D11F69">
        <w:rPr>
          <w:rFonts w:ascii="Times New Roman" w:eastAsia="Times New Roman" w:hAnsi="Times New Roman" w:cs="Times New Roman"/>
          <w:color w:val="000000"/>
          <w:sz w:val="24"/>
          <w:szCs w:val="24"/>
          <w:lang w:eastAsia="ru-RU"/>
        </w:rPr>
        <w:t xml:space="preserve">Крім того, до кінця 2019 року та у 2020 році можливий ризик настання гарантійного випадку за зобов’язаннями ДП «Харківське конструкторське бюро з машинобудування </w:t>
      </w:r>
      <w:r>
        <w:rPr>
          <w:rFonts w:ascii="Times New Roman" w:eastAsia="Times New Roman" w:hAnsi="Times New Roman" w:cs="Times New Roman"/>
          <w:color w:val="000000"/>
          <w:sz w:val="24"/>
          <w:szCs w:val="24"/>
          <w:lang w:eastAsia="ru-RU"/>
        </w:rPr>
        <w:br/>
      </w:r>
      <w:r w:rsidRPr="00D11F69">
        <w:rPr>
          <w:rFonts w:ascii="Times New Roman" w:eastAsia="Times New Roman" w:hAnsi="Times New Roman" w:cs="Times New Roman"/>
          <w:color w:val="000000"/>
          <w:sz w:val="24"/>
          <w:szCs w:val="24"/>
          <w:lang w:eastAsia="ru-RU"/>
        </w:rPr>
        <w:t xml:space="preserve">імені О.О. Морозова» у сумі </w:t>
      </w:r>
      <w:r>
        <w:rPr>
          <w:rFonts w:ascii="Times New Roman" w:eastAsia="Times New Roman" w:hAnsi="Times New Roman" w:cs="Times New Roman"/>
          <w:color w:val="000000"/>
          <w:sz w:val="24"/>
          <w:szCs w:val="24"/>
          <w:lang w:eastAsia="ru-RU"/>
        </w:rPr>
        <w:t>312,7</w:t>
      </w:r>
      <w:r w:rsidRPr="00D11F69">
        <w:rPr>
          <w:rFonts w:ascii="Times New Roman" w:eastAsia="Times New Roman" w:hAnsi="Times New Roman" w:cs="Times New Roman"/>
          <w:color w:val="000000"/>
          <w:sz w:val="24"/>
          <w:szCs w:val="24"/>
          <w:lang w:eastAsia="ru-RU"/>
        </w:rPr>
        <w:t xml:space="preserve"> млн грн та </w:t>
      </w:r>
      <w:r w:rsidR="00CC2069">
        <w:rPr>
          <w:rFonts w:ascii="Times New Roman" w:eastAsia="Times New Roman" w:hAnsi="Times New Roman" w:cs="Times New Roman"/>
          <w:color w:val="000000"/>
          <w:sz w:val="24"/>
          <w:szCs w:val="24"/>
          <w:lang w:eastAsia="ru-RU"/>
        </w:rPr>
        <w:t>738,1</w:t>
      </w:r>
      <w:r w:rsidRPr="00D11F69">
        <w:rPr>
          <w:rFonts w:ascii="Times New Roman" w:eastAsia="Times New Roman" w:hAnsi="Times New Roman" w:cs="Times New Roman"/>
          <w:color w:val="000000"/>
          <w:sz w:val="24"/>
          <w:szCs w:val="24"/>
          <w:lang w:eastAsia="ru-RU"/>
        </w:rPr>
        <w:t xml:space="preserve"> млн грн відповідно (державний контракт з Міністерством оборони, для виконання якого підприємство залучило кредит, не виконується,</w:t>
      </w:r>
      <w:r w:rsidRPr="00ED7C43">
        <w:t xml:space="preserve"> </w:t>
      </w:r>
      <w:r w:rsidRPr="00D11F69">
        <w:rPr>
          <w:rFonts w:ascii="Times New Roman" w:eastAsia="Times New Roman" w:hAnsi="Times New Roman" w:cs="Times New Roman"/>
          <w:color w:val="000000"/>
          <w:sz w:val="24"/>
          <w:szCs w:val="24"/>
          <w:lang w:eastAsia="ru-RU"/>
        </w:rPr>
        <w:t>справа розглядається в судовому порядку).</w:t>
      </w:r>
    </w:p>
    <w:p w:rsidR="00B979FE" w:rsidRDefault="00B979FE" w:rsidP="00B979FE">
      <w:pPr>
        <w:pStyle w:val="a4"/>
        <w:spacing w:after="0" w:line="240" w:lineRule="auto"/>
        <w:ind w:left="0" w:firstLine="567"/>
        <w:jc w:val="both"/>
        <w:rPr>
          <w:rFonts w:ascii="Times New Roman" w:eastAsia="Times New Roman" w:hAnsi="Times New Roman" w:cs="Times New Roman"/>
          <w:sz w:val="24"/>
          <w:szCs w:val="24"/>
          <w:lang w:eastAsia="ru-RU"/>
        </w:rPr>
      </w:pPr>
      <w:r w:rsidRPr="00311CDE">
        <w:rPr>
          <w:rFonts w:ascii="Times New Roman" w:eastAsia="Times New Roman" w:hAnsi="Times New Roman" w:cs="Times New Roman"/>
          <w:color w:val="000000"/>
          <w:sz w:val="24"/>
          <w:szCs w:val="24"/>
          <w:lang w:eastAsia="ru-RU"/>
        </w:rPr>
        <w:t xml:space="preserve">У 2020 році суб’єкти господарювання, які включені до Переліку, мають здійснити платежі з погашення та обслуговування кредитів, отриманих під державні гарантії, в загальній сумі 12,2 млрд гривень. </w:t>
      </w:r>
      <w:r w:rsidRPr="00311CDE">
        <w:rPr>
          <w:rFonts w:ascii="Times New Roman" w:eastAsia="Times New Roman" w:hAnsi="Times New Roman" w:cs="Times New Roman"/>
          <w:sz w:val="24"/>
          <w:szCs w:val="24"/>
          <w:lang w:eastAsia="ru-RU"/>
        </w:rPr>
        <w:t>Інформація</w:t>
      </w:r>
      <w:r>
        <w:rPr>
          <w:rFonts w:ascii="Times New Roman" w:eastAsia="Times New Roman" w:hAnsi="Times New Roman" w:cs="Times New Roman"/>
          <w:sz w:val="24"/>
          <w:szCs w:val="24"/>
          <w:lang w:eastAsia="ru-RU"/>
        </w:rPr>
        <w:t xml:space="preserve"> в розрізі </w:t>
      </w:r>
      <w:r w:rsidRPr="00A17AB8">
        <w:rPr>
          <w:rFonts w:ascii="Times New Roman" w:eastAsia="Times New Roman" w:hAnsi="Times New Roman" w:cs="Times New Roman"/>
          <w:sz w:val="24"/>
          <w:szCs w:val="24"/>
          <w:lang w:eastAsia="ru-RU"/>
        </w:rPr>
        <w:t>суб’єкт</w:t>
      </w:r>
      <w:r>
        <w:rPr>
          <w:rFonts w:ascii="Times New Roman" w:eastAsia="Times New Roman" w:hAnsi="Times New Roman" w:cs="Times New Roman"/>
          <w:sz w:val="24"/>
          <w:szCs w:val="24"/>
          <w:lang w:eastAsia="ru-RU"/>
        </w:rPr>
        <w:t>ів</w:t>
      </w:r>
      <w:r w:rsidRPr="00A17AB8">
        <w:rPr>
          <w:rFonts w:ascii="Times New Roman" w:eastAsia="Times New Roman" w:hAnsi="Times New Roman" w:cs="Times New Roman"/>
          <w:sz w:val="24"/>
          <w:szCs w:val="24"/>
          <w:lang w:eastAsia="ru-RU"/>
        </w:rPr>
        <w:t xml:space="preserve"> господарювання, з якими можуть бути пов’язані найбільші фіскальні ризики, наведена нижче.</w:t>
      </w:r>
    </w:p>
    <w:p w:rsidR="00B979FE" w:rsidRDefault="00B979FE" w:rsidP="00B979FE">
      <w:pPr>
        <w:pStyle w:val="a4"/>
        <w:spacing w:after="120" w:line="240" w:lineRule="auto"/>
        <w:ind w:left="0"/>
        <w:contextualSpacing w:val="0"/>
        <w:jc w:val="both"/>
        <w:rPr>
          <w:rFonts w:ascii="Times New Roman" w:eastAsia="Times New Roman" w:hAnsi="Times New Roman" w:cs="Times New Roman"/>
          <w:sz w:val="24"/>
          <w:szCs w:val="24"/>
          <w:lang w:eastAsia="ru-RU"/>
        </w:rPr>
      </w:pPr>
      <w:r>
        <w:rPr>
          <w:noProof/>
          <w:lang w:eastAsia="uk-UA"/>
        </w:rPr>
        <w:drawing>
          <wp:inline distT="0" distB="0" distL="0" distR="0" wp14:anchorId="726C2E3B" wp14:editId="5D313960">
            <wp:extent cx="6120765" cy="364236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79FE" w:rsidRPr="00A17AB8" w:rsidRDefault="00B979FE" w:rsidP="00B979FE">
      <w:pPr>
        <w:pStyle w:val="af"/>
        <w:spacing w:before="0" w:beforeAutospacing="0" w:after="120" w:afterAutospacing="0"/>
        <w:jc w:val="both"/>
        <w:rPr>
          <w:rFonts w:eastAsia="Times New Roman"/>
          <w:i/>
          <w:color w:val="000000"/>
          <w:sz w:val="22"/>
          <w:szCs w:val="28"/>
          <w:lang w:eastAsia="ru-RU"/>
        </w:rPr>
      </w:pPr>
      <w:r w:rsidRPr="00A17AB8">
        <w:rPr>
          <w:rFonts w:eastAsia="Times New Roman"/>
          <w:i/>
          <w:color w:val="000000"/>
          <w:sz w:val="22"/>
          <w:szCs w:val="28"/>
          <w:lang w:eastAsia="ru-RU"/>
        </w:rPr>
        <w:t xml:space="preserve">Джерело: дані </w:t>
      </w:r>
      <w:r>
        <w:rPr>
          <w:rFonts w:eastAsia="Times New Roman"/>
          <w:i/>
          <w:color w:val="000000"/>
          <w:sz w:val="22"/>
          <w:szCs w:val="28"/>
          <w:lang w:eastAsia="ru-RU"/>
        </w:rPr>
        <w:t>Мінфіну</w:t>
      </w:r>
    </w:p>
    <w:p w:rsidR="00B979FE" w:rsidRPr="00B55376" w:rsidRDefault="00B979FE" w:rsidP="00B979FE">
      <w:pPr>
        <w:spacing w:after="0" w:line="240" w:lineRule="auto"/>
        <w:jc w:val="both"/>
        <w:rPr>
          <w:rFonts w:ascii="Times New Roman" w:eastAsia="Times New Roman" w:hAnsi="Times New Roman" w:cs="Times New Roman"/>
          <w:sz w:val="24"/>
          <w:szCs w:val="24"/>
          <w:lang w:eastAsia="ru-RU"/>
        </w:rPr>
      </w:pPr>
    </w:p>
    <w:p w:rsidR="00B979FE" w:rsidRDefault="00B979FE" w:rsidP="00B979FE">
      <w:pPr>
        <w:pStyle w:val="a4"/>
        <w:numPr>
          <w:ilvl w:val="0"/>
          <w:numId w:val="31"/>
        </w:numPr>
        <w:tabs>
          <w:tab w:val="left" w:pos="851"/>
        </w:tabs>
        <w:spacing w:after="0" w:line="240" w:lineRule="auto"/>
        <w:ind w:left="0" w:firstLine="567"/>
        <w:jc w:val="both"/>
        <w:rPr>
          <w:rFonts w:ascii="Times New Roman" w:eastAsia="Times New Roman" w:hAnsi="Times New Roman" w:cs="Times New Roman"/>
          <w:b/>
          <w:i/>
          <w:sz w:val="24"/>
          <w:szCs w:val="24"/>
          <w:lang w:eastAsia="ru-RU"/>
        </w:rPr>
      </w:pPr>
      <w:r w:rsidRPr="00987BF2">
        <w:rPr>
          <w:rFonts w:ascii="Times New Roman" w:eastAsia="Times New Roman" w:hAnsi="Times New Roman" w:cs="Times New Roman"/>
          <w:b/>
          <w:i/>
          <w:sz w:val="24"/>
          <w:szCs w:val="24"/>
          <w:lang w:eastAsia="ru-RU"/>
        </w:rPr>
        <w:t>надання додаткової державної допомоги для покриття збиткової діяльності суб’єктів господарювання</w:t>
      </w:r>
    </w:p>
    <w:p w:rsidR="00B979FE" w:rsidRPr="000114E9"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0114E9">
        <w:rPr>
          <w:rFonts w:ascii="Times New Roman" w:eastAsia="Times New Roman" w:hAnsi="Times New Roman" w:cs="Times New Roman"/>
          <w:color w:val="000000"/>
          <w:sz w:val="24"/>
          <w:szCs w:val="24"/>
          <w:lang w:eastAsia="ru-RU"/>
        </w:rPr>
        <w:t xml:space="preserve"> 2018 році загальний розмір бюджетного фінансування (субсидії, субвенції, дотації тощо) суб’єктів господарювання, інформація про показники діяльності яких надійшла до Мінфіну, становив 9,2 млрд гривень.</w:t>
      </w:r>
    </w:p>
    <w:p w:rsidR="00B979FE" w:rsidRDefault="00B979FE" w:rsidP="0067765D">
      <w:pPr>
        <w:spacing w:after="0" w:line="240" w:lineRule="auto"/>
        <w:ind w:firstLine="567"/>
        <w:jc w:val="both"/>
        <w:rPr>
          <w:rFonts w:ascii="Times New Roman" w:eastAsia="Times New Roman" w:hAnsi="Times New Roman" w:cs="Times New Roman"/>
          <w:color w:val="000000"/>
          <w:sz w:val="24"/>
          <w:szCs w:val="24"/>
          <w:lang w:eastAsia="ru-RU"/>
        </w:rPr>
      </w:pPr>
      <w:r w:rsidRPr="009D7303">
        <w:rPr>
          <w:rFonts w:ascii="Times New Roman" w:eastAsia="Times New Roman" w:hAnsi="Times New Roman" w:cs="Times New Roman"/>
          <w:color w:val="000000"/>
          <w:sz w:val="24"/>
          <w:szCs w:val="24"/>
          <w:lang w:eastAsia="ru-RU"/>
        </w:rPr>
        <w:t>Основними одержувачами фінансової підтримки із державного бюджету у 2018 році та І півріччі 2019 року</w:t>
      </w:r>
      <w:r w:rsidRPr="008C2EE4">
        <w:t xml:space="preserve"> </w:t>
      </w:r>
      <w:r w:rsidRPr="009D7303">
        <w:rPr>
          <w:rFonts w:ascii="Times New Roman" w:eastAsia="Times New Roman" w:hAnsi="Times New Roman" w:cs="Times New Roman"/>
          <w:color w:val="000000"/>
          <w:sz w:val="24"/>
          <w:szCs w:val="24"/>
          <w:lang w:eastAsia="ru-RU"/>
        </w:rPr>
        <w:t>серед суб’єктів господарювання, включених до Переліку, були вугледобувні підприємства та ДП «Укркосмос».</w:t>
      </w:r>
    </w:p>
    <w:p w:rsidR="0067765D" w:rsidRPr="000114E9" w:rsidRDefault="0067765D" w:rsidP="0067765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0114E9">
        <w:rPr>
          <w:rFonts w:ascii="Times New Roman" w:eastAsia="Times New Roman" w:hAnsi="Times New Roman" w:cs="Times New Roman"/>
          <w:color w:val="000000"/>
          <w:sz w:val="24"/>
          <w:szCs w:val="24"/>
          <w:lang w:eastAsia="ru-RU"/>
        </w:rPr>
        <w:t>інансова підтримка ДП «Укркосмос» надавалася Урядом на поворотній основі для виконання підприємством боргових зобов’язань за кредитом, залученим під державну гарантію для реалізації проекту «Створення Національної супутникової системи зв’язку». В якості основного джерела повернення коштів, залучених ДП «Укркосмос» для створення Національної супутникової системи зв’язку України під державні гарантії, передбачається отримання плати за використання користувачами ресурсу космічного сегменту (супутника).</w:t>
      </w:r>
    </w:p>
    <w:p w:rsidR="0067765D" w:rsidRDefault="0067765D" w:rsidP="0067765D">
      <w:pPr>
        <w:spacing w:after="0" w:line="240" w:lineRule="auto"/>
        <w:ind w:firstLine="567"/>
        <w:jc w:val="both"/>
        <w:rPr>
          <w:rFonts w:ascii="Times New Roman" w:eastAsia="Times New Roman" w:hAnsi="Times New Roman" w:cs="Times New Roman"/>
          <w:color w:val="000000"/>
          <w:sz w:val="24"/>
          <w:szCs w:val="24"/>
          <w:lang w:eastAsia="ru-RU"/>
        </w:rPr>
      </w:pPr>
      <w:r w:rsidRPr="00465628">
        <w:rPr>
          <w:rFonts w:ascii="Times New Roman" w:eastAsia="Times New Roman" w:hAnsi="Times New Roman" w:cs="Times New Roman"/>
          <w:color w:val="000000"/>
          <w:sz w:val="24"/>
          <w:szCs w:val="24"/>
          <w:lang w:eastAsia="ru-RU"/>
        </w:rPr>
        <w:t>ДП «Укркосмос» зобов’язане повернути кошти до державного бюджету протягом восьми років (до 25 грудня 2027 року) починаючи з 2020 року.</w:t>
      </w:r>
      <w:r>
        <w:rPr>
          <w:rFonts w:ascii="Times New Roman" w:eastAsia="Times New Roman" w:hAnsi="Times New Roman" w:cs="Times New Roman"/>
          <w:color w:val="000000"/>
          <w:sz w:val="24"/>
          <w:szCs w:val="24"/>
          <w:lang w:eastAsia="ru-RU"/>
        </w:rPr>
        <w:t xml:space="preserve"> Водночас, за інформацією</w:t>
      </w:r>
      <w:r w:rsidRPr="00F92D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r w:rsidRPr="00465628">
        <w:rPr>
          <w:rFonts w:ascii="Times New Roman" w:eastAsia="Times New Roman" w:hAnsi="Times New Roman" w:cs="Times New Roman"/>
          <w:color w:val="000000"/>
          <w:sz w:val="24"/>
          <w:szCs w:val="24"/>
          <w:lang w:eastAsia="ru-RU"/>
        </w:rPr>
        <w:t>ДП «Укркосмос»</w:t>
      </w:r>
      <w:r w:rsidRPr="00F92DD6">
        <w:rPr>
          <w:rFonts w:ascii="Times New Roman" w:eastAsia="Times New Roman" w:hAnsi="Times New Roman" w:cs="Times New Roman"/>
          <w:color w:val="000000"/>
          <w:sz w:val="24"/>
          <w:szCs w:val="24"/>
          <w:lang w:eastAsia="ru-RU"/>
        </w:rPr>
        <w:t xml:space="preserve">, зважаючи на те, що супутник «Либідь» не запущено і його ресурс не продається, </w:t>
      </w:r>
      <w:r>
        <w:rPr>
          <w:rFonts w:ascii="Times New Roman" w:eastAsia="Times New Roman" w:hAnsi="Times New Roman" w:cs="Times New Roman"/>
          <w:color w:val="000000"/>
          <w:sz w:val="24"/>
          <w:szCs w:val="24"/>
          <w:lang w:eastAsia="ru-RU"/>
        </w:rPr>
        <w:t xml:space="preserve">а </w:t>
      </w:r>
      <w:r w:rsidRPr="00866BA2">
        <w:rPr>
          <w:rFonts w:ascii="Times New Roman" w:eastAsia="Times New Roman" w:hAnsi="Times New Roman" w:cs="Times New Roman"/>
          <w:color w:val="000000"/>
          <w:sz w:val="24"/>
          <w:szCs w:val="24"/>
          <w:lang w:eastAsia="ru-RU"/>
        </w:rPr>
        <w:t xml:space="preserve">судовий процес </w:t>
      </w:r>
      <w:r>
        <w:rPr>
          <w:rFonts w:ascii="Times New Roman" w:eastAsia="Times New Roman" w:hAnsi="Times New Roman" w:cs="Times New Roman"/>
          <w:color w:val="000000"/>
          <w:sz w:val="24"/>
          <w:szCs w:val="24"/>
          <w:lang w:eastAsia="ru-RU"/>
        </w:rPr>
        <w:t xml:space="preserve">з </w:t>
      </w:r>
      <w:r w:rsidRPr="00866BA2">
        <w:rPr>
          <w:rFonts w:ascii="Times New Roman" w:eastAsia="Times New Roman" w:hAnsi="Times New Roman" w:cs="Times New Roman"/>
          <w:color w:val="000000"/>
          <w:sz w:val="24"/>
          <w:szCs w:val="24"/>
          <w:lang w:eastAsia="ru-RU"/>
        </w:rPr>
        <w:t xml:space="preserve">канадською компанією </w:t>
      </w:r>
      <w:r>
        <w:rPr>
          <w:rFonts w:ascii="Times New Roman" w:eastAsia="Times New Roman" w:hAnsi="Times New Roman" w:cs="Times New Roman"/>
          <w:color w:val="000000"/>
          <w:sz w:val="24"/>
          <w:szCs w:val="24"/>
          <w:lang w:eastAsia="ru-RU"/>
        </w:rPr>
        <w:t>–</w:t>
      </w:r>
      <w:r w:rsidRPr="00866BA2">
        <w:rPr>
          <w:rFonts w:ascii="Times New Roman" w:eastAsia="Times New Roman" w:hAnsi="Times New Roman" w:cs="Times New Roman"/>
          <w:color w:val="000000"/>
          <w:sz w:val="24"/>
          <w:szCs w:val="24"/>
          <w:lang w:eastAsia="ru-RU"/>
        </w:rPr>
        <w:t xml:space="preserve"> поста</w:t>
      </w:r>
      <w:r>
        <w:rPr>
          <w:rFonts w:ascii="Times New Roman" w:eastAsia="Times New Roman" w:hAnsi="Times New Roman" w:cs="Times New Roman"/>
          <w:color w:val="000000"/>
          <w:sz w:val="24"/>
          <w:szCs w:val="24"/>
          <w:lang w:eastAsia="ru-RU"/>
        </w:rPr>
        <w:t>чальником</w:t>
      </w:r>
      <w:r w:rsidRPr="00866BA2">
        <w:rPr>
          <w:rFonts w:ascii="Times New Roman" w:eastAsia="Times New Roman" w:hAnsi="Times New Roman" w:cs="Times New Roman"/>
          <w:color w:val="000000"/>
          <w:sz w:val="24"/>
          <w:szCs w:val="24"/>
          <w:lang w:eastAsia="ru-RU"/>
        </w:rPr>
        <w:t xml:space="preserve"> супутникової системи зв’язку продовжується до 2020 року,</w:t>
      </w:r>
      <w:r>
        <w:rPr>
          <w:rFonts w:ascii="Times New Roman" w:eastAsia="Times New Roman" w:hAnsi="Times New Roman" w:cs="Times New Roman"/>
          <w:color w:val="000000"/>
          <w:sz w:val="24"/>
          <w:szCs w:val="24"/>
          <w:lang w:eastAsia="ru-RU"/>
        </w:rPr>
        <w:t xml:space="preserve"> підприємство </w:t>
      </w:r>
      <w:r w:rsidRPr="00F92DD6">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з</w:t>
      </w:r>
      <w:r w:rsidRPr="00F92DD6">
        <w:rPr>
          <w:rFonts w:ascii="Times New Roman" w:eastAsia="Times New Roman" w:hAnsi="Times New Roman" w:cs="Times New Roman"/>
          <w:color w:val="000000"/>
          <w:sz w:val="24"/>
          <w:szCs w:val="24"/>
          <w:lang w:eastAsia="ru-RU"/>
        </w:rPr>
        <w:t>може повертати кошти до бюджету з 2020 року</w:t>
      </w:r>
      <w:r>
        <w:rPr>
          <w:rFonts w:ascii="Times New Roman" w:eastAsia="Times New Roman" w:hAnsi="Times New Roman" w:cs="Times New Roman"/>
          <w:color w:val="000000"/>
          <w:sz w:val="24"/>
          <w:szCs w:val="24"/>
          <w:lang w:eastAsia="ru-RU"/>
        </w:rPr>
        <w:t>.</w:t>
      </w:r>
    </w:p>
    <w:p w:rsidR="0067765D" w:rsidRPr="009D7303" w:rsidRDefault="0067765D" w:rsidP="00B979FE">
      <w:pPr>
        <w:spacing w:after="120" w:line="240" w:lineRule="auto"/>
        <w:ind w:firstLine="567"/>
        <w:jc w:val="both"/>
        <w:rPr>
          <w:rFonts w:ascii="Times New Roman" w:eastAsia="Times New Roman" w:hAnsi="Times New Roman" w:cs="Times New Roman"/>
          <w:color w:val="000000"/>
          <w:sz w:val="24"/>
          <w:szCs w:val="24"/>
          <w:lang w:eastAsia="ru-RU"/>
        </w:rPr>
      </w:pPr>
    </w:p>
    <w:p w:rsidR="00B979FE" w:rsidRPr="004502A1" w:rsidRDefault="00B979FE" w:rsidP="00B979FE">
      <w:pPr>
        <w:tabs>
          <w:tab w:val="left" w:pos="851"/>
        </w:tabs>
        <w:spacing w:after="0" w:line="240" w:lineRule="auto"/>
        <w:jc w:val="both"/>
        <w:rPr>
          <w:rFonts w:ascii="Times New Roman" w:eastAsia="Times New Roman" w:hAnsi="Times New Roman" w:cs="Times New Roman"/>
          <w:b/>
          <w:i/>
          <w:sz w:val="24"/>
          <w:szCs w:val="24"/>
          <w:lang w:eastAsia="ru-RU"/>
        </w:rPr>
      </w:pPr>
      <w:r>
        <w:rPr>
          <w:noProof/>
          <w:lang w:eastAsia="uk-UA"/>
        </w:rPr>
        <w:drawing>
          <wp:inline distT="0" distB="0" distL="0" distR="0" wp14:anchorId="338286F1" wp14:editId="7B096E3B">
            <wp:extent cx="6120765" cy="3916680"/>
            <wp:effectExtent l="0" t="0" r="0" b="762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79FE" w:rsidRPr="00A17AB8" w:rsidRDefault="00B979FE" w:rsidP="00B979FE">
      <w:pPr>
        <w:pStyle w:val="af"/>
        <w:spacing w:before="0" w:beforeAutospacing="0" w:after="120" w:afterAutospacing="0"/>
        <w:jc w:val="both"/>
        <w:rPr>
          <w:rFonts w:eastAsia="Times New Roman"/>
          <w:i/>
          <w:color w:val="000000"/>
          <w:sz w:val="22"/>
          <w:szCs w:val="28"/>
          <w:lang w:eastAsia="ru-RU"/>
        </w:rPr>
      </w:pPr>
      <w:r w:rsidRPr="00A17AB8">
        <w:rPr>
          <w:rFonts w:eastAsia="Times New Roman"/>
          <w:i/>
          <w:color w:val="000000"/>
          <w:sz w:val="22"/>
          <w:szCs w:val="28"/>
          <w:lang w:eastAsia="ru-RU"/>
        </w:rPr>
        <w:t>Джерело: дані суб’єктів господарювання</w:t>
      </w:r>
    </w:p>
    <w:p w:rsidR="00B979FE" w:rsidRPr="000114E9" w:rsidRDefault="00B979FE" w:rsidP="00B979FE">
      <w:pPr>
        <w:spacing w:before="120"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Крім того,</w:t>
      </w:r>
      <w:r w:rsidRPr="000114E9">
        <w:rPr>
          <w:rFonts w:ascii="Times New Roman" w:eastAsia="Times New Roman" w:hAnsi="Times New Roman" w:cs="Times New Roman"/>
          <w:color w:val="000000"/>
          <w:sz w:val="24"/>
          <w:szCs w:val="24"/>
          <w:lang w:eastAsia="ru-RU"/>
        </w:rPr>
        <w:t xml:space="preserve"> у 2018 році за рахунок коштів резервного фонду державного бюджету</w:t>
      </w:r>
      <w:r>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надавалася</w:t>
      </w:r>
      <w:r>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 xml:space="preserve">зокрема </w:t>
      </w:r>
      <w:r>
        <w:rPr>
          <w:rFonts w:ascii="Times New Roman" w:eastAsia="Times New Roman" w:hAnsi="Times New Roman" w:cs="Times New Roman"/>
          <w:color w:val="000000"/>
          <w:sz w:val="24"/>
          <w:szCs w:val="24"/>
          <w:lang w:eastAsia="ru-RU"/>
        </w:rPr>
        <w:t>така</w:t>
      </w:r>
      <w:r w:rsidRPr="000114E9">
        <w:rPr>
          <w:rFonts w:ascii="Times New Roman" w:eastAsia="Times New Roman" w:hAnsi="Times New Roman" w:cs="Times New Roman"/>
          <w:color w:val="000000"/>
          <w:sz w:val="24"/>
          <w:szCs w:val="24"/>
          <w:lang w:eastAsia="ru-RU"/>
        </w:rPr>
        <w:t xml:space="preserve"> фінансова підтримка</w:t>
      </w:r>
      <w:r>
        <w:rPr>
          <w:rFonts w:ascii="Times New Roman" w:eastAsia="Times New Roman" w:hAnsi="Times New Roman" w:cs="Times New Roman"/>
          <w:color w:val="000000"/>
          <w:sz w:val="24"/>
          <w:szCs w:val="24"/>
          <w:lang w:eastAsia="ru-RU"/>
        </w:rPr>
        <w:t xml:space="preserve"> суб’єктам</w:t>
      </w:r>
      <w:r w:rsidRPr="000114E9">
        <w:rPr>
          <w:rFonts w:ascii="Times New Roman" w:eastAsia="Times New Roman" w:hAnsi="Times New Roman" w:cs="Times New Roman"/>
          <w:color w:val="000000"/>
          <w:sz w:val="24"/>
          <w:szCs w:val="24"/>
          <w:lang w:eastAsia="ru-RU"/>
        </w:rPr>
        <w:t xml:space="preserve"> господарювання:</w:t>
      </w:r>
    </w:p>
    <w:p w:rsidR="00B979FE" w:rsidRPr="000114E9"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100,0 млн грн – вугледобувним підприємствам для погашення заборгованості із заробітної плати перед працівниками вугільної промисловості (на поворотній основі);</w:t>
      </w:r>
    </w:p>
    <w:p w:rsidR="00B979FE" w:rsidRPr="000114E9"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97,1 млн грн – для запобігання виникненню надзвичайної ситуації у зв’язку із затопленням шахт Первомайсько-Стаханівського вугледобувного регіону Луганської області;</w:t>
      </w:r>
    </w:p>
    <w:p w:rsidR="00B979FE" w:rsidRPr="000114E9"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23,6 млн грн – ДП «Укркосмос» для оплати витрат на арбітраж під час врегулювання спору стосовно реалізації проекту «Створення Національної супутникової системи зв’язку» (на поворотній основі).</w:t>
      </w:r>
    </w:p>
    <w:p w:rsidR="00B979FE" w:rsidRPr="000114E9"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Слід зазначити, що у</w:t>
      </w:r>
      <w:r w:rsidRPr="000114E9">
        <w:rPr>
          <w:rFonts w:ascii="Times New Roman" w:eastAsia="Times New Roman" w:hAnsi="Times New Roman" w:cs="Times New Roman"/>
          <w:color w:val="000000"/>
          <w:sz w:val="24"/>
          <w:szCs w:val="24"/>
          <w:lang w:eastAsia="ru-RU"/>
        </w:rPr>
        <w:t xml:space="preserve"> І півріччі 2019 року з резервного фонду державного бюджету вже були профінансовані витрати суб’єктів господарювання, зокрема на:</w:t>
      </w:r>
    </w:p>
    <w:p w:rsidR="00B979FE" w:rsidRPr="000114E9"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450,0 млн грн – для забезпечення у 2019 році оплати спожитої електричної енергії державними вугледобувними підприємствами;</w:t>
      </w:r>
    </w:p>
    <w:p w:rsidR="00B979FE" w:rsidRDefault="00B979FE" w:rsidP="005A0E1F">
      <w:pPr>
        <w:pStyle w:val="a4"/>
        <w:numPr>
          <w:ilvl w:val="0"/>
          <w:numId w:val="35"/>
        </w:numPr>
        <w:spacing w:before="120" w:after="120" w:line="240" w:lineRule="auto"/>
        <w:ind w:left="0" w:firstLine="426"/>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350,0 млн грн – для оплати праці та внесення обов’язкових платежів, пов’язаних з виплатою заробітної плати працівникам вугільної промисловості (на поворотній основі).</w:t>
      </w:r>
    </w:p>
    <w:p w:rsidR="00B979FE" w:rsidRPr="00283969" w:rsidRDefault="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Враховуючи вказане, щороку спостерігається тенденція використання коштів резервного фонду на фінансування поточної діяльності </w:t>
      </w:r>
      <w:r w:rsidRPr="000114E9">
        <w:rPr>
          <w:rFonts w:ascii="Times New Roman" w:eastAsia="Times New Roman" w:hAnsi="Times New Roman" w:cs="Times New Roman"/>
          <w:color w:val="000000"/>
          <w:sz w:val="24"/>
          <w:szCs w:val="24"/>
          <w:lang w:eastAsia="ru-RU"/>
        </w:rPr>
        <w:t>суб’єктів господарювання</w:t>
      </w:r>
      <w:r>
        <w:rPr>
          <w:rFonts w:ascii="Times New Roman" w:eastAsia="Times New Roman" w:hAnsi="Times New Roman" w:cs="Times New Roman"/>
          <w:color w:val="000000"/>
          <w:sz w:val="24"/>
          <w:szCs w:val="24"/>
          <w:lang w:eastAsia="ru-RU"/>
        </w:rPr>
        <w:t>, зокрема вугільної галузі. Отже, посилюються ризики недостатності коштів резервного фонду на непередбачувані видатки, насамперед ліквідацію наслідків надзвичайних ситуацій.</w:t>
      </w:r>
      <w:r w:rsidR="008E5F32">
        <w:rPr>
          <w:rFonts w:ascii="Times New Roman" w:eastAsia="Times New Roman" w:hAnsi="Times New Roman" w:cs="Times New Roman"/>
          <w:color w:val="000000"/>
          <w:sz w:val="24"/>
          <w:szCs w:val="24"/>
          <w:lang w:eastAsia="ru-RU"/>
        </w:rPr>
        <w:t xml:space="preserve"> Крім того, відбувається перерозподіл з капітальних видатків програми реструктуризації вугільних підприємств на поточні видатки </w:t>
      </w:r>
      <w:r w:rsidRPr="00283969">
        <w:rPr>
          <w:rFonts w:ascii="Times New Roman" w:eastAsia="Times New Roman" w:hAnsi="Times New Roman" w:cs="Times New Roman"/>
          <w:color w:val="000000"/>
          <w:sz w:val="24"/>
          <w:szCs w:val="24"/>
          <w:lang w:eastAsia="ru-RU"/>
        </w:rPr>
        <w:t xml:space="preserve">для погашення заборгованості із заробітної плати перед працівниками. З огляду на те, що </w:t>
      </w:r>
      <w:r w:rsidR="008E5F32">
        <w:rPr>
          <w:rFonts w:ascii="Times New Roman" w:eastAsia="Times New Roman" w:hAnsi="Times New Roman" w:cs="Times New Roman"/>
          <w:color w:val="000000"/>
          <w:sz w:val="24"/>
          <w:szCs w:val="24"/>
          <w:lang w:eastAsia="ru-RU"/>
        </w:rPr>
        <w:t xml:space="preserve">реформа </w:t>
      </w:r>
      <w:r w:rsidRPr="00283969">
        <w:rPr>
          <w:rFonts w:ascii="Times New Roman" w:eastAsia="Times New Roman" w:hAnsi="Times New Roman" w:cs="Times New Roman"/>
          <w:color w:val="000000"/>
          <w:sz w:val="24"/>
          <w:szCs w:val="24"/>
          <w:lang w:eastAsia="ru-RU"/>
        </w:rPr>
        <w:t>вугільн</w:t>
      </w:r>
      <w:r w:rsidR="008E5F32">
        <w:rPr>
          <w:rFonts w:ascii="Times New Roman" w:eastAsia="Times New Roman" w:hAnsi="Times New Roman" w:cs="Times New Roman"/>
          <w:color w:val="000000"/>
          <w:sz w:val="24"/>
          <w:szCs w:val="24"/>
          <w:lang w:eastAsia="ru-RU"/>
        </w:rPr>
        <w:t>ої</w:t>
      </w:r>
      <w:r w:rsidRPr="00283969">
        <w:rPr>
          <w:rFonts w:ascii="Times New Roman" w:eastAsia="Times New Roman" w:hAnsi="Times New Roman" w:cs="Times New Roman"/>
          <w:color w:val="000000"/>
          <w:sz w:val="24"/>
          <w:szCs w:val="24"/>
          <w:lang w:eastAsia="ru-RU"/>
        </w:rPr>
        <w:t xml:space="preserve"> галуз</w:t>
      </w:r>
      <w:r w:rsidR="008E5F32">
        <w:rPr>
          <w:rFonts w:ascii="Times New Roman" w:eastAsia="Times New Roman" w:hAnsi="Times New Roman" w:cs="Times New Roman"/>
          <w:color w:val="000000"/>
          <w:sz w:val="24"/>
          <w:szCs w:val="24"/>
          <w:lang w:eastAsia="ru-RU"/>
        </w:rPr>
        <w:t>і є складною для впровадження, ситуація із потребою збільшити фінансування відповідної програми протягом 2020 року може знову мати місце</w:t>
      </w:r>
      <w:r w:rsidRPr="00283969">
        <w:rPr>
          <w:rFonts w:ascii="Times New Roman" w:eastAsia="Times New Roman" w:hAnsi="Times New Roman" w:cs="Times New Roman"/>
          <w:color w:val="000000"/>
          <w:sz w:val="24"/>
          <w:szCs w:val="24"/>
          <w:lang w:eastAsia="ru-RU"/>
        </w:rPr>
        <w:t>.</w:t>
      </w:r>
    </w:p>
    <w:p w:rsidR="00B979FE" w:rsidRPr="00283969" w:rsidRDefault="00B979FE" w:rsidP="00B979FE">
      <w:pPr>
        <w:spacing w:after="0" w:line="240" w:lineRule="auto"/>
        <w:ind w:firstLine="567"/>
        <w:jc w:val="both"/>
        <w:rPr>
          <w:rFonts w:ascii="Times New Roman" w:eastAsia="Times New Roman" w:hAnsi="Times New Roman" w:cs="Times New Roman"/>
          <w:color w:val="000000"/>
          <w:sz w:val="24"/>
          <w:szCs w:val="24"/>
          <w:lang w:eastAsia="ru-RU"/>
        </w:rPr>
      </w:pPr>
      <w:r w:rsidRPr="00283969">
        <w:rPr>
          <w:rFonts w:ascii="Times New Roman" w:eastAsia="Times New Roman" w:hAnsi="Times New Roman" w:cs="Times New Roman"/>
          <w:color w:val="000000"/>
          <w:sz w:val="24"/>
          <w:szCs w:val="24"/>
          <w:lang w:eastAsia="ru-RU"/>
        </w:rPr>
        <w:t>Тому, з метою розв’язання проблем у вугільній галузі необхідно оптимізувати непрофільні активи вугледобувних підприємств; підвищити їх інвестиційну привабливість; визначити механізм соціального захисту працівників, що вивільняються; прискорити темпи підготовки шахт до приватизації; визначити конкретні заходи із зменшення собівартості готової товарної вугільної продукції; привести ціни товарної вугільної продукції до економічно обґрунтованого рівня.</w:t>
      </w:r>
    </w:p>
    <w:p w:rsidR="00B979FE" w:rsidRPr="003D5567" w:rsidRDefault="00B979FE" w:rsidP="00B979FE">
      <w:pPr>
        <w:spacing w:before="120" w:after="0" w:line="240" w:lineRule="auto"/>
        <w:ind w:firstLine="567"/>
        <w:jc w:val="both"/>
        <w:rPr>
          <w:rFonts w:ascii="Times New Roman" w:eastAsia="Times New Roman" w:hAnsi="Times New Roman" w:cs="Times New Roman"/>
          <w:b/>
          <w:color w:val="000000"/>
          <w:sz w:val="24"/>
          <w:szCs w:val="24"/>
          <w:lang w:eastAsia="ru-RU"/>
        </w:rPr>
      </w:pPr>
      <w:r w:rsidRPr="00614613">
        <w:rPr>
          <w:rFonts w:ascii="Times New Roman" w:eastAsia="Times New Roman" w:hAnsi="Times New Roman" w:cs="Times New Roman"/>
          <w:b/>
          <w:color w:val="000000"/>
          <w:sz w:val="24"/>
          <w:szCs w:val="24"/>
          <w:lang w:eastAsia="ru-RU"/>
        </w:rPr>
        <w:t>Квазіфіскальні операції</w:t>
      </w:r>
    </w:p>
    <w:p w:rsidR="00B979FE" w:rsidRDefault="00B979FE" w:rsidP="00B979FE">
      <w:pPr>
        <w:spacing w:before="120" w:after="0" w:line="240" w:lineRule="auto"/>
        <w:ind w:firstLine="567"/>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АТ «НАК «Нафтогаз України» здійснює постачання природного газу постачальникам природного газу для потреб побутових споживачів, релігійних організацій (крім обсягів, що використовуються для провадження їх виробничо-комерційної діяльності) та виробникам теплової енергії за цінами та на умовах, визначених постановами Уряду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p>
    <w:p w:rsidR="00B979FE" w:rsidRDefault="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0114E9">
        <w:rPr>
          <w:rFonts w:ascii="Times New Roman" w:eastAsia="Times New Roman" w:hAnsi="Times New Roman" w:cs="Times New Roman"/>
          <w:color w:val="000000"/>
          <w:sz w:val="24"/>
          <w:szCs w:val="24"/>
          <w:lang w:eastAsia="ru-RU"/>
        </w:rPr>
        <w:t xml:space="preserve">ідповідно до </w:t>
      </w:r>
      <w:r>
        <w:rPr>
          <w:rFonts w:ascii="Times New Roman" w:eastAsia="Times New Roman" w:hAnsi="Times New Roman" w:cs="Times New Roman"/>
          <w:color w:val="000000"/>
          <w:sz w:val="24"/>
          <w:szCs w:val="24"/>
          <w:lang w:eastAsia="ru-RU"/>
        </w:rPr>
        <w:t xml:space="preserve">статті 11 </w:t>
      </w:r>
      <w:r w:rsidRPr="000114E9">
        <w:rPr>
          <w:rFonts w:ascii="Times New Roman" w:eastAsia="Times New Roman" w:hAnsi="Times New Roman" w:cs="Times New Roman"/>
          <w:color w:val="000000"/>
          <w:sz w:val="24"/>
          <w:szCs w:val="24"/>
          <w:lang w:eastAsia="ru-RU"/>
        </w:rPr>
        <w:t>Закону України «Про ринок природного газу» суб’єкт ринку природного газу, на якого покладаються спеціальні обов’язки,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w:t>
      </w:r>
      <w:r>
        <w:rPr>
          <w:rFonts w:ascii="Times New Roman" w:eastAsia="Times New Roman" w:hAnsi="Times New Roman" w:cs="Times New Roman"/>
          <w:color w:val="000000"/>
          <w:sz w:val="24"/>
          <w:szCs w:val="24"/>
          <w:lang w:eastAsia="ru-RU"/>
        </w:rPr>
        <w:t>, відповідно до порядку, затвердженого Урядом. Вказаний порядок на даний час відсутній.</w:t>
      </w:r>
    </w:p>
    <w:p w:rsidR="00B979FE" w:rsidRDefault="00B979FE" w:rsidP="005A0E1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0114E9">
        <w:rPr>
          <w:rFonts w:ascii="Times New Roman" w:eastAsia="Times New Roman" w:hAnsi="Times New Roman" w:cs="Times New Roman"/>
          <w:color w:val="000000"/>
          <w:sz w:val="24"/>
          <w:szCs w:val="24"/>
          <w:lang w:eastAsia="ru-RU"/>
        </w:rPr>
        <w:t xml:space="preserve">а розрахунками АТ «НАК «Нафтогаз України», розмір компенсації за виконання спеціальних обов’язків за період з 01.10.2015 по 31.12.2018 року </w:t>
      </w:r>
      <w:r>
        <w:rPr>
          <w:rFonts w:ascii="Times New Roman" w:eastAsia="Times New Roman" w:hAnsi="Times New Roman" w:cs="Times New Roman"/>
          <w:color w:val="000000"/>
          <w:sz w:val="24"/>
          <w:szCs w:val="24"/>
          <w:lang w:eastAsia="ru-RU"/>
        </w:rPr>
        <w:t>становить:</w:t>
      </w:r>
    </w:p>
    <w:p w:rsidR="00B979FE" w:rsidRPr="000114E9" w:rsidRDefault="00B979FE" w:rsidP="005A0E1F">
      <w:pPr>
        <w:pStyle w:val="a4"/>
        <w:numPr>
          <w:ilvl w:val="0"/>
          <w:numId w:val="35"/>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w:t>
      </w:r>
      <w:r w:rsidRPr="000114E9">
        <w:rPr>
          <w:rFonts w:ascii="Times New Roman" w:eastAsia="Times New Roman" w:hAnsi="Times New Roman" w:cs="Times New Roman"/>
          <w:color w:val="000000"/>
          <w:sz w:val="24"/>
          <w:szCs w:val="24"/>
          <w:lang w:eastAsia="ru-RU"/>
        </w:rPr>
        <w:t>АТ «НАК «Нафтогаз України»</w:t>
      </w:r>
      <w:r>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 xml:space="preserve"> 27,1 млрд грн </w:t>
      </w:r>
      <w:r>
        <w:rPr>
          <w:rFonts w:ascii="Times New Roman" w:eastAsia="Times New Roman" w:hAnsi="Times New Roman" w:cs="Times New Roman"/>
          <w:color w:val="000000"/>
          <w:sz w:val="24"/>
          <w:szCs w:val="24"/>
          <w:lang w:eastAsia="ru-RU"/>
        </w:rPr>
        <w:t xml:space="preserve">(з них </w:t>
      </w:r>
      <w:r w:rsidRPr="000114E9">
        <w:rPr>
          <w:rFonts w:ascii="Times New Roman" w:eastAsia="Times New Roman" w:hAnsi="Times New Roman" w:cs="Times New Roman"/>
          <w:color w:val="000000"/>
          <w:sz w:val="24"/>
          <w:szCs w:val="24"/>
          <w:lang w:eastAsia="ru-RU"/>
        </w:rPr>
        <w:t>10,6 млрд грн</w:t>
      </w:r>
      <w:r>
        <w:rPr>
          <w:rFonts w:ascii="Times New Roman" w:eastAsia="Times New Roman" w:hAnsi="Times New Roman" w:cs="Times New Roman"/>
          <w:color w:val="000000"/>
          <w:sz w:val="24"/>
          <w:szCs w:val="24"/>
          <w:lang w:eastAsia="ru-RU"/>
        </w:rPr>
        <w:t xml:space="preserve"> за </w:t>
      </w:r>
      <w:r w:rsidRPr="000114E9">
        <w:rPr>
          <w:rFonts w:ascii="Times New Roman" w:eastAsia="Times New Roman" w:hAnsi="Times New Roman" w:cs="Times New Roman"/>
          <w:color w:val="000000"/>
          <w:sz w:val="24"/>
          <w:szCs w:val="24"/>
          <w:lang w:eastAsia="ru-RU"/>
        </w:rPr>
        <w:t>2018 р</w:t>
      </w:r>
      <w:r>
        <w:rPr>
          <w:rFonts w:ascii="Times New Roman" w:eastAsia="Times New Roman" w:hAnsi="Times New Roman" w:cs="Times New Roman"/>
          <w:color w:val="000000"/>
          <w:sz w:val="24"/>
          <w:szCs w:val="24"/>
          <w:lang w:eastAsia="ru-RU"/>
        </w:rPr>
        <w:t>ік);</w:t>
      </w:r>
    </w:p>
    <w:p w:rsidR="00B979FE" w:rsidRDefault="00B979FE" w:rsidP="005A0E1F">
      <w:pPr>
        <w:pStyle w:val="a4"/>
        <w:numPr>
          <w:ilvl w:val="0"/>
          <w:numId w:val="35"/>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w:t>
      </w:r>
      <w:r w:rsidRPr="000114E9">
        <w:rPr>
          <w:rFonts w:ascii="Times New Roman" w:eastAsia="Times New Roman" w:hAnsi="Times New Roman" w:cs="Times New Roman"/>
          <w:color w:val="000000"/>
          <w:sz w:val="24"/>
          <w:szCs w:val="24"/>
          <w:lang w:eastAsia="ru-RU"/>
        </w:rPr>
        <w:t xml:space="preserve">АТ «Укргазвидобування» </w:t>
      </w:r>
      <w:r>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96,7 млрд грн (</w:t>
      </w:r>
      <w:r>
        <w:rPr>
          <w:rFonts w:ascii="Times New Roman" w:eastAsia="Times New Roman" w:hAnsi="Times New Roman" w:cs="Times New Roman"/>
          <w:color w:val="000000"/>
          <w:sz w:val="24"/>
          <w:szCs w:val="24"/>
          <w:lang w:eastAsia="ru-RU"/>
        </w:rPr>
        <w:t xml:space="preserve">з них </w:t>
      </w:r>
      <w:r w:rsidRPr="000114E9">
        <w:rPr>
          <w:rFonts w:ascii="Times New Roman" w:eastAsia="Times New Roman" w:hAnsi="Times New Roman" w:cs="Times New Roman"/>
          <w:color w:val="000000"/>
          <w:sz w:val="24"/>
          <w:szCs w:val="24"/>
          <w:lang w:eastAsia="ru-RU"/>
        </w:rPr>
        <w:t>34,5 млрд грн за 2018 рік).</w:t>
      </w:r>
    </w:p>
    <w:p w:rsidR="00B979FE" w:rsidRPr="000114E9" w:rsidRDefault="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цьому</w:t>
      </w:r>
      <w:r w:rsidR="00CD350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судами вже розглядаються справи за позовами </w:t>
      </w:r>
      <w:r w:rsidRPr="000114E9">
        <w:rPr>
          <w:rFonts w:ascii="Times New Roman" w:eastAsia="Times New Roman" w:hAnsi="Times New Roman" w:cs="Times New Roman"/>
          <w:color w:val="000000"/>
          <w:sz w:val="24"/>
          <w:szCs w:val="24"/>
          <w:lang w:eastAsia="ru-RU"/>
        </w:rPr>
        <w:t>АТ «НАК «Нафтогаз України»</w:t>
      </w:r>
      <w:r>
        <w:rPr>
          <w:rFonts w:ascii="Times New Roman" w:eastAsia="Times New Roman" w:hAnsi="Times New Roman" w:cs="Times New Roman"/>
          <w:color w:val="000000"/>
          <w:sz w:val="24"/>
          <w:szCs w:val="24"/>
          <w:lang w:eastAsia="ru-RU"/>
        </w:rPr>
        <w:t xml:space="preserve"> та </w:t>
      </w:r>
      <w:r w:rsidRPr="000114E9">
        <w:rPr>
          <w:rFonts w:ascii="Times New Roman" w:eastAsia="Times New Roman" w:hAnsi="Times New Roman" w:cs="Times New Roman"/>
          <w:color w:val="000000"/>
          <w:sz w:val="24"/>
          <w:szCs w:val="24"/>
          <w:lang w:eastAsia="ru-RU"/>
        </w:rPr>
        <w:t>АТ «Укргазвидобування»</w:t>
      </w:r>
      <w:r>
        <w:rPr>
          <w:rFonts w:ascii="Times New Roman" w:eastAsia="Times New Roman" w:hAnsi="Times New Roman" w:cs="Times New Roman"/>
          <w:color w:val="000000"/>
          <w:sz w:val="24"/>
          <w:szCs w:val="24"/>
          <w:lang w:eastAsia="ru-RU"/>
        </w:rPr>
        <w:t xml:space="preserve"> до Кабінету Міністрів України про стягнення компенсації збитків на загальну суму 63,4 млрд гривень.</w:t>
      </w:r>
    </w:p>
    <w:p w:rsidR="00B979FE" w:rsidRPr="000114E9" w:rsidRDefault="00B979FE" w:rsidP="005A0E1F">
      <w:pPr>
        <w:spacing w:after="0" w:line="240" w:lineRule="auto"/>
        <w:ind w:firstLine="567"/>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Крім того, відповідно до Закону України «Про ринок електроенергії» з 1 липня 2019 року в Україні запроваджується новий ринок електроенергії.</w:t>
      </w:r>
      <w:r>
        <w:rPr>
          <w:rFonts w:ascii="Times New Roman" w:eastAsia="Times New Roman" w:hAnsi="Times New Roman" w:cs="Times New Roman"/>
          <w:color w:val="000000"/>
          <w:sz w:val="24"/>
          <w:szCs w:val="24"/>
          <w:lang w:eastAsia="ru-RU"/>
        </w:rPr>
        <w:t xml:space="preserve"> </w:t>
      </w:r>
      <w:r w:rsidRPr="000114E9">
        <w:rPr>
          <w:rFonts w:ascii="Times New Roman" w:eastAsia="Times New Roman" w:hAnsi="Times New Roman" w:cs="Times New Roman"/>
          <w:color w:val="000000"/>
          <w:sz w:val="24"/>
          <w:szCs w:val="24"/>
          <w:lang w:eastAsia="ru-RU"/>
        </w:rPr>
        <w:t xml:space="preserve">На виконання вказаного закону Кабінет Міністрів України </w:t>
      </w:r>
      <w:r>
        <w:rPr>
          <w:rFonts w:ascii="Times New Roman" w:eastAsia="Times New Roman" w:hAnsi="Times New Roman" w:cs="Times New Roman"/>
          <w:color w:val="000000"/>
          <w:sz w:val="24"/>
          <w:szCs w:val="24"/>
          <w:lang w:eastAsia="ru-RU"/>
        </w:rPr>
        <w:t xml:space="preserve">затвердив положення </w:t>
      </w:r>
      <w:r w:rsidRPr="000114E9">
        <w:rPr>
          <w:rFonts w:ascii="Times New Roman" w:eastAsia="Times New Roman" w:hAnsi="Times New Roman" w:cs="Times New Roman"/>
          <w:color w:val="000000"/>
          <w:sz w:val="24"/>
          <w:szCs w:val="24"/>
          <w:lang w:eastAsia="ru-RU"/>
        </w:rPr>
        <w:t>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(постанова від 5 червня 2019 року № 483)</w:t>
      </w:r>
      <w:r>
        <w:rPr>
          <w:rFonts w:ascii="Times New Roman" w:eastAsia="Times New Roman" w:hAnsi="Times New Roman" w:cs="Times New Roman"/>
          <w:color w:val="000000"/>
          <w:sz w:val="24"/>
          <w:szCs w:val="24"/>
          <w:lang w:eastAsia="ru-RU"/>
        </w:rPr>
        <w:t>.</w:t>
      </w:r>
    </w:p>
    <w:p w:rsidR="00B979FE" w:rsidRDefault="00B979FE" w:rsidP="005A0E1F">
      <w:pPr>
        <w:spacing w:after="0" w:line="240" w:lineRule="auto"/>
        <w:ind w:firstLine="567"/>
        <w:jc w:val="both"/>
        <w:rPr>
          <w:rFonts w:ascii="Times New Roman" w:eastAsia="Times New Roman" w:hAnsi="Times New Roman" w:cs="Times New Roman"/>
          <w:color w:val="000000"/>
          <w:sz w:val="24"/>
          <w:szCs w:val="24"/>
          <w:lang w:eastAsia="ru-RU"/>
        </w:rPr>
      </w:pPr>
      <w:r w:rsidRPr="000114E9">
        <w:rPr>
          <w:rFonts w:ascii="Times New Roman" w:eastAsia="Times New Roman" w:hAnsi="Times New Roman" w:cs="Times New Roman"/>
          <w:color w:val="000000"/>
          <w:sz w:val="24"/>
          <w:szCs w:val="24"/>
          <w:lang w:eastAsia="ru-RU"/>
        </w:rPr>
        <w:t xml:space="preserve">Згідно з вказаним рішенням Уряду виконання спеціальних обов’язків здійснюється виробниками електричної енергії ДП «НАЕК «Енергоатом» та ПрАТ «Укргідроенерго» шляхом продажу електроенергії </w:t>
      </w:r>
      <w:r>
        <w:rPr>
          <w:rFonts w:ascii="Times New Roman" w:eastAsia="Times New Roman" w:hAnsi="Times New Roman" w:cs="Times New Roman"/>
          <w:color w:val="000000"/>
          <w:sz w:val="24"/>
          <w:szCs w:val="24"/>
          <w:lang w:eastAsia="ru-RU"/>
        </w:rPr>
        <w:t>у визначених обсягах</w:t>
      </w:r>
      <w:r w:rsidRPr="000114E9">
        <w:rPr>
          <w:rFonts w:ascii="Times New Roman" w:eastAsia="Times New Roman" w:hAnsi="Times New Roman" w:cs="Times New Roman"/>
          <w:color w:val="000000"/>
          <w:sz w:val="24"/>
          <w:szCs w:val="24"/>
          <w:lang w:eastAsia="ru-RU"/>
        </w:rPr>
        <w:t xml:space="preserve"> за граничними цінами</w:t>
      </w:r>
      <w:r>
        <w:rPr>
          <w:rFonts w:ascii="Times New Roman" w:eastAsia="Times New Roman" w:hAnsi="Times New Roman" w:cs="Times New Roman"/>
          <w:color w:val="000000"/>
          <w:sz w:val="24"/>
          <w:szCs w:val="24"/>
          <w:lang w:eastAsia="ru-RU"/>
        </w:rPr>
        <w:t xml:space="preserve">, що може вплинути на фінансові результати діяльності вказаних суб’єктів господарювання у </w:t>
      </w:r>
      <w:r w:rsidR="006310C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2019-2020 роках.</w:t>
      </w:r>
    </w:p>
    <w:p w:rsidR="00B979FE" w:rsidRDefault="00B979FE" w:rsidP="005A0E1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Також, Кабінетом Міністрів України прийнято постанову від 26 червня 2019 року № 560 «</w:t>
      </w:r>
      <w:r w:rsidRPr="00255F26">
        <w:rPr>
          <w:rFonts w:ascii="Times New Roman" w:eastAsia="Times New Roman" w:hAnsi="Times New Roman" w:cs="Times New Roman"/>
          <w:color w:val="000000"/>
          <w:sz w:val="24"/>
          <w:szCs w:val="24"/>
          <w:lang w:eastAsia="ru-RU"/>
        </w:rPr>
        <w:t>Деякі питання захисту прав споживачів житлово-комунальних послуг</w:t>
      </w:r>
      <w:r>
        <w:rPr>
          <w:rFonts w:ascii="Times New Roman" w:eastAsia="Times New Roman" w:hAnsi="Times New Roman" w:cs="Times New Roman"/>
          <w:color w:val="000000"/>
          <w:sz w:val="24"/>
          <w:szCs w:val="24"/>
          <w:lang w:eastAsia="ru-RU"/>
        </w:rPr>
        <w:t>» відповідно до якої на опалювальний сезон 2019/2020 року установлені граничні тарифи на житлово-комунальні послуги для населення.</w:t>
      </w:r>
    </w:p>
    <w:p w:rsidR="00B979FE" w:rsidRDefault="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Реалізація вказаної постанови може призвести до виникнення зобов’язань держави відшкодовувати різницю у тарифах з державного бюджету.</w:t>
      </w:r>
    </w:p>
    <w:p w:rsidR="00B979FE" w:rsidRPr="002D0E95" w:rsidRDefault="00B979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попередніми розрахунками Мінрегіону у цілому по Україні в опалювальному сезоні 2019/2020 року обсяг заборгованості з різниці в тарифах лише по ліцензіатам органів </w:t>
      </w:r>
      <w:r w:rsidRPr="002D0E95">
        <w:rPr>
          <w:rFonts w:ascii="Times New Roman" w:eastAsia="Times New Roman" w:hAnsi="Times New Roman" w:cs="Times New Roman"/>
          <w:color w:val="000000"/>
          <w:sz w:val="24"/>
          <w:szCs w:val="24"/>
          <w:lang w:eastAsia="ru-RU"/>
        </w:rPr>
        <w:t>місцевого самоврядування становитиме понад 2 млрд гривень.</w:t>
      </w:r>
    </w:p>
    <w:p w:rsidR="00B979FE" w:rsidRPr="0067765D" w:rsidRDefault="00B979FE" w:rsidP="005A0E1F">
      <w:pPr>
        <w:spacing w:after="0" w:line="240" w:lineRule="auto"/>
        <w:ind w:firstLine="567"/>
        <w:jc w:val="both"/>
        <w:rPr>
          <w:rFonts w:ascii="Times New Roman" w:eastAsia="Times New Roman" w:hAnsi="Times New Roman" w:cs="Times New Roman"/>
          <w:sz w:val="24"/>
          <w:szCs w:val="24"/>
          <w:lang w:eastAsia="ru-RU"/>
        </w:rPr>
      </w:pPr>
      <w:r w:rsidRPr="0067765D">
        <w:rPr>
          <w:rFonts w:ascii="Times New Roman" w:eastAsia="Times New Roman" w:hAnsi="Times New Roman" w:cs="Times New Roman"/>
          <w:sz w:val="24"/>
          <w:szCs w:val="24"/>
          <w:lang w:eastAsia="ru-RU"/>
        </w:rPr>
        <w:t>З метою зменшення впливу на показники державного бюджету фіскальних ризиків, пов’язаних із діяльністю суб’єктів господарювання державного сектору економіки, є необхідним:</w:t>
      </w:r>
    </w:p>
    <w:p w:rsidR="00B979FE" w:rsidRDefault="00B979FE">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0A93">
        <w:rPr>
          <w:rFonts w:ascii="Times New Roman" w:eastAsia="Times New Roman" w:hAnsi="Times New Roman" w:cs="Times New Roman"/>
          <w:sz w:val="24"/>
          <w:szCs w:val="24"/>
          <w:lang w:eastAsia="ru-RU"/>
        </w:rPr>
        <w:t xml:space="preserve">приватизація значної </w:t>
      </w:r>
      <w:r w:rsidR="009E6ED4">
        <w:rPr>
          <w:rFonts w:ascii="Times New Roman" w:eastAsia="Times New Roman" w:hAnsi="Times New Roman" w:cs="Times New Roman"/>
          <w:sz w:val="24"/>
          <w:szCs w:val="24"/>
          <w:lang w:eastAsia="ru-RU"/>
        </w:rPr>
        <w:t>кількості</w:t>
      </w:r>
      <w:r w:rsidR="009E6ED4" w:rsidRPr="00140A93">
        <w:rPr>
          <w:rFonts w:ascii="Times New Roman" w:eastAsia="Times New Roman" w:hAnsi="Times New Roman" w:cs="Times New Roman"/>
          <w:sz w:val="24"/>
          <w:szCs w:val="24"/>
          <w:lang w:eastAsia="ru-RU"/>
        </w:rPr>
        <w:t xml:space="preserve"> </w:t>
      </w:r>
      <w:r w:rsidRPr="00140A93">
        <w:rPr>
          <w:rFonts w:ascii="Times New Roman" w:eastAsia="Times New Roman" w:hAnsi="Times New Roman" w:cs="Times New Roman"/>
          <w:sz w:val="24"/>
          <w:szCs w:val="24"/>
          <w:lang w:eastAsia="ru-RU"/>
        </w:rPr>
        <w:t>державних підприємств та продаж непрофільних/не задіяних в основній діяльності активів державних підприємств на прозорих умовах;</w:t>
      </w:r>
    </w:p>
    <w:p w:rsidR="00B979FE" w:rsidRPr="00140A93" w:rsidRDefault="00B979FE" w:rsidP="00951DAF">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F069A9">
        <w:rPr>
          <w:rFonts w:ascii="Times New Roman" w:eastAsia="Times New Roman" w:hAnsi="Times New Roman" w:cs="Times New Roman"/>
          <w:sz w:val="24"/>
          <w:szCs w:val="24"/>
          <w:lang w:eastAsia="ru-RU"/>
        </w:rPr>
        <w:t>- забезпечення перерахування суб’єктами господарювання до державного бюджету податкових та неподаткових платежів в повному обсязі, в установлені строки та за встановленими ставками (нормативами), погашення боргу зі сплати платежів;</w:t>
      </w:r>
    </w:p>
    <w:p w:rsidR="00B979FE" w:rsidRDefault="00B979FE" w:rsidP="00951DAF">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73FD">
        <w:rPr>
          <w:rFonts w:ascii="Times New Roman" w:eastAsia="Times New Roman" w:hAnsi="Times New Roman" w:cs="Times New Roman"/>
          <w:sz w:val="24"/>
          <w:szCs w:val="24"/>
          <w:lang w:eastAsia="ru-RU"/>
        </w:rPr>
        <w:t>реформування вугільної галузі;</w:t>
      </w:r>
    </w:p>
    <w:p w:rsidR="00B979FE" w:rsidRPr="00140A93" w:rsidRDefault="00B979FE" w:rsidP="00951DAF">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0A93">
        <w:rPr>
          <w:rFonts w:ascii="Times New Roman" w:eastAsia="Times New Roman" w:hAnsi="Times New Roman" w:cs="Times New Roman"/>
          <w:sz w:val="24"/>
          <w:szCs w:val="24"/>
          <w:lang w:eastAsia="ru-RU"/>
        </w:rPr>
        <w:t>підвищення ефективності функціонування державних підприємств;</w:t>
      </w:r>
    </w:p>
    <w:p w:rsidR="00B979FE" w:rsidRPr="00140A93" w:rsidRDefault="00B979FE" w:rsidP="00951DAF">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140A93">
        <w:rPr>
          <w:rFonts w:ascii="Times New Roman" w:eastAsia="Times New Roman" w:hAnsi="Times New Roman" w:cs="Times New Roman"/>
          <w:sz w:val="24"/>
          <w:szCs w:val="24"/>
          <w:lang w:eastAsia="ru-RU"/>
        </w:rPr>
        <w:t>- здійснення органами управління моніторингу фінансового стану державних підприємств та контролю за їх зобов’язаннями;</w:t>
      </w:r>
    </w:p>
    <w:p w:rsidR="00B979FE" w:rsidRDefault="00B979FE" w:rsidP="00951DAF">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140A93">
        <w:rPr>
          <w:rFonts w:ascii="Times New Roman" w:eastAsia="Times New Roman" w:hAnsi="Times New Roman" w:cs="Times New Roman"/>
          <w:sz w:val="24"/>
          <w:szCs w:val="24"/>
          <w:lang w:eastAsia="ru-RU"/>
        </w:rPr>
        <w:t>- створення незалежних наглядових рад на особливо важливих для еко</w:t>
      </w:r>
      <w:r>
        <w:rPr>
          <w:rFonts w:ascii="Times New Roman" w:eastAsia="Times New Roman" w:hAnsi="Times New Roman" w:cs="Times New Roman"/>
          <w:sz w:val="24"/>
          <w:szCs w:val="24"/>
          <w:lang w:eastAsia="ru-RU"/>
        </w:rPr>
        <w:t>номіки державних підприємствах;</w:t>
      </w:r>
    </w:p>
    <w:p w:rsidR="00B979FE" w:rsidRDefault="00B979FE" w:rsidP="00951DAF">
      <w:pPr>
        <w:tabs>
          <w:tab w:val="left" w:pos="709"/>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140A93">
        <w:rPr>
          <w:rFonts w:ascii="Times New Roman" w:eastAsia="Times New Roman" w:hAnsi="Times New Roman" w:cs="Times New Roman"/>
          <w:sz w:val="24"/>
          <w:szCs w:val="24"/>
          <w:lang w:eastAsia="ru-RU"/>
        </w:rPr>
        <w:t>проведення стрес-тестування на державних підприємствах на випадок кризи та розробка дек</w:t>
      </w:r>
      <w:r>
        <w:rPr>
          <w:rFonts w:ascii="Times New Roman" w:eastAsia="Times New Roman" w:hAnsi="Times New Roman" w:cs="Times New Roman"/>
          <w:sz w:val="24"/>
          <w:szCs w:val="24"/>
          <w:lang w:eastAsia="ru-RU"/>
        </w:rPr>
        <w:t>ількох альтернативних сценаріїв.</w:t>
      </w:r>
    </w:p>
    <w:p w:rsidR="00AE7935" w:rsidRPr="00594FDE" w:rsidRDefault="00970C0D" w:rsidP="00594FDE">
      <w:pPr>
        <w:pStyle w:val="1"/>
        <w:spacing w:after="120"/>
        <w:jc w:val="center"/>
        <w:rPr>
          <w:b/>
          <w:sz w:val="28"/>
        </w:rPr>
      </w:pPr>
      <w:bookmarkStart w:id="10" w:name="_Toc19289905"/>
      <w:r w:rsidRPr="00594FDE">
        <w:rPr>
          <w:b/>
          <w:sz w:val="28"/>
        </w:rPr>
        <w:t>ФІСКАЛЬНІ РИЗИКИ, ПОВ’ЯЗАНІ ІЗ НЕВИКОНАННЯМ ПЛАНУ НАДХОДЖЕНЬ ВІД ПРИВАТИЗАЦІЇ ДЕРЖАВНОГО МАЙНА</w:t>
      </w:r>
      <w:bookmarkEnd w:id="10"/>
    </w:p>
    <w:p w:rsidR="003C4353" w:rsidRPr="001D4F6F" w:rsidRDefault="003C4353" w:rsidP="005A0E1F">
      <w:pPr>
        <w:tabs>
          <w:tab w:val="left" w:pos="0"/>
          <w:tab w:val="left" w:pos="851"/>
          <w:tab w:val="left" w:pos="2058"/>
        </w:tabs>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 xml:space="preserve">Відповідно до Закону України «Про Державний бюджет України на 2019 рік» </w:t>
      </w:r>
      <w:r w:rsidRPr="001D4F6F">
        <w:rPr>
          <w:rFonts w:ascii="Times New Roman" w:hAnsi="Times New Roman" w:cs="Times New Roman"/>
          <w:color w:val="000000"/>
          <w:sz w:val="24"/>
          <w:szCs w:val="24"/>
        </w:rPr>
        <w:t>надходження коштів від приватизації державного майна до Державного бюджету України у 2019 році мають становити 17</w:t>
      </w:r>
      <w:r w:rsidRPr="001D4F6F">
        <w:rPr>
          <w:rFonts w:ascii="Times New Roman" w:hAnsi="Times New Roman" w:cs="Times New Roman"/>
          <w:sz w:val="24"/>
          <w:szCs w:val="24"/>
        </w:rPr>
        <w:t>,1 млрд гривень.</w:t>
      </w:r>
      <w:r w:rsidR="00FA17C3">
        <w:rPr>
          <w:rFonts w:ascii="Times New Roman" w:hAnsi="Times New Roman" w:cs="Times New Roman"/>
          <w:sz w:val="24"/>
          <w:szCs w:val="24"/>
        </w:rPr>
        <w:t xml:space="preserve"> Однак </w:t>
      </w:r>
      <w:r w:rsidRPr="001D4F6F">
        <w:rPr>
          <w:rFonts w:ascii="Times New Roman" w:hAnsi="Times New Roman" w:cs="Times New Roman"/>
          <w:sz w:val="24"/>
          <w:szCs w:val="24"/>
        </w:rPr>
        <w:t xml:space="preserve">на </w:t>
      </w:r>
      <w:r w:rsidR="00C63C55">
        <w:rPr>
          <w:rFonts w:ascii="Times New Roman" w:hAnsi="Times New Roman" w:cs="Times New Roman"/>
          <w:sz w:val="24"/>
          <w:szCs w:val="24"/>
        </w:rPr>
        <w:t>30</w:t>
      </w:r>
      <w:r w:rsidRPr="001D4F6F">
        <w:rPr>
          <w:rFonts w:ascii="Times New Roman" w:hAnsi="Times New Roman" w:cs="Times New Roman"/>
          <w:sz w:val="24"/>
          <w:szCs w:val="24"/>
        </w:rPr>
        <w:t>.0</w:t>
      </w:r>
      <w:r w:rsidR="00C63C55">
        <w:rPr>
          <w:rFonts w:ascii="Times New Roman" w:hAnsi="Times New Roman" w:cs="Times New Roman"/>
          <w:sz w:val="24"/>
          <w:szCs w:val="24"/>
        </w:rPr>
        <w:t>8</w:t>
      </w:r>
      <w:r w:rsidRPr="001D4F6F">
        <w:rPr>
          <w:rFonts w:ascii="Times New Roman" w:hAnsi="Times New Roman" w:cs="Times New Roman"/>
          <w:sz w:val="24"/>
          <w:szCs w:val="24"/>
        </w:rPr>
        <w:t xml:space="preserve">.2019 від </w:t>
      </w:r>
      <w:r w:rsidRPr="001D4F6F">
        <w:rPr>
          <w:rFonts w:ascii="Times New Roman" w:hAnsi="Times New Roman" w:cs="Times New Roman"/>
          <w:color w:val="000000"/>
          <w:sz w:val="24"/>
          <w:szCs w:val="24"/>
        </w:rPr>
        <w:t>приватизації державного майна та інших надходжень, безпосередньо пов’язаних з процесом приватизації</w:t>
      </w:r>
      <w:r w:rsidRPr="001D4F6F">
        <w:rPr>
          <w:rFonts w:ascii="Times New Roman" w:hAnsi="Times New Roman" w:cs="Times New Roman"/>
          <w:sz w:val="24"/>
          <w:szCs w:val="24"/>
        </w:rPr>
        <w:t>, до загального фонду державного бюджету перераховано 3</w:t>
      </w:r>
      <w:r w:rsidR="00C63C55">
        <w:rPr>
          <w:rFonts w:ascii="Times New Roman" w:hAnsi="Times New Roman" w:cs="Times New Roman"/>
          <w:sz w:val="24"/>
          <w:szCs w:val="24"/>
        </w:rPr>
        <w:t>67</w:t>
      </w:r>
      <w:r w:rsidRPr="001D4F6F">
        <w:rPr>
          <w:rFonts w:ascii="Times New Roman" w:hAnsi="Times New Roman" w:cs="Times New Roman"/>
          <w:sz w:val="24"/>
          <w:szCs w:val="24"/>
        </w:rPr>
        <w:t>,</w:t>
      </w:r>
      <w:r w:rsidR="00C63C55">
        <w:rPr>
          <w:rFonts w:ascii="Times New Roman" w:hAnsi="Times New Roman" w:cs="Times New Roman"/>
          <w:sz w:val="24"/>
          <w:szCs w:val="24"/>
        </w:rPr>
        <w:t>7</w:t>
      </w:r>
      <w:r w:rsidRPr="001D4F6F">
        <w:rPr>
          <w:rFonts w:ascii="Times New Roman" w:hAnsi="Times New Roman" w:cs="Times New Roman"/>
          <w:sz w:val="24"/>
          <w:szCs w:val="24"/>
        </w:rPr>
        <w:t xml:space="preserve"> млн гр</w:t>
      </w:r>
      <w:r w:rsidR="00A0111E" w:rsidRPr="001D4F6F">
        <w:rPr>
          <w:rFonts w:ascii="Times New Roman" w:hAnsi="Times New Roman" w:cs="Times New Roman"/>
          <w:sz w:val="24"/>
          <w:szCs w:val="24"/>
        </w:rPr>
        <w:t>н (або 2,</w:t>
      </w:r>
      <w:r w:rsidR="00C63C55">
        <w:rPr>
          <w:rFonts w:ascii="Times New Roman" w:hAnsi="Times New Roman" w:cs="Times New Roman"/>
          <w:sz w:val="24"/>
          <w:szCs w:val="24"/>
        </w:rPr>
        <w:t>2</w:t>
      </w:r>
      <w:r w:rsidR="00A0111E" w:rsidRPr="001D4F6F">
        <w:rPr>
          <w:rFonts w:ascii="Times New Roman" w:hAnsi="Times New Roman" w:cs="Times New Roman"/>
          <w:sz w:val="24"/>
          <w:szCs w:val="24"/>
        </w:rPr>
        <w:t>% річного плану)</w:t>
      </w:r>
      <w:r w:rsidRPr="001D4F6F">
        <w:rPr>
          <w:rFonts w:ascii="Times New Roman" w:hAnsi="Times New Roman" w:cs="Times New Roman"/>
          <w:sz w:val="24"/>
          <w:szCs w:val="24"/>
        </w:rPr>
        <w:t>.</w:t>
      </w:r>
    </w:p>
    <w:p w:rsidR="00DB03A3" w:rsidRPr="001D4F6F" w:rsidRDefault="0076620C" w:rsidP="001D4F6F">
      <w:pPr>
        <w:spacing w:before="120" w:after="0" w:line="240" w:lineRule="auto"/>
        <w:ind w:firstLine="567"/>
        <w:jc w:val="both"/>
        <w:rPr>
          <w:rFonts w:ascii="Times New Roman" w:eastAsia="Times New Roman" w:hAnsi="Times New Roman" w:cs="Times New Roman"/>
          <w:sz w:val="24"/>
          <w:szCs w:val="24"/>
          <w:lang w:eastAsia="uk-UA"/>
        </w:rPr>
      </w:pPr>
      <w:r w:rsidRPr="001D4F6F">
        <w:rPr>
          <w:rFonts w:ascii="Times New Roman" w:eastAsia="Times New Roman" w:hAnsi="Times New Roman" w:cs="Times New Roman"/>
          <w:sz w:val="24"/>
          <w:szCs w:val="24"/>
          <w:lang w:eastAsia="uk-UA"/>
        </w:rPr>
        <w:t>За оцінками Фонду державного майна України</w:t>
      </w:r>
      <w:r w:rsidR="00161F67" w:rsidRPr="001D4F6F">
        <w:rPr>
          <w:rFonts w:ascii="Times New Roman" w:eastAsia="Times New Roman" w:hAnsi="Times New Roman" w:cs="Times New Roman"/>
          <w:sz w:val="24"/>
          <w:szCs w:val="24"/>
          <w:lang w:eastAsia="uk-UA"/>
        </w:rPr>
        <w:t xml:space="preserve"> (далі – Фонд)</w:t>
      </w:r>
      <w:r w:rsidRPr="001D4F6F">
        <w:rPr>
          <w:rFonts w:ascii="Times New Roman" w:eastAsia="Times New Roman" w:hAnsi="Times New Roman" w:cs="Times New Roman"/>
          <w:sz w:val="24"/>
          <w:szCs w:val="24"/>
          <w:lang w:eastAsia="uk-UA"/>
        </w:rPr>
        <w:t xml:space="preserve"> існує висока вірогідність </w:t>
      </w:r>
      <w:r w:rsidR="00520B57" w:rsidRPr="001D4F6F">
        <w:rPr>
          <w:rFonts w:ascii="Times New Roman" w:eastAsia="Times New Roman" w:hAnsi="Times New Roman" w:cs="Times New Roman"/>
          <w:sz w:val="24"/>
          <w:szCs w:val="24"/>
          <w:lang w:eastAsia="uk-UA"/>
        </w:rPr>
        <w:t>невиконання плану надходжень від приватизації державного майна у 2019</w:t>
      </w:r>
      <w:r w:rsidRPr="001D4F6F">
        <w:rPr>
          <w:rFonts w:ascii="Times New Roman" w:eastAsia="Times New Roman" w:hAnsi="Times New Roman" w:cs="Times New Roman"/>
          <w:sz w:val="24"/>
          <w:szCs w:val="24"/>
          <w:lang w:eastAsia="uk-UA"/>
        </w:rPr>
        <w:t xml:space="preserve"> </w:t>
      </w:r>
      <w:r w:rsidR="00256817">
        <w:rPr>
          <w:rFonts w:ascii="Times New Roman" w:eastAsia="Times New Roman" w:hAnsi="Times New Roman" w:cs="Times New Roman"/>
          <w:sz w:val="24"/>
          <w:szCs w:val="24"/>
          <w:lang w:eastAsia="uk-UA"/>
        </w:rPr>
        <w:t>році</w:t>
      </w:r>
      <w:r w:rsidRPr="001D4F6F">
        <w:rPr>
          <w:rFonts w:ascii="Times New Roman" w:eastAsia="Times New Roman" w:hAnsi="Times New Roman" w:cs="Times New Roman"/>
          <w:sz w:val="24"/>
          <w:szCs w:val="24"/>
          <w:lang w:eastAsia="uk-UA"/>
        </w:rPr>
        <w:t xml:space="preserve"> </w:t>
      </w:r>
      <w:r w:rsidR="00520B57" w:rsidRPr="001D4F6F">
        <w:rPr>
          <w:rFonts w:ascii="Times New Roman" w:eastAsia="Times New Roman" w:hAnsi="Times New Roman" w:cs="Times New Roman"/>
          <w:sz w:val="24"/>
          <w:szCs w:val="24"/>
          <w:lang w:eastAsia="uk-UA"/>
        </w:rPr>
        <w:t>у зв’язку із</w:t>
      </w:r>
      <w:r w:rsidRPr="001D4F6F">
        <w:rPr>
          <w:rFonts w:ascii="Times New Roman" w:eastAsia="Times New Roman" w:hAnsi="Times New Roman" w:cs="Times New Roman"/>
          <w:sz w:val="24"/>
          <w:szCs w:val="24"/>
          <w:lang w:eastAsia="uk-UA"/>
        </w:rPr>
        <w:t>:</w:t>
      </w:r>
    </w:p>
    <w:p w:rsidR="009B4C7A" w:rsidRPr="00C45718" w:rsidRDefault="009B4C7A" w:rsidP="00587640">
      <w:pPr>
        <w:pStyle w:val="ListParagraph1"/>
        <w:numPr>
          <w:ilvl w:val="0"/>
          <w:numId w:val="18"/>
        </w:numPr>
        <w:tabs>
          <w:tab w:val="left" w:pos="993"/>
        </w:tabs>
        <w:spacing w:before="120" w:after="0" w:line="240" w:lineRule="auto"/>
        <w:ind w:left="0" w:firstLine="567"/>
        <w:jc w:val="both"/>
        <w:rPr>
          <w:rFonts w:ascii="Times New Roman" w:hAnsi="Times New Roman"/>
          <w:i/>
          <w:sz w:val="24"/>
          <w:szCs w:val="24"/>
          <w:lang w:val="uk-UA"/>
        </w:rPr>
      </w:pPr>
      <w:r w:rsidRPr="00C45718">
        <w:rPr>
          <w:rFonts w:ascii="Times New Roman" w:hAnsi="Times New Roman"/>
          <w:i/>
          <w:sz w:val="24"/>
          <w:szCs w:val="24"/>
          <w:lang w:val="uk-UA"/>
        </w:rPr>
        <w:t>непродажем об’єктів великої приватизації.</w:t>
      </w:r>
    </w:p>
    <w:p w:rsidR="009B4C7A" w:rsidRPr="005A206C" w:rsidRDefault="009B4C7A" w:rsidP="001D4F6F">
      <w:pPr>
        <w:tabs>
          <w:tab w:val="left" w:pos="709"/>
          <w:tab w:val="left" w:pos="1134"/>
        </w:tabs>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 xml:space="preserve">Основні надходження коштів від приватизації державного майна очікувалось отримати саме від приватизації об’єктів великої приватизації, в тому числі ПАТ «Центренерго», </w:t>
      </w:r>
      <w:r w:rsidR="00B95F75">
        <w:rPr>
          <w:rFonts w:ascii="Times New Roman" w:hAnsi="Times New Roman" w:cs="Times New Roman"/>
          <w:sz w:val="24"/>
          <w:szCs w:val="24"/>
        </w:rPr>
        <w:br/>
      </w:r>
      <w:r w:rsidRPr="001D4F6F">
        <w:rPr>
          <w:rFonts w:ascii="Times New Roman" w:hAnsi="Times New Roman" w:cs="Times New Roman"/>
          <w:sz w:val="24"/>
          <w:szCs w:val="24"/>
        </w:rPr>
        <w:t xml:space="preserve">ПрАТ «Президент-Готель», АТ «Об’єднана гірничо-хімічна компанія», ПрАТ «Індар», </w:t>
      </w:r>
      <w:r w:rsidR="00B95F75">
        <w:rPr>
          <w:rFonts w:ascii="Times New Roman" w:hAnsi="Times New Roman" w:cs="Times New Roman"/>
          <w:sz w:val="24"/>
          <w:szCs w:val="24"/>
        </w:rPr>
        <w:br/>
      </w:r>
      <w:r w:rsidRPr="001D4F6F">
        <w:rPr>
          <w:rFonts w:ascii="Times New Roman" w:hAnsi="Times New Roman" w:cs="Times New Roman"/>
          <w:sz w:val="24"/>
          <w:szCs w:val="24"/>
        </w:rPr>
        <w:t>ДП «Вугільна компанія «Краснолиманська», ДП</w:t>
      </w:r>
      <w:r w:rsidRPr="001D4F6F">
        <w:rPr>
          <w:rFonts w:ascii="Times New Roman" w:hAnsi="Times New Roman" w:cs="Times New Roman"/>
          <w:sz w:val="24"/>
          <w:szCs w:val="24"/>
          <w:lang w:val="en-US"/>
        </w:rPr>
        <w:t> </w:t>
      </w:r>
      <w:r w:rsidRPr="001D4F6F">
        <w:rPr>
          <w:rFonts w:ascii="Times New Roman" w:hAnsi="Times New Roman" w:cs="Times New Roman"/>
          <w:sz w:val="24"/>
          <w:szCs w:val="24"/>
        </w:rPr>
        <w:t>«Завод «Електроважмаш», АТ «Одеський припортовий завод» та ПАТ «Сумихімпром», приватизація яких була заблокована судовими рішеннями. Така ситуація не дозволяла Фонду здійснити підготовку до приватизації та виставити на продаж зазначені об’єкти у першому півріччі поточного року.</w:t>
      </w:r>
    </w:p>
    <w:p w:rsidR="009B4C7A" w:rsidRPr="001D4F6F" w:rsidRDefault="009B4C7A" w:rsidP="001D4F6F">
      <w:pPr>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З боку Фонду здійснювалися і здійснюються заходи щодо розблокування та завершення процесу підготовки до приватизації та усунення негативних чинників у судовому порядку.</w:t>
      </w:r>
    </w:p>
    <w:p w:rsidR="009B4C7A" w:rsidRPr="001D4F6F" w:rsidRDefault="009B4C7A" w:rsidP="001D4F6F">
      <w:pPr>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Постановою Верховного Суду від 26.06.2019 у справі № 826/13396/18 касаційну скаргу Фонду задоволено, а саме відмовлено у задоволенні заяв ТОВ «АК Маршаллєр і партнери» та ТОВ</w:t>
      </w:r>
      <w:r w:rsidRPr="001D4F6F">
        <w:rPr>
          <w:rFonts w:ascii="Times New Roman" w:hAnsi="Times New Roman" w:cs="Times New Roman"/>
          <w:sz w:val="24"/>
          <w:szCs w:val="24"/>
          <w:lang w:val="en-US"/>
        </w:rPr>
        <w:t> </w:t>
      </w:r>
      <w:r w:rsidRPr="001D4F6F">
        <w:rPr>
          <w:rFonts w:ascii="Times New Roman" w:hAnsi="Times New Roman" w:cs="Times New Roman"/>
          <w:sz w:val="24"/>
          <w:szCs w:val="24"/>
        </w:rPr>
        <w:t>«Грант Торнтон» про забезпечення позову стосовно заборони Фонду вчиняти дії з підготовки проектів рішень Кабінету Міністрів України щодо визначення радників у процесі приватизації АТ «Об’єднана гірничо-хімічна компанія», ДП</w:t>
      </w:r>
      <w:r w:rsidRPr="001D4F6F">
        <w:rPr>
          <w:rFonts w:ascii="Times New Roman" w:hAnsi="Times New Roman" w:cs="Times New Roman"/>
          <w:sz w:val="24"/>
          <w:szCs w:val="24"/>
          <w:lang w:val="en-US"/>
        </w:rPr>
        <w:t> </w:t>
      </w:r>
      <w:r w:rsidRPr="001D4F6F">
        <w:rPr>
          <w:rFonts w:ascii="Times New Roman" w:hAnsi="Times New Roman" w:cs="Times New Roman"/>
          <w:sz w:val="24"/>
          <w:szCs w:val="24"/>
        </w:rPr>
        <w:t xml:space="preserve">«Вугільна компанія «Краснолиманська», ДП «Завод «Електроважмаш», АТ «Одеський припортовий завод», ПрАТ «Індар» та джерел оплати їх послуг. </w:t>
      </w:r>
      <w:r w:rsidR="007754DF">
        <w:rPr>
          <w:rFonts w:ascii="Times New Roman" w:hAnsi="Times New Roman" w:cs="Times New Roman"/>
          <w:sz w:val="24"/>
          <w:szCs w:val="24"/>
        </w:rPr>
        <w:t xml:space="preserve">Лише в липні 2019 року призначення радників було розблоковано. </w:t>
      </w:r>
    </w:p>
    <w:p w:rsidR="009B4C7A" w:rsidRPr="001D4F6F" w:rsidRDefault="009B4C7A" w:rsidP="001D4F6F">
      <w:pPr>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 xml:space="preserve">Водночас </w:t>
      </w:r>
      <w:r w:rsidR="00256817">
        <w:rPr>
          <w:rFonts w:ascii="Times New Roman" w:hAnsi="Times New Roman" w:cs="Times New Roman"/>
          <w:sz w:val="24"/>
          <w:szCs w:val="24"/>
        </w:rPr>
        <w:t>за вісім місяців</w:t>
      </w:r>
      <w:r w:rsidR="007E52F8">
        <w:rPr>
          <w:rFonts w:ascii="Times New Roman" w:hAnsi="Times New Roman" w:cs="Times New Roman"/>
          <w:sz w:val="24"/>
          <w:szCs w:val="24"/>
        </w:rPr>
        <w:t xml:space="preserve"> 2019 року</w:t>
      </w:r>
      <w:r w:rsidRPr="001D4F6F">
        <w:rPr>
          <w:rFonts w:ascii="Times New Roman" w:hAnsi="Times New Roman" w:cs="Times New Roman"/>
          <w:sz w:val="24"/>
          <w:szCs w:val="24"/>
        </w:rPr>
        <w:t xml:space="preserve"> </w:t>
      </w:r>
      <w:r w:rsidR="007E52F8">
        <w:rPr>
          <w:rFonts w:ascii="Times New Roman" w:hAnsi="Times New Roman" w:cs="Times New Roman"/>
          <w:sz w:val="24"/>
          <w:szCs w:val="24"/>
        </w:rPr>
        <w:t xml:space="preserve">відповідними міністерствами та </w:t>
      </w:r>
      <w:r w:rsidRPr="001D4F6F">
        <w:rPr>
          <w:rFonts w:ascii="Times New Roman" w:hAnsi="Times New Roman" w:cs="Times New Roman"/>
          <w:sz w:val="24"/>
          <w:szCs w:val="24"/>
        </w:rPr>
        <w:t>Секретаріатом Кабінету Міністрів України не забезпечено передач</w:t>
      </w:r>
      <w:r w:rsidR="007754DF">
        <w:rPr>
          <w:rFonts w:ascii="Times New Roman" w:hAnsi="Times New Roman" w:cs="Times New Roman"/>
          <w:sz w:val="24"/>
          <w:szCs w:val="24"/>
        </w:rPr>
        <w:t>у</w:t>
      </w:r>
      <w:r w:rsidRPr="001D4F6F">
        <w:rPr>
          <w:rFonts w:ascii="Times New Roman" w:hAnsi="Times New Roman" w:cs="Times New Roman"/>
          <w:sz w:val="24"/>
          <w:szCs w:val="24"/>
        </w:rPr>
        <w:t xml:space="preserve"> до Фонду ДП «Завод «Електроважмаш», АТ «Об’єднана гірничо-хімічна компанія», ПрАТ «Індар» та </w:t>
      </w:r>
      <w:r w:rsidR="004705C1">
        <w:rPr>
          <w:rFonts w:ascii="Times New Roman" w:hAnsi="Times New Roman" w:cs="Times New Roman"/>
          <w:sz w:val="24"/>
          <w:szCs w:val="24"/>
        </w:rPr>
        <w:br/>
      </w:r>
      <w:r w:rsidRPr="001D4F6F">
        <w:rPr>
          <w:rFonts w:ascii="Times New Roman" w:hAnsi="Times New Roman" w:cs="Times New Roman"/>
          <w:sz w:val="24"/>
          <w:szCs w:val="24"/>
        </w:rPr>
        <w:t xml:space="preserve">ДПАТ «Національна акціонерна компанія «Украгролізинг». </w:t>
      </w:r>
      <w:r w:rsidR="0009610B">
        <w:rPr>
          <w:rFonts w:ascii="Times New Roman" w:hAnsi="Times New Roman" w:cs="Times New Roman"/>
          <w:sz w:val="24"/>
          <w:szCs w:val="24"/>
        </w:rPr>
        <w:t xml:space="preserve">Оскільки уряд визначив </w:t>
      </w:r>
      <w:r w:rsidRPr="001D4F6F">
        <w:rPr>
          <w:rFonts w:ascii="Times New Roman" w:hAnsi="Times New Roman" w:cs="Times New Roman"/>
          <w:sz w:val="24"/>
          <w:szCs w:val="24"/>
        </w:rPr>
        <w:t>радників для підготовки до приватизації та продажу об’єктів</w:t>
      </w:r>
      <w:r w:rsidR="0009610B">
        <w:rPr>
          <w:rFonts w:ascii="Times New Roman" w:hAnsi="Times New Roman" w:cs="Times New Roman"/>
          <w:sz w:val="24"/>
          <w:szCs w:val="24"/>
        </w:rPr>
        <w:t xml:space="preserve"> у вересні</w:t>
      </w:r>
      <w:r w:rsidR="004705C1">
        <w:rPr>
          <w:rFonts w:ascii="Times New Roman" w:hAnsi="Times New Roman" w:cs="Times New Roman"/>
          <w:sz w:val="24"/>
          <w:szCs w:val="24"/>
        </w:rPr>
        <w:t>,</w:t>
      </w:r>
      <w:r w:rsidR="0009610B">
        <w:rPr>
          <w:rFonts w:ascii="Times New Roman" w:hAnsi="Times New Roman" w:cs="Times New Roman"/>
          <w:sz w:val="24"/>
          <w:szCs w:val="24"/>
        </w:rPr>
        <w:t xml:space="preserve"> </w:t>
      </w:r>
      <w:r w:rsidRPr="001D4F6F">
        <w:rPr>
          <w:rFonts w:ascii="Times New Roman" w:hAnsi="Times New Roman" w:cs="Times New Roman"/>
          <w:sz w:val="24"/>
          <w:szCs w:val="24"/>
        </w:rPr>
        <w:t xml:space="preserve">Фонд та радники не </w:t>
      </w:r>
      <w:r w:rsidR="008F1B43">
        <w:rPr>
          <w:rFonts w:ascii="Times New Roman" w:hAnsi="Times New Roman" w:cs="Times New Roman"/>
          <w:sz w:val="24"/>
          <w:szCs w:val="24"/>
        </w:rPr>
        <w:t>встигнуть здійснити підгот</w:t>
      </w:r>
      <w:r w:rsidR="004705C1">
        <w:rPr>
          <w:rFonts w:ascii="Times New Roman" w:hAnsi="Times New Roman" w:cs="Times New Roman"/>
          <w:sz w:val="24"/>
          <w:szCs w:val="24"/>
        </w:rPr>
        <w:t>о</w:t>
      </w:r>
      <w:r w:rsidR="008F1B43">
        <w:rPr>
          <w:rFonts w:ascii="Times New Roman" w:hAnsi="Times New Roman" w:cs="Times New Roman"/>
          <w:sz w:val="24"/>
          <w:szCs w:val="24"/>
        </w:rPr>
        <w:t>в</w:t>
      </w:r>
      <w:r w:rsidR="004705C1">
        <w:rPr>
          <w:rFonts w:ascii="Times New Roman" w:hAnsi="Times New Roman" w:cs="Times New Roman"/>
          <w:sz w:val="24"/>
          <w:szCs w:val="24"/>
        </w:rPr>
        <w:t>ку</w:t>
      </w:r>
      <w:r w:rsidR="008F1B43">
        <w:rPr>
          <w:rFonts w:ascii="Times New Roman" w:hAnsi="Times New Roman" w:cs="Times New Roman"/>
          <w:sz w:val="24"/>
          <w:szCs w:val="24"/>
        </w:rPr>
        <w:t xml:space="preserve"> </w:t>
      </w:r>
      <w:r w:rsidR="004705C1" w:rsidRPr="001D4F6F">
        <w:rPr>
          <w:rFonts w:ascii="Times New Roman" w:hAnsi="Times New Roman" w:cs="Times New Roman"/>
          <w:sz w:val="24"/>
          <w:szCs w:val="24"/>
        </w:rPr>
        <w:t>зазначен</w:t>
      </w:r>
      <w:r w:rsidR="004705C1">
        <w:rPr>
          <w:rFonts w:ascii="Times New Roman" w:hAnsi="Times New Roman" w:cs="Times New Roman"/>
          <w:sz w:val="24"/>
          <w:szCs w:val="24"/>
        </w:rPr>
        <w:t xml:space="preserve">их </w:t>
      </w:r>
      <w:r w:rsidRPr="001D4F6F">
        <w:rPr>
          <w:rFonts w:ascii="Times New Roman" w:hAnsi="Times New Roman" w:cs="Times New Roman"/>
          <w:sz w:val="24"/>
          <w:szCs w:val="24"/>
        </w:rPr>
        <w:t>об’єкт</w:t>
      </w:r>
      <w:r w:rsidR="004705C1">
        <w:rPr>
          <w:rFonts w:ascii="Times New Roman" w:hAnsi="Times New Roman" w:cs="Times New Roman"/>
          <w:sz w:val="24"/>
          <w:szCs w:val="24"/>
        </w:rPr>
        <w:t>ів</w:t>
      </w:r>
      <w:r w:rsidRPr="001D4F6F">
        <w:rPr>
          <w:rFonts w:ascii="Times New Roman" w:hAnsi="Times New Roman" w:cs="Times New Roman"/>
          <w:sz w:val="24"/>
          <w:szCs w:val="24"/>
        </w:rPr>
        <w:t xml:space="preserve"> до приватизації</w:t>
      </w:r>
      <w:r w:rsidR="008F1B43">
        <w:rPr>
          <w:rFonts w:ascii="Times New Roman" w:hAnsi="Times New Roman" w:cs="Times New Roman"/>
          <w:sz w:val="24"/>
          <w:szCs w:val="24"/>
        </w:rPr>
        <w:t xml:space="preserve"> вже у 2019 році</w:t>
      </w:r>
      <w:r w:rsidRPr="001D4F6F">
        <w:rPr>
          <w:rFonts w:ascii="Times New Roman" w:hAnsi="Times New Roman" w:cs="Times New Roman"/>
          <w:sz w:val="24"/>
          <w:szCs w:val="24"/>
        </w:rPr>
        <w:t>.</w:t>
      </w:r>
    </w:p>
    <w:p w:rsidR="009B4C7A" w:rsidRPr="001D4F6F" w:rsidRDefault="009B4C7A" w:rsidP="001D4F6F">
      <w:pPr>
        <w:tabs>
          <w:tab w:val="left" w:pos="709"/>
          <w:tab w:val="left" w:pos="993"/>
        </w:tabs>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Також, залишається не вирішеним питання розблокування в судовому порядку</w:t>
      </w:r>
      <w:r w:rsidR="00F735DD">
        <w:rPr>
          <w:rFonts w:ascii="Times New Roman" w:hAnsi="Times New Roman" w:cs="Times New Roman"/>
          <w:sz w:val="24"/>
          <w:szCs w:val="24"/>
        </w:rPr>
        <w:t xml:space="preserve"> приватизації ПАТ «Центренерго»</w:t>
      </w:r>
      <w:r w:rsidR="00434228">
        <w:rPr>
          <w:rFonts w:ascii="Times New Roman" w:hAnsi="Times New Roman" w:cs="Times New Roman"/>
          <w:sz w:val="24"/>
          <w:szCs w:val="24"/>
        </w:rPr>
        <w:t xml:space="preserve"> та ПАТ «Сумихімпром», у зв</w:t>
      </w:r>
      <w:r w:rsidR="00434228" w:rsidRPr="00434228">
        <w:rPr>
          <w:rFonts w:ascii="Times New Roman" w:hAnsi="Times New Roman" w:cs="Times New Roman"/>
          <w:sz w:val="24"/>
          <w:szCs w:val="24"/>
        </w:rPr>
        <w:t>’</w:t>
      </w:r>
      <w:r w:rsidR="00434228">
        <w:rPr>
          <w:rFonts w:ascii="Times New Roman" w:hAnsi="Times New Roman" w:cs="Times New Roman"/>
          <w:sz w:val="24"/>
          <w:szCs w:val="24"/>
        </w:rPr>
        <w:t xml:space="preserve">язку з чим </w:t>
      </w:r>
      <w:r w:rsidRPr="001D4F6F">
        <w:rPr>
          <w:rFonts w:ascii="Times New Roman" w:hAnsi="Times New Roman" w:cs="Times New Roman"/>
          <w:sz w:val="24"/>
          <w:szCs w:val="24"/>
        </w:rPr>
        <w:t>приватизація вказаних об</w:t>
      </w:r>
      <w:r w:rsidRPr="00434228">
        <w:rPr>
          <w:rFonts w:ascii="Times New Roman" w:hAnsi="Times New Roman" w:cs="Times New Roman"/>
          <w:sz w:val="24"/>
          <w:szCs w:val="24"/>
        </w:rPr>
        <w:t xml:space="preserve">’єктів </w:t>
      </w:r>
      <w:r w:rsidRPr="001D4F6F">
        <w:rPr>
          <w:rFonts w:ascii="Times New Roman" w:hAnsi="Times New Roman" w:cs="Times New Roman"/>
          <w:sz w:val="24"/>
          <w:szCs w:val="24"/>
        </w:rPr>
        <w:t>перен</w:t>
      </w:r>
      <w:r w:rsidR="00611B04">
        <w:rPr>
          <w:rFonts w:ascii="Times New Roman" w:hAnsi="Times New Roman" w:cs="Times New Roman"/>
          <w:sz w:val="24"/>
          <w:szCs w:val="24"/>
        </w:rPr>
        <w:t>о</w:t>
      </w:r>
      <w:r w:rsidRPr="001D4F6F">
        <w:rPr>
          <w:rFonts w:ascii="Times New Roman" w:hAnsi="Times New Roman" w:cs="Times New Roman"/>
          <w:sz w:val="24"/>
          <w:szCs w:val="24"/>
        </w:rPr>
        <w:t>с</w:t>
      </w:r>
      <w:r w:rsidR="00611B04">
        <w:rPr>
          <w:rFonts w:ascii="Times New Roman" w:hAnsi="Times New Roman" w:cs="Times New Roman"/>
          <w:sz w:val="24"/>
          <w:szCs w:val="24"/>
        </w:rPr>
        <w:t>и</w:t>
      </w:r>
      <w:r w:rsidRPr="001D4F6F">
        <w:rPr>
          <w:rFonts w:ascii="Times New Roman" w:hAnsi="Times New Roman" w:cs="Times New Roman"/>
          <w:sz w:val="24"/>
          <w:szCs w:val="24"/>
        </w:rPr>
        <w:t xml:space="preserve">ться на </w:t>
      </w:r>
      <w:r w:rsidR="004B7E30">
        <w:rPr>
          <w:rFonts w:ascii="Times New Roman" w:hAnsi="Times New Roman" w:cs="Times New Roman"/>
          <w:sz w:val="24"/>
          <w:szCs w:val="24"/>
        </w:rPr>
        <w:t>2020-2021 роки</w:t>
      </w:r>
      <w:r w:rsidRPr="001D4F6F">
        <w:rPr>
          <w:rFonts w:ascii="Times New Roman" w:hAnsi="Times New Roman" w:cs="Times New Roman"/>
          <w:sz w:val="24"/>
          <w:szCs w:val="24"/>
        </w:rPr>
        <w:t>.</w:t>
      </w:r>
    </w:p>
    <w:p w:rsidR="009B4C7A" w:rsidRPr="001D4F6F" w:rsidRDefault="00E620FB" w:rsidP="003D4CB7">
      <w:pPr>
        <w:tabs>
          <w:tab w:val="left" w:pos="709"/>
        </w:tabs>
        <w:spacing w:after="0" w:line="240" w:lineRule="auto"/>
        <w:ind w:firstLine="567"/>
        <w:jc w:val="both"/>
        <w:rPr>
          <w:rFonts w:ascii="Times New Roman" w:hAnsi="Times New Roman" w:cs="Times New Roman"/>
          <w:sz w:val="24"/>
          <w:szCs w:val="24"/>
        </w:rPr>
      </w:pPr>
      <w:r w:rsidRPr="00047226">
        <w:rPr>
          <w:rFonts w:ascii="Times New Roman" w:hAnsi="Times New Roman" w:cs="Times New Roman"/>
          <w:sz w:val="24"/>
          <w:szCs w:val="24"/>
        </w:rPr>
        <w:t xml:space="preserve">Ризики залишаються високими і </w:t>
      </w:r>
      <w:r w:rsidR="009B4C7A" w:rsidRPr="00047226">
        <w:rPr>
          <w:rFonts w:ascii="Times New Roman" w:hAnsi="Times New Roman" w:cs="Times New Roman"/>
          <w:sz w:val="24"/>
          <w:szCs w:val="24"/>
        </w:rPr>
        <w:t>у</w:t>
      </w:r>
      <w:r w:rsidR="001D4F6F" w:rsidRPr="00047226">
        <w:rPr>
          <w:rFonts w:ascii="Times New Roman" w:hAnsi="Times New Roman" w:cs="Times New Roman"/>
          <w:sz w:val="24"/>
          <w:szCs w:val="24"/>
        </w:rPr>
        <w:t xml:space="preserve"> </w:t>
      </w:r>
      <w:r w:rsidR="009B4C7A" w:rsidRPr="00047226">
        <w:rPr>
          <w:rFonts w:ascii="Times New Roman" w:hAnsi="Times New Roman" w:cs="Times New Roman"/>
          <w:sz w:val="24"/>
          <w:szCs w:val="24"/>
        </w:rPr>
        <w:t>2020 році.</w:t>
      </w:r>
      <w:r w:rsidR="009B4C7A" w:rsidRPr="001D4F6F">
        <w:rPr>
          <w:rFonts w:ascii="Times New Roman" w:hAnsi="Times New Roman" w:cs="Times New Roman"/>
          <w:sz w:val="24"/>
          <w:szCs w:val="24"/>
        </w:rPr>
        <w:t xml:space="preserve">  </w:t>
      </w:r>
    </w:p>
    <w:p w:rsidR="009B4C7A" w:rsidRPr="00C45718" w:rsidRDefault="009B4C7A" w:rsidP="001D4F6F">
      <w:pPr>
        <w:pStyle w:val="ListParagraph1"/>
        <w:numPr>
          <w:ilvl w:val="0"/>
          <w:numId w:val="18"/>
        </w:numPr>
        <w:tabs>
          <w:tab w:val="left" w:pos="993"/>
        </w:tabs>
        <w:spacing w:before="120" w:after="120" w:line="240" w:lineRule="auto"/>
        <w:ind w:left="0" w:firstLine="567"/>
        <w:jc w:val="both"/>
        <w:rPr>
          <w:rFonts w:ascii="Times New Roman" w:hAnsi="Times New Roman"/>
          <w:i/>
          <w:sz w:val="24"/>
          <w:szCs w:val="24"/>
          <w:lang w:val="uk-UA"/>
        </w:rPr>
      </w:pPr>
      <w:r w:rsidRPr="00C45718">
        <w:rPr>
          <w:rFonts w:ascii="Times New Roman" w:hAnsi="Times New Roman"/>
          <w:i/>
          <w:sz w:val="24"/>
          <w:szCs w:val="24"/>
          <w:lang w:val="uk-UA"/>
        </w:rPr>
        <w:t>недотриманням строку передачі Фонду об’єктів, щодо яких прийнято рішення про їх приватизацію.</w:t>
      </w:r>
    </w:p>
    <w:p w:rsidR="009B4C7A" w:rsidRPr="001D4F6F" w:rsidRDefault="009B4C7A" w:rsidP="001D4F6F">
      <w:pPr>
        <w:pStyle w:val="rvps2"/>
        <w:shd w:val="clear" w:color="auto" w:fill="FFFFFF"/>
        <w:spacing w:before="0" w:beforeAutospacing="0" w:after="0" w:afterAutospacing="0"/>
        <w:ind w:firstLine="567"/>
        <w:jc w:val="both"/>
      </w:pPr>
      <w:r w:rsidRPr="001D4F6F">
        <w:t>Відповідно до вимог статті 12 Закону у місячний строк з моменту прийняття рішення про приватизацію уповноваженими органами управління передаються державним органам приватизації функції з управління пакетами акцій (частками), функції з управління майном державних підприємств.</w:t>
      </w:r>
    </w:p>
    <w:p w:rsidR="009B4C7A" w:rsidRPr="001D4F6F" w:rsidRDefault="009B4C7A" w:rsidP="001D4F6F">
      <w:pPr>
        <w:pStyle w:val="rvps2"/>
        <w:numPr>
          <w:ilvl w:val="12"/>
          <w:numId w:val="0"/>
        </w:numPr>
        <w:shd w:val="clear" w:color="auto" w:fill="FFFFFF"/>
        <w:spacing w:before="0" w:beforeAutospacing="0" w:after="0" w:afterAutospacing="0"/>
        <w:ind w:firstLine="567"/>
        <w:jc w:val="both"/>
      </w:pPr>
      <w:bookmarkStart w:id="11" w:name="n233"/>
      <w:bookmarkEnd w:id="11"/>
      <w:r w:rsidRPr="001D4F6F">
        <w:t>У разі непередачі об’єкта державної власності в установлений строк рішення про передачу такого об’єкта державної власності приймає Кабінет Міністрів України. Проект зазначеного рішення Кабінету Міністрів України готує Фонд.</w:t>
      </w:r>
    </w:p>
    <w:p w:rsidR="009B4C7A" w:rsidRPr="001D4F6F" w:rsidRDefault="009B4C7A" w:rsidP="001D4F6F">
      <w:pPr>
        <w:pStyle w:val="ListParagraph1"/>
        <w:spacing w:after="0" w:line="240" w:lineRule="auto"/>
        <w:ind w:left="0" w:firstLine="567"/>
        <w:jc w:val="both"/>
        <w:rPr>
          <w:rFonts w:ascii="Times New Roman" w:hAnsi="Times New Roman"/>
          <w:sz w:val="24"/>
          <w:szCs w:val="24"/>
          <w:lang w:val="uk-UA"/>
        </w:rPr>
      </w:pPr>
      <w:r w:rsidRPr="001D4F6F">
        <w:rPr>
          <w:rFonts w:ascii="Times New Roman" w:hAnsi="Times New Roman"/>
          <w:sz w:val="24"/>
          <w:szCs w:val="24"/>
          <w:lang w:val="uk-UA"/>
        </w:rPr>
        <w:t xml:space="preserve">Загалом на сьогодні уповноваженими органами управління не забезпечується передача до Фонду 32 об’єктів, щодо яких прийнято рішення про їх приватизацію, в тому числі </w:t>
      </w:r>
      <w:r w:rsidR="00555467">
        <w:rPr>
          <w:rFonts w:ascii="Times New Roman" w:hAnsi="Times New Roman"/>
          <w:sz w:val="24"/>
          <w:szCs w:val="24"/>
          <w:lang w:val="uk-UA"/>
        </w:rPr>
        <w:br/>
      </w:r>
      <w:r w:rsidRPr="001D4F6F">
        <w:rPr>
          <w:rFonts w:ascii="Times New Roman" w:hAnsi="Times New Roman"/>
          <w:sz w:val="24"/>
          <w:szCs w:val="24"/>
          <w:lang w:val="uk-UA"/>
        </w:rPr>
        <w:t>і 4 об’єктів великої приватизації.</w:t>
      </w:r>
    </w:p>
    <w:p w:rsidR="009B4C7A" w:rsidRDefault="009B4C7A" w:rsidP="001D4F6F">
      <w:pPr>
        <w:numPr>
          <w:ilvl w:val="12"/>
          <w:numId w:val="0"/>
        </w:numPr>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Недотримання суб’єктами управління встановленого законодавством строку передачі Фонду об’єктів, щодо яких прийнято рішення про їх приватизацію, має та матиме суттєвий вплив на обсяги надходжень від приватизації державного майна як у 2019, так і у 2020 році, адже до Фонду не передано жодного із 4 об’єктів великої приватизації, підготовка до продажу яких потребує тривалого часу.</w:t>
      </w:r>
    </w:p>
    <w:p w:rsidR="006C3F83" w:rsidRDefault="00520B57" w:rsidP="001D4F6F">
      <w:pPr>
        <w:pStyle w:val="ListParagraph1"/>
        <w:numPr>
          <w:ilvl w:val="0"/>
          <w:numId w:val="18"/>
        </w:numPr>
        <w:tabs>
          <w:tab w:val="left" w:pos="0"/>
          <w:tab w:val="left" w:pos="1134"/>
        </w:tabs>
        <w:spacing w:before="120" w:after="0" w:line="240" w:lineRule="auto"/>
        <w:ind w:left="0" w:firstLine="567"/>
        <w:jc w:val="both"/>
        <w:rPr>
          <w:rFonts w:ascii="Times New Roman" w:hAnsi="Times New Roman"/>
          <w:i/>
          <w:sz w:val="24"/>
          <w:szCs w:val="24"/>
          <w:lang w:val="uk-UA"/>
        </w:rPr>
      </w:pPr>
      <w:r w:rsidRPr="00C45718">
        <w:rPr>
          <w:rFonts w:ascii="Times New Roman" w:hAnsi="Times New Roman"/>
          <w:i/>
          <w:sz w:val="24"/>
          <w:szCs w:val="24"/>
          <w:lang w:val="uk-UA"/>
        </w:rPr>
        <w:t>несвоєчасним поданням уповноваженими органами управління державним органам приватизації пропозицій стосовно включення об’єктів права державної власності до переліку об’єктів, що підлягають приватизації на наступний рік, разом з висновками щодо прогнозованої суми надходження коштів від приватизації таких об’єктів.</w:t>
      </w:r>
    </w:p>
    <w:p w:rsidR="00520B57" w:rsidRPr="001D4F6F" w:rsidRDefault="00520B57" w:rsidP="001D4F6F">
      <w:pPr>
        <w:pStyle w:val="Pa15"/>
        <w:spacing w:before="120" w:line="240" w:lineRule="auto"/>
        <w:ind w:firstLine="567"/>
        <w:jc w:val="both"/>
        <w:rPr>
          <w:szCs w:val="24"/>
          <w:lang w:val="uk-UA"/>
        </w:rPr>
      </w:pPr>
      <w:r w:rsidRPr="001D4F6F">
        <w:rPr>
          <w:szCs w:val="24"/>
          <w:lang w:val="uk-UA"/>
        </w:rPr>
        <w:t>Відповідно до вимог статті 11 Закону України «Про приватизацію державного і комунального майна» (далі – Закон) та Порядку подання уповноваженими органами управління державним органам приватизації пропозицій щодо включення об’єктів права державної власності до переліку об’єктів, що підлягають приватизації, затвердженого постановою Кабінету Міністрів України від 10 травня 2018 року № 387</w:t>
      </w:r>
      <w:r w:rsidR="006471BE" w:rsidRPr="001D4F6F">
        <w:rPr>
          <w:szCs w:val="24"/>
          <w:lang w:val="uk-UA"/>
        </w:rPr>
        <w:t xml:space="preserve"> (далі - Порядок)</w:t>
      </w:r>
      <w:r w:rsidRPr="001D4F6F">
        <w:rPr>
          <w:szCs w:val="24"/>
          <w:lang w:val="uk-UA"/>
        </w:rPr>
        <w:t xml:space="preserve">, уповноважені органи управління щокварталу надають Фонду пропозиції стосовно включення державного майна до переліків об’єктів, що підлягають приватизації. </w:t>
      </w:r>
    </w:p>
    <w:p w:rsidR="006C3F83" w:rsidRDefault="00520B57" w:rsidP="001D4F6F">
      <w:pPr>
        <w:pStyle w:val="Pa15"/>
        <w:numPr>
          <w:ilvl w:val="12"/>
          <w:numId w:val="0"/>
        </w:numPr>
        <w:spacing w:line="240" w:lineRule="auto"/>
        <w:ind w:firstLine="567"/>
        <w:jc w:val="both"/>
        <w:rPr>
          <w:szCs w:val="24"/>
          <w:lang w:val="uk-UA"/>
        </w:rPr>
      </w:pPr>
      <w:r w:rsidRPr="001D4F6F">
        <w:rPr>
          <w:szCs w:val="24"/>
          <w:lang w:val="uk-UA"/>
        </w:rPr>
        <w:t>Станом на 3</w:t>
      </w:r>
      <w:r w:rsidR="00C63C55">
        <w:rPr>
          <w:szCs w:val="24"/>
          <w:lang w:val="uk-UA"/>
        </w:rPr>
        <w:t>0</w:t>
      </w:r>
      <w:r w:rsidRPr="001D4F6F">
        <w:rPr>
          <w:szCs w:val="24"/>
          <w:lang w:val="uk-UA"/>
        </w:rPr>
        <w:t xml:space="preserve"> </w:t>
      </w:r>
      <w:r w:rsidR="00C63C55">
        <w:rPr>
          <w:szCs w:val="24"/>
          <w:lang w:val="uk-UA"/>
        </w:rPr>
        <w:t>серпня</w:t>
      </w:r>
      <w:r w:rsidRPr="001D4F6F">
        <w:rPr>
          <w:szCs w:val="24"/>
          <w:lang w:val="uk-UA"/>
        </w:rPr>
        <w:t xml:space="preserve"> 2019 року пропозиції отримано від 1</w:t>
      </w:r>
      <w:r w:rsidR="00C63C55">
        <w:rPr>
          <w:szCs w:val="24"/>
          <w:lang w:val="uk-UA"/>
        </w:rPr>
        <w:t>3</w:t>
      </w:r>
      <w:r w:rsidRPr="001D4F6F">
        <w:rPr>
          <w:szCs w:val="24"/>
          <w:lang w:val="uk-UA"/>
        </w:rPr>
        <w:t xml:space="preserve"> уповноважених органів управління, якими до приватизації запропоновано </w:t>
      </w:r>
      <w:r w:rsidR="00161F67" w:rsidRPr="001D4F6F">
        <w:rPr>
          <w:szCs w:val="24"/>
          <w:lang w:val="uk-UA"/>
        </w:rPr>
        <w:t>1</w:t>
      </w:r>
      <w:r w:rsidR="00C63C55">
        <w:rPr>
          <w:szCs w:val="24"/>
          <w:lang w:val="uk-UA"/>
        </w:rPr>
        <w:t>63</w:t>
      </w:r>
      <w:r w:rsidR="00161F67" w:rsidRPr="001D4F6F">
        <w:rPr>
          <w:szCs w:val="24"/>
          <w:lang w:val="uk-UA"/>
        </w:rPr>
        <w:t xml:space="preserve"> об’єкта малої приватизації.</w:t>
      </w:r>
    </w:p>
    <w:p w:rsidR="006C3F83" w:rsidRDefault="006471BE" w:rsidP="001D4F6F">
      <w:pPr>
        <w:tabs>
          <w:tab w:val="left" w:pos="709"/>
        </w:tabs>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Відповідно до пункту 6 Порядку, Фонду доручено щороку до 15 серпня подавати на затвердження Кабінету Міністрів України перелік об’єктів великої приватизації, що підлягають приватизації в наступному році.</w:t>
      </w:r>
      <w:r w:rsidR="00FC6EF5">
        <w:rPr>
          <w:rFonts w:ascii="Times New Roman" w:hAnsi="Times New Roman" w:cs="Times New Roman"/>
          <w:sz w:val="24"/>
          <w:szCs w:val="24"/>
        </w:rPr>
        <w:t xml:space="preserve"> При цьому </w:t>
      </w:r>
      <w:r w:rsidR="00161F67" w:rsidRPr="001D4F6F">
        <w:rPr>
          <w:rFonts w:ascii="Times New Roman" w:hAnsi="Times New Roman" w:cs="Times New Roman"/>
          <w:sz w:val="24"/>
          <w:szCs w:val="24"/>
        </w:rPr>
        <w:t>уповноваженими органами управління, зокрема Мінагрополітики, Міненерговугілля, Держгеонадра не було надано Фонду пропозиці</w:t>
      </w:r>
      <w:r w:rsidR="00C63C55">
        <w:rPr>
          <w:rFonts w:ascii="Times New Roman" w:hAnsi="Times New Roman" w:cs="Times New Roman"/>
          <w:sz w:val="24"/>
          <w:szCs w:val="24"/>
        </w:rPr>
        <w:t>й</w:t>
      </w:r>
      <w:r w:rsidR="00161F67" w:rsidRPr="001D4F6F">
        <w:rPr>
          <w:rFonts w:ascii="Times New Roman" w:hAnsi="Times New Roman" w:cs="Times New Roman"/>
          <w:sz w:val="24"/>
          <w:szCs w:val="24"/>
        </w:rPr>
        <w:t xml:space="preserve"> щодо доповнення переліку об’єктів великої приватизації новими об’єктами з метою їх </w:t>
      </w:r>
      <w:r w:rsidR="00541911" w:rsidRPr="001D4F6F">
        <w:rPr>
          <w:rFonts w:ascii="Times New Roman" w:hAnsi="Times New Roman" w:cs="Times New Roman"/>
          <w:sz w:val="24"/>
          <w:szCs w:val="24"/>
        </w:rPr>
        <w:t>продажу</w:t>
      </w:r>
      <w:r w:rsidR="00161F67" w:rsidRPr="001D4F6F">
        <w:rPr>
          <w:rFonts w:ascii="Times New Roman" w:hAnsi="Times New Roman" w:cs="Times New Roman"/>
          <w:sz w:val="24"/>
          <w:szCs w:val="24"/>
        </w:rPr>
        <w:t xml:space="preserve"> у наступному році</w:t>
      </w:r>
      <w:r w:rsidR="00C1009F" w:rsidRPr="001D4F6F">
        <w:rPr>
          <w:rFonts w:ascii="Times New Roman" w:hAnsi="Times New Roman" w:cs="Times New Roman"/>
          <w:sz w:val="24"/>
          <w:szCs w:val="24"/>
        </w:rPr>
        <w:t xml:space="preserve">. </w:t>
      </w:r>
      <w:r w:rsidR="00C1009F" w:rsidRPr="001D4F6F">
        <w:rPr>
          <w:rFonts w:ascii="Times New Roman" w:hAnsi="Times New Roman" w:cs="Times New Roman"/>
          <w:spacing w:val="-3"/>
          <w:sz w:val="24"/>
          <w:szCs w:val="24"/>
        </w:rPr>
        <w:t>Мінекономрозвитку надало пропозицію стосовно приватизації державного підприємства «Завод алюмінієвої фольги».</w:t>
      </w:r>
    </w:p>
    <w:p w:rsidR="00C1009F" w:rsidRPr="001D4F6F" w:rsidRDefault="00520B57" w:rsidP="0029375E">
      <w:pPr>
        <w:numPr>
          <w:ilvl w:val="12"/>
          <w:numId w:val="0"/>
        </w:numPr>
        <w:tabs>
          <w:tab w:val="left" w:pos="0"/>
        </w:tabs>
        <w:spacing w:after="0" w:line="240" w:lineRule="auto"/>
        <w:ind w:firstLine="567"/>
        <w:jc w:val="both"/>
        <w:rPr>
          <w:rFonts w:ascii="Times New Roman" w:hAnsi="Times New Roman" w:cs="Times New Roman"/>
          <w:sz w:val="24"/>
          <w:szCs w:val="24"/>
        </w:rPr>
      </w:pPr>
      <w:r w:rsidRPr="001D4F6F">
        <w:rPr>
          <w:rFonts w:ascii="Times New Roman" w:hAnsi="Times New Roman" w:cs="Times New Roman"/>
          <w:sz w:val="24"/>
          <w:szCs w:val="24"/>
        </w:rPr>
        <w:t>Враховуючи зазначене</w:t>
      </w:r>
      <w:r w:rsidR="00C1009F" w:rsidRPr="001D4F6F">
        <w:rPr>
          <w:rFonts w:ascii="Times New Roman" w:hAnsi="Times New Roman" w:cs="Times New Roman"/>
          <w:sz w:val="24"/>
          <w:szCs w:val="24"/>
        </w:rPr>
        <w:t>,</w:t>
      </w:r>
      <w:r w:rsidRPr="001D4F6F">
        <w:rPr>
          <w:rFonts w:ascii="Times New Roman" w:hAnsi="Times New Roman" w:cs="Times New Roman"/>
          <w:sz w:val="24"/>
          <w:szCs w:val="24"/>
        </w:rPr>
        <w:t xml:space="preserve"> приватизація запропонованих </w:t>
      </w:r>
      <w:r w:rsidR="00C1009F" w:rsidRPr="001D4F6F">
        <w:rPr>
          <w:rFonts w:ascii="Times New Roman" w:hAnsi="Times New Roman" w:cs="Times New Roman"/>
          <w:sz w:val="24"/>
          <w:szCs w:val="24"/>
        </w:rPr>
        <w:t xml:space="preserve">Фонду </w:t>
      </w:r>
      <w:r w:rsidRPr="001D4F6F">
        <w:rPr>
          <w:rFonts w:ascii="Times New Roman" w:hAnsi="Times New Roman" w:cs="Times New Roman"/>
          <w:sz w:val="24"/>
          <w:szCs w:val="24"/>
        </w:rPr>
        <w:t>об’єктів не може суттєво вплинути на обсяги надходжень від приватизації державного майна до державного бюджету в поточному році.</w:t>
      </w:r>
      <w:r w:rsidR="0029375E">
        <w:rPr>
          <w:rFonts w:ascii="Times New Roman" w:hAnsi="Times New Roman" w:cs="Times New Roman"/>
          <w:sz w:val="24"/>
          <w:szCs w:val="24"/>
        </w:rPr>
        <w:t xml:space="preserve"> </w:t>
      </w:r>
      <w:r w:rsidRPr="001D4F6F">
        <w:rPr>
          <w:rFonts w:ascii="Times New Roman" w:hAnsi="Times New Roman" w:cs="Times New Roman"/>
          <w:sz w:val="24"/>
          <w:szCs w:val="24"/>
        </w:rPr>
        <w:t>У разі збереження такої тенденції з боку уповноважених органів управління</w:t>
      </w:r>
      <w:r w:rsidR="00C1009F" w:rsidRPr="001D4F6F">
        <w:rPr>
          <w:rFonts w:ascii="Times New Roman" w:hAnsi="Times New Roman" w:cs="Times New Roman"/>
          <w:sz w:val="24"/>
          <w:szCs w:val="24"/>
        </w:rPr>
        <w:t>,</w:t>
      </w:r>
      <w:r w:rsidRPr="001D4F6F">
        <w:rPr>
          <w:rFonts w:ascii="Times New Roman" w:hAnsi="Times New Roman" w:cs="Times New Roman"/>
          <w:sz w:val="24"/>
          <w:szCs w:val="24"/>
        </w:rPr>
        <w:t xml:space="preserve"> існує висока імовірність </w:t>
      </w:r>
      <w:r w:rsidR="00740233" w:rsidRPr="001D4F6F">
        <w:rPr>
          <w:rFonts w:ascii="Times New Roman" w:hAnsi="Times New Roman" w:cs="Times New Roman"/>
          <w:sz w:val="24"/>
          <w:szCs w:val="24"/>
        </w:rPr>
        <w:t xml:space="preserve">настання вказаного фіскального ризику </w:t>
      </w:r>
      <w:r w:rsidRPr="001D4F6F">
        <w:rPr>
          <w:rFonts w:ascii="Times New Roman" w:hAnsi="Times New Roman" w:cs="Times New Roman"/>
          <w:sz w:val="24"/>
          <w:szCs w:val="24"/>
        </w:rPr>
        <w:t>і у 2020</w:t>
      </w:r>
      <w:r w:rsidR="00CC6283" w:rsidRPr="001D4F6F">
        <w:rPr>
          <w:rFonts w:ascii="Times New Roman" w:hAnsi="Times New Roman" w:cs="Times New Roman"/>
          <w:sz w:val="24"/>
          <w:szCs w:val="24"/>
        </w:rPr>
        <w:t xml:space="preserve"> році.</w:t>
      </w:r>
    </w:p>
    <w:p w:rsidR="00A10FBE" w:rsidRPr="001D4F6F" w:rsidRDefault="00376AA6" w:rsidP="001D4F6F">
      <w:pPr>
        <w:spacing w:before="120" w:after="0" w:line="240" w:lineRule="auto"/>
        <w:ind w:firstLine="567"/>
        <w:jc w:val="both"/>
        <w:rPr>
          <w:rFonts w:ascii="Times New Roman" w:eastAsia="Times New Roman" w:hAnsi="Times New Roman" w:cs="Times New Roman"/>
          <w:sz w:val="24"/>
          <w:szCs w:val="24"/>
          <w:lang w:eastAsia="uk-UA"/>
        </w:rPr>
      </w:pPr>
      <w:r w:rsidRPr="001D4F6F">
        <w:rPr>
          <w:rFonts w:ascii="Times New Roman" w:eastAsia="Times New Roman" w:hAnsi="Times New Roman" w:cs="Times New Roman"/>
          <w:sz w:val="24"/>
          <w:szCs w:val="24"/>
          <w:lang w:eastAsia="uk-UA"/>
        </w:rPr>
        <w:t xml:space="preserve">Необхідними умовами забезпечення надходження коштів до державного бюджету від приватизації державного майна в </w:t>
      </w:r>
      <w:r w:rsidR="00A10FBE" w:rsidRPr="001D4F6F">
        <w:rPr>
          <w:rFonts w:ascii="Times New Roman" w:eastAsia="Times New Roman" w:hAnsi="Times New Roman" w:cs="Times New Roman"/>
          <w:sz w:val="24"/>
          <w:szCs w:val="24"/>
          <w:lang w:eastAsia="uk-UA"/>
        </w:rPr>
        <w:t xml:space="preserve">поточному році та </w:t>
      </w:r>
      <w:r w:rsidRPr="001D4F6F">
        <w:rPr>
          <w:rFonts w:ascii="Times New Roman" w:eastAsia="Times New Roman" w:hAnsi="Times New Roman" w:cs="Times New Roman"/>
          <w:sz w:val="24"/>
          <w:szCs w:val="24"/>
          <w:lang w:eastAsia="uk-UA"/>
        </w:rPr>
        <w:t>2020 році є</w:t>
      </w:r>
      <w:r w:rsidR="006E62AE">
        <w:rPr>
          <w:rFonts w:ascii="Times New Roman" w:eastAsia="Times New Roman" w:hAnsi="Times New Roman" w:cs="Times New Roman"/>
          <w:sz w:val="24"/>
          <w:szCs w:val="24"/>
          <w:lang w:eastAsia="uk-UA"/>
        </w:rPr>
        <w:t xml:space="preserve"> зміна до підходів до проведення приватизації державного майна. Зокрема, йдеться про суттєве скорочення переліку компаній, які не підлягають приватизації, а також про пришвидшення процедури приватизації державних підприємств. </w:t>
      </w:r>
    </w:p>
    <w:p w:rsidR="006C3F83" w:rsidRDefault="00AB010D" w:rsidP="00260EBC">
      <w:pPr>
        <w:spacing w:before="120" w:after="0" w:line="240" w:lineRule="auto"/>
        <w:ind w:firstLine="567"/>
        <w:jc w:val="both"/>
        <w:rPr>
          <w:rFonts w:ascii="Times New Roman" w:eastAsia="Times New Roman" w:hAnsi="Times New Roman" w:cs="Times New Roman"/>
          <w:sz w:val="24"/>
          <w:szCs w:val="24"/>
          <w:lang w:eastAsia="uk-UA"/>
        </w:rPr>
      </w:pPr>
      <w:r w:rsidRPr="001D4F6F">
        <w:rPr>
          <w:rFonts w:ascii="Times New Roman" w:eastAsia="Times New Roman" w:hAnsi="Times New Roman" w:cs="Times New Roman"/>
          <w:sz w:val="24"/>
          <w:szCs w:val="24"/>
          <w:lang w:eastAsia="uk-UA"/>
        </w:rPr>
        <w:t>Слід зазначити, що недоотримання надходжень від приватизації державного майна призведе до збільшення державних запозичень відповідно до положень статті 15 Бюджетного кодексу України, що в свою чергу призведе до збільшення обсягу державного боргу та видатків на його обслуговування.</w:t>
      </w:r>
    </w:p>
    <w:p w:rsidR="00A56F2F" w:rsidRPr="00594FDE" w:rsidRDefault="00A56F2F" w:rsidP="00594FDE">
      <w:pPr>
        <w:pStyle w:val="1"/>
        <w:spacing w:after="120"/>
        <w:jc w:val="center"/>
        <w:rPr>
          <w:b/>
          <w:sz w:val="28"/>
        </w:rPr>
      </w:pPr>
      <w:bookmarkStart w:id="12" w:name="_Toc19289906"/>
      <w:r w:rsidRPr="00594FDE">
        <w:rPr>
          <w:b/>
          <w:sz w:val="28"/>
        </w:rPr>
        <w:t>ФІСКАЛЬНІ РИЗИКИ, ПОВ’ЯЗАНІ ІЗ СФЕРОЮ ПЕНСІЙНОГО ЗАБЕЗПЕЧЕННЯ</w:t>
      </w:r>
      <w:bookmarkEnd w:id="12"/>
    </w:p>
    <w:p w:rsidR="008C241B" w:rsidRPr="00FA1C17" w:rsidRDefault="00AA5E6E" w:rsidP="00FA1C17">
      <w:pPr>
        <w:spacing w:before="120"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Можливе додаткове, ніж враховано в бюджеті-2020,</w:t>
      </w:r>
      <w:r w:rsidR="008C241B" w:rsidRPr="00FA1C17">
        <w:rPr>
          <w:rFonts w:ascii="Times New Roman" w:eastAsia="Times New Roman" w:hAnsi="Times New Roman" w:cs="Times New Roman"/>
          <w:color w:val="000000"/>
          <w:sz w:val="24"/>
          <w:szCs w:val="24"/>
          <w:lang w:eastAsia="uk-UA"/>
        </w:rPr>
        <w:t xml:space="preserve"> зростання обсягу видатків на пенсійні виплати </w:t>
      </w:r>
      <w:r w:rsidR="00C52754">
        <w:rPr>
          <w:rFonts w:ascii="Times New Roman" w:eastAsia="Times New Roman" w:hAnsi="Times New Roman" w:cs="Times New Roman"/>
          <w:color w:val="000000"/>
          <w:sz w:val="24"/>
          <w:szCs w:val="24"/>
          <w:lang w:eastAsia="uk-UA"/>
        </w:rPr>
        <w:t>внаслідок</w:t>
      </w:r>
      <w:r w:rsidR="008C241B" w:rsidRPr="00E82AEC">
        <w:rPr>
          <w:rFonts w:ascii="Times New Roman" w:eastAsia="Times New Roman" w:hAnsi="Times New Roman" w:cs="Times New Roman"/>
          <w:color w:val="000000"/>
          <w:sz w:val="24"/>
          <w:szCs w:val="24"/>
          <w:lang w:eastAsia="uk-UA"/>
        </w:rPr>
        <w:t xml:space="preserve"> </w:t>
      </w:r>
      <w:r w:rsidR="00B46D7E" w:rsidRPr="00E82AEC">
        <w:rPr>
          <w:rFonts w:ascii="Times New Roman" w:eastAsia="Times New Roman" w:hAnsi="Times New Roman" w:cs="Times New Roman"/>
          <w:color w:val="000000"/>
          <w:sz w:val="24"/>
          <w:szCs w:val="24"/>
          <w:lang w:eastAsia="uk-UA"/>
        </w:rPr>
        <w:t>п</w:t>
      </w:r>
      <w:r w:rsidR="00B46D7E" w:rsidRPr="00E82AEC">
        <w:rPr>
          <w:rFonts w:ascii="Times New Roman" w:hAnsi="Times New Roman" w:cs="Times New Roman"/>
          <w:sz w:val="24"/>
          <w:szCs w:val="24"/>
        </w:rPr>
        <w:t>рийняття змін до пенсійного законодавства без визначення ресурсів для їх фінансового забезпечення</w:t>
      </w:r>
      <w:r w:rsidR="00E82AEC" w:rsidRPr="00E82AEC">
        <w:rPr>
          <w:rFonts w:ascii="Times New Roman" w:hAnsi="Times New Roman" w:cs="Times New Roman"/>
          <w:sz w:val="24"/>
          <w:szCs w:val="24"/>
        </w:rPr>
        <w:t>;</w:t>
      </w:r>
      <w:r w:rsidR="00B46D7E" w:rsidRPr="00E82AEC">
        <w:rPr>
          <w:rFonts w:ascii="Times New Roman" w:eastAsia="Times New Roman" w:hAnsi="Times New Roman" w:cs="Times New Roman"/>
          <w:color w:val="000000"/>
          <w:sz w:val="24"/>
          <w:szCs w:val="24"/>
          <w:lang w:eastAsia="uk-UA"/>
        </w:rPr>
        <w:t xml:space="preserve"> </w:t>
      </w:r>
      <w:r w:rsidR="008C241B" w:rsidRPr="00E82AEC">
        <w:rPr>
          <w:rFonts w:ascii="Times New Roman" w:eastAsia="Times New Roman" w:hAnsi="Times New Roman" w:cs="Times New Roman"/>
          <w:color w:val="000000"/>
          <w:sz w:val="24"/>
          <w:szCs w:val="24"/>
          <w:lang w:eastAsia="uk-UA"/>
        </w:rPr>
        <w:t>прийняття законів щодо фінансування невиплачених сум пенсій</w:t>
      </w:r>
      <w:r w:rsidR="008C241B" w:rsidRPr="00FA1C17">
        <w:rPr>
          <w:rFonts w:ascii="Times New Roman" w:eastAsia="Times New Roman" w:hAnsi="Times New Roman" w:cs="Times New Roman"/>
          <w:color w:val="000000"/>
          <w:sz w:val="24"/>
          <w:szCs w:val="24"/>
          <w:lang w:eastAsia="uk-UA"/>
        </w:rPr>
        <w:t xml:space="preserve"> особам, які проживають у населених пунктах Донецької та Луганської областей, на території яких органи державної влади тимчасово не здійснюють повноваження</w:t>
      </w:r>
      <w:r w:rsidR="00113677" w:rsidRPr="00FA1C17">
        <w:rPr>
          <w:rFonts w:ascii="Times New Roman" w:eastAsia="Times New Roman" w:hAnsi="Times New Roman" w:cs="Times New Roman"/>
          <w:color w:val="000000"/>
          <w:sz w:val="24"/>
          <w:szCs w:val="24"/>
          <w:lang w:eastAsia="uk-UA"/>
        </w:rPr>
        <w:t>.</w:t>
      </w:r>
    </w:p>
    <w:p w:rsidR="00281BB6" w:rsidRDefault="00281BB6" w:rsidP="00FA1C17">
      <w:pPr>
        <w:spacing w:after="0" w:line="240" w:lineRule="auto"/>
        <w:ind w:firstLine="567"/>
        <w:jc w:val="both"/>
        <w:rPr>
          <w:rFonts w:ascii="Times New Roman" w:eastAsia="Times New Roman" w:hAnsi="Times New Roman" w:cs="Times New Roman"/>
          <w:bCs/>
          <w:color w:val="000000"/>
          <w:sz w:val="24"/>
          <w:szCs w:val="24"/>
          <w:lang w:eastAsia="uk-UA"/>
        </w:rPr>
      </w:pPr>
    </w:p>
    <w:p w:rsidR="005F3C6C" w:rsidRPr="00FA1C17" w:rsidRDefault="005F3C6C" w:rsidP="00FA1C17">
      <w:pPr>
        <w:spacing w:after="0" w:line="240" w:lineRule="auto"/>
        <w:ind w:firstLine="567"/>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 xml:space="preserve">Так, розрахункова сума невиплачених пенсій особам з числа </w:t>
      </w:r>
      <w:r w:rsidR="00874E33" w:rsidRPr="00FA1C17">
        <w:rPr>
          <w:rFonts w:ascii="Times New Roman" w:eastAsia="Times New Roman" w:hAnsi="Times New Roman" w:cs="Times New Roman"/>
          <w:bCs/>
          <w:color w:val="000000"/>
          <w:sz w:val="24"/>
          <w:szCs w:val="24"/>
          <w:lang w:eastAsia="uk-UA"/>
        </w:rPr>
        <w:t>внутрішньо переміщених осіб</w:t>
      </w:r>
      <w:r w:rsidRPr="00FA1C17">
        <w:rPr>
          <w:rFonts w:ascii="Times New Roman" w:eastAsia="Times New Roman" w:hAnsi="Times New Roman" w:cs="Times New Roman"/>
          <w:bCs/>
          <w:color w:val="000000"/>
          <w:sz w:val="24"/>
          <w:szCs w:val="24"/>
          <w:lang w:eastAsia="uk-UA"/>
        </w:rPr>
        <w:t xml:space="preserve"> за минулі періоди та тим, що залишились проживати на непідконтрольній території, і жодного разу не звертались за поновленням пенсійних виплат, за період з серпня 2014 року по липень 2019 року може скласти від 3</w:t>
      </w:r>
      <w:r w:rsidR="00874E33" w:rsidRPr="00FA1C17">
        <w:rPr>
          <w:rFonts w:ascii="Times New Roman" w:eastAsia="Times New Roman" w:hAnsi="Times New Roman" w:cs="Times New Roman"/>
          <w:bCs/>
          <w:color w:val="000000"/>
          <w:sz w:val="24"/>
          <w:szCs w:val="24"/>
          <w:lang w:eastAsia="uk-UA"/>
        </w:rPr>
        <w:t>5</w:t>
      </w:r>
      <w:r w:rsidRPr="00FA1C17">
        <w:rPr>
          <w:rFonts w:ascii="Times New Roman" w:eastAsia="Times New Roman" w:hAnsi="Times New Roman" w:cs="Times New Roman"/>
          <w:bCs/>
          <w:color w:val="000000"/>
          <w:sz w:val="24"/>
          <w:szCs w:val="24"/>
          <w:lang w:eastAsia="uk-UA"/>
        </w:rPr>
        <w:t>,5 млрд грн до 8</w:t>
      </w:r>
      <w:r w:rsidR="00874E33" w:rsidRPr="00FA1C17">
        <w:rPr>
          <w:rFonts w:ascii="Times New Roman" w:eastAsia="Times New Roman" w:hAnsi="Times New Roman" w:cs="Times New Roman"/>
          <w:bCs/>
          <w:color w:val="000000"/>
          <w:sz w:val="24"/>
          <w:szCs w:val="24"/>
          <w:lang w:eastAsia="uk-UA"/>
        </w:rPr>
        <w:t>4</w:t>
      </w:r>
      <w:r w:rsidRPr="00FA1C17">
        <w:rPr>
          <w:rFonts w:ascii="Times New Roman" w:eastAsia="Times New Roman" w:hAnsi="Times New Roman" w:cs="Times New Roman"/>
          <w:bCs/>
          <w:color w:val="000000"/>
          <w:sz w:val="24"/>
          <w:szCs w:val="24"/>
          <w:lang w:eastAsia="uk-UA"/>
        </w:rPr>
        <w:t>,</w:t>
      </w:r>
      <w:r w:rsidR="00874E33" w:rsidRPr="00FA1C17">
        <w:rPr>
          <w:rFonts w:ascii="Times New Roman" w:eastAsia="Times New Roman" w:hAnsi="Times New Roman" w:cs="Times New Roman"/>
          <w:bCs/>
          <w:color w:val="000000"/>
          <w:sz w:val="24"/>
          <w:szCs w:val="24"/>
          <w:lang w:eastAsia="uk-UA"/>
        </w:rPr>
        <w:t>3</w:t>
      </w:r>
      <w:r w:rsidRPr="00FA1C17">
        <w:rPr>
          <w:rFonts w:ascii="Times New Roman" w:eastAsia="Times New Roman" w:hAnsi="Times New Roman" w:cs="Times New Roman"/>
          <w:bCs/>
          <w:color w:val="000000"/>
          <w:sz w:val="24"/>
          <w:szCs w:val="24"/>
          <w:lang w:eastAsia="uk-UA"/>
        </w:rPr>
        <w:t xml:space="preserve"> млрд гривень.</w:t>
      </w:r>
    </w:p>
    <w:p w:rsidR="00113677" w:rsidRPr="00FA1C17" w:rsidRDefault="005F3C6C" w:rsidP="00FA1C17">
      <w:pPr>
        <w:spacing w:after="0" w:line="240" w:lineRule="auto"/>
        <w:ind w:firstLine="567"/>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 xml:space="preserve">У разі прийняття законодавчого рішення щодо виплати невиплачених сум пенсій за минулий період особам з числа </w:t>
      </w:r>
      <w:r w:rsidR="00874E33" w:rsidRPr="00FA1C17">
        <w:rPr>
          <w:rFonts w:ascii="Times New Roman" w:eastAsia="Times New Roman" w:hAnsi="Times New Roman" w:cs="Times New Roman"/>
          <w:bCs/>
          <w:color w:val="000000"/>
          <w:sz w:val="24"/>
          <w:szCs w:val="24"/>
          <w:lang w:eastAsia="uk-UA"/>
        </w:rPr>
        <w:t>внутрішньо переміщених осіб</w:t>
      </w:r>
      <w:r w:rsidRPr="00FA1C17">
        <w:rPr>
          <w:rFonts w:ascii="Times New Roman" w:eastAsia="Times New Roman" w:hAnsi="Times New Roman" w:cs="Times New Roman"/>
          <w:bCs/>
          <w:color w:val="000000"/>
          <w:sz w:val="24"/>
          <w:szCs w:val="24"/>
          <w:lang w:eastAsia="uk-UA"/>
        </w:rPr>
        <w:t>, відповідно до пункту 15 Порядку</w:t>
      </w:r>
      <w:r w:rsidR="00874E33" w:rsidRPr="00FA1C17">
        <w:rPr>
          <w:rFonts w:ascii="Times New Roman" w:eastAsia="Times New Roman" w:hAnsi="Times New Roman" w:cs="Times New Roman"/>
          <w:bCs/>
          <w:color w:val="000000"/>
          <w:sz w:val="24"/>
          <w:szCs w:val="24"/>
          <w:lang w:eastAsia="uk-UA"/>
        </w:rPr>
        <w:t xml:space="preserve"> призначення (відновлення) соціальних виплат внутрішньо переміщеним особам</w:t>
      </w:r>
      <w:r w:rsidRPr="00FA1C17">
        <w:rPr>
          <w:rFonts w:ascii="Times New Roman" w:eastAsia="Times New Roman" w:hAnsi="Times New Roman" w:cs="Times New Roman"/>
          <w:bCs/>
          <w:color w:val="000000"/>
          <w:sz w:val="24"/>
          <w:szCs w:val="24"/>
          <w:lang w:eastAsia="uk-UA"/>
        </w:rPr>
        <w:t>, затвердженого постановою К</w:t>
      </w:r>
      <w:r w:rsidR="00874E33" w:rsidRPr="00FA1C17">
        <w:rPr>
          <w:rFonts w:ascii="Times New Roman" w:eastAsia="Times New Roman" w:hAnsi="Times New Roman" w:cs="Times New Roman"/>
          <w:bCs/>
          <w:color w:val="000000"/>
          <w:sz w:val="24"/>
          <w:szCs w:val="24"/>
          <w:lang w:eastAsia="uk-UA"/>
        </w:rPr>
        <w:t xml:space="preserve">абінету </w:t>
      </w:r>
      <w:r w:rsidRPr="00FA1C17">
        <w:rPr>
          <w:rFonts w:ascii="Times New Roman" w:eastAsia="Times New Roman" w:hAnsi="Times New Roman" w:cs="Times New Roman"/>
          <w:bCs/>
          <w:color w:val="000000"/>
          <w:sz w:val="24"/>
          <w:szCs w:val="24"/>
          <w:lang w:eastAsia="uk-UA"/>
        </w:rPr>
        <w:t>М</w:t>
      </w:r>
      <w:r w:rsidR="00874E33" w:rsidRPr="00FA1C17">
        <w:rPr>
          <w:rFonts w:ascii="Times New Roman" w:eastAsia="Times New Roman" w:hAnsi="Times New Roman" w:cs="Times New Roman"/>
          <w:bCs/>
          <w:color w:val="000000"/>
          <w:sz w:val="24"/>
          <w:szCs w:val="24"/>
          <w:lang w:eastAsia="uk-UA"/>
        </w:rPr>
        <w:t xml:space="preserve">іністрів </w:t>
      </w:r>
      <w:r w:rsidRPr="00FA1C17">
        <w:rPr>
          <w:rFonts w:ascii="Times New Roman" w:eastAsia="Times New Roman" w:hAnsi="Times New Roman" w:cs="Times New Roman"/>
          <w:bCs/>
          <w:color w:val="000000"/>
          <w:sz w:val="24"/>
          <w:szCs w:val="24"/>
          <w:lang w:eastAsia="uk-UA"/>
        </w:rPr>
        <w:t>У</w:t>
      </w:r>
      <w:r w:rsidR="00874E33" w:rsidRPr="00FA1C17">
        <w:rPr>
          <w:rFonts w:ascii="Times New Roman" w:eastAsia="Times New Roman" w:hAnsi="Times New Roman" w:cs="Times New Roman"/>
          <w:bCs/>
          <w:color w:val="000000"/>
          <w:sz w:val="24"/>
          <w:szCs w:val="24"/>
          <w:lang w:eastAsia="uk-UA"/>
        </w:rPr>
        <w:t>країни</w:t>
      </w:r>
      <w:r w:rsidRPr="00FA1C17">
        <w:rPr>
          <w:rFonts w:ascii="Times New Roman" w:eastAsia="Times New Roman" w:hAnsi="Times New Roman" w:cs="Times New Roman"/>
          <w:bCs/>
          <w:color w:val="000000"/>
          <w:sz w:val="24"/>
          <w:szCs w:val="24"/>
          <w:lang w:eastAsia="uk-UA"/>
        </w:rPr>
        <w:t xml:space="preserve"> від 08.06.2016 № 365</w:t>
      </w:r>
      <w:r w:rsidR="00874E33" w:rsidRPr="00FA1C17">
        <w:rPr>
          <w:rFonts w:ascii="Times New Roman" w:eastAsia="Times New Roman" w:hAnsi="Times New Roman" w:cs="Times New Roman"/>
          <w:bCs/>
          <w:color w:val="000000"/>
          <w:sz w:val="24"/>
          <w:szCs w:val="24"/>
          <w:lang w:eastAsia="uk-UA"/>
        </w:rPr>
        <w:t>,</w:t>
      </w:r>
      <w:r w:rsidRPr="00FA1C17">
        <w:rPr>
          <w:rFonts w:ascii="Times New Roman" w:eastAsia="Times New Roman" w:hAnsi="Times New Roman" w:cs="Times New Roman"/>
          <w:bCs/>
          <w:color w:val="000000"/>
          <w:sz w:val="24"/>
          <w:szCs w:val="24"/>
          <w:lang w:eastAsia="uk-UA"/>
        </w:rPr>
        <w:t xml:space="preserve"> розрахункова сума коштів, необхідних для забезпечення виплати пенсій за минулий період може скласти </w:t>
      </w:r>
      <w:r w:rsidR="00874E33" w:rsidRPr="00FA1C17">
        <w:rPr>
          <w:rFonts w:ascii="Times New Roman" w:eastAsia="Times New Roman" w:hAnsi="Times New Roman" w:cs="Times New Roman"/>
          <w:bCs/>
          <w:color w:val="000000"/>
          <w:sz w:val="24"/>
          <w:szCs w:val="24"/>
          <w:lang w:eastAsia="uk-UA"/>
        </w:rPr>
        <w:t>6,8</w:t>
      </w:r>
      <w:r w:rsidRPr="00FA1C17">
        <w:rPr>
          <w:rFonts w:ascii="Times New Roman" w:eastAsia="Times New Roman" w:hAnsi="Times New Roman" w:cs="Times New Roman"/>
          <w:bCs/>
          <w:color w:val="000000"/>
          <w:sz w:val="24"/>
          <w:szCs w:val="24"/>
          <w:lang w:eastAsia="uk-UA"/>
        </w:rPr>
        <w:t xml:space="preserve"> млрд гривень.</w:t>
      </w:r>
    </w:p>
    <w:p w:rsidR="00027B5B" w:rsidRPr="00FA1C17" w:rsidRDefault="00082D5F" w:rsidP="00FA1C17">
      <w:pPr>
        <w:spacing w:after="0" w:line="240" w:lineRule="auto"/>
        <w:ind w:firstLine="567"/>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Для</w:t>
      </w:r>
      <w:r w:rsidR="003F5C87" w:rsidRPr="00FA1C17">
        <w:rPr>
          <w:rFonts w:ascii="Times New Roman" w:eastAsia="Times New Roman" w:hAnsi="Times New Roman" w:cs="Times New Roman"/>
          <w:bCs/>
          <w:color w:val="000000"/>
          <w:sz w:val="24"/>
          <w:szCs w:val="24"/>
          <w:lang w:eastAsia="uk-UA"/>
        </w:rPr>
        <w:t xml:space="preserve"> зменшення </w:t>
      </w:r>
      <w:r w:rsidR="000736DF" w:rsidRPr="00FA1C17">
        <w:rPr>
          <w:rFonts w:ascii="Times New Roman" w:eastAsia="Times New Roman" w:hAnsi="Times New Roman" w:cs="Times New Roman"/>
          <w:bCs/>
          <w:color w:val="000000"/>
          <w:sz w:val="24"/>
          <w:szCs w:val="24"/>
          <w:lang w:eastAsia="uk-UA"/>
        </w:rPr>
        <w:t xml:space="preserve">впливу на </w:t>
      </w:r>
      <w:r w:rsidR="00E00F77">
        <w:rPr>
          <w:rFonts w:ascii="Times New Roman" w:eastAsia="Times New Roman" w:hAnsi="Times New Roman" w:cs="Times New Roman"/>
          <w:bCs/>
          <w:color w:val="000000"/>
          <w:sz w:val="24"/>
          <w:szCs w:val="24"/>
          <w:lang w:eastAsia="uk-UA"/>
        </w:rPr>
        <w:t xml:space="preserve">показники </w:t>
      </w:r>
      <w:r w:rsidR="000736DF" w:rsidRPr="00FA1C17">
        <w:rPr>
          <w:rFonts w:ascii="Times New Roman" w:eastAsia="Times New Roman" w:hAnsi="Times New Roman" w:cs="Times New Roman"/>
          <w:bCs/>
          <w:color w:val="000000"/>
          <w:sz w:val="24"/>
          <w:szCs w:val="24"/>
          <w:lang w:eastAsia="uk-UA"/>
        </w:rPr>
        <w:t>державн</w:t>
      </w:r>
      <w:r w:rsidR="00E00F77">
        <w:rPr>
          <w:rFonts w:ascii="Times New Roman" w:eastAsia="Times New Roman" w:hAnsi="Times New Roman" w:cs="Times New Roman"/>
          <w:bCs/>
          <w:color w:val="000000"/>
          <w:sz w:val="24"/>
          <w:szCs w:val="24"/>
          <w:lang w:eastAsia="uk-UA"/>
        </w:rPr>
        <w:t>ого</w:t>
      </w:r>
      <w:r w:rsidR="000736DF" w:rsidRPr="00FA1C17">
        <w:rPr>
          <w:rFonts w:ascii="Times New Roman" w:eastAsia="Times New Roman" w:hAnsi="Times New Roman" w:cs="Times New Roman"/>
          <w:bCs/>
          <w:color w:val="000000"/>
          <w:sz w:val="24"/>
          <w:szCs w:val="24"/>
          <w:lang w:eastAsia="uk-UA"/>
        </w:rPr>
        <w:t xml:space="preserve"> бюджет</w:t>
      </w:r>
      <w:r w:rsidR="00E00F77">
        <w:rPr>
          <w:rFonts w:ascii="Times New Roman" w:eastAsia="Times New Roman" w:hAnsi="Times New Roman" w:cs="Times New Roman"/>
          <w:bCs/>
          <w:color w:val="000000"/>
          <w:sz w:val="24"/>
          <w:szCs w:val="24"/>
          <w:lang w:eastAsia="uk-UA"/>
        </w:rPr>
        <w:t>у</w:t>
      </w:r>
      <w:r w:rsidR="000736DF" w:rsidRPr="00FA1C17">
        <w:rPr>
          <w:rFonts w:ascii="Times New Roman" w:eastAsia="Times New Roman" w:hAnsi="Times New Roman" w:cs="Times New Roman"/>
          <w:bCs/>
          <w:color w:val="000000"/>
          <w:sz w:val="24"/>
          <w:szCs w:val="24"/>
          <w:lang w:eastAsia="uk-UA"/>
        </w:rPr>
        <w:t xml:space="preserve"> </w:t>
      </w:r>
      <w:r w:rsidR="003F5C87" w:rsidRPr="00FA1C17">
        <w:rPr>
          <w:rFonts w:ascii="Times New Roman" w:eastAsia="Times New Roman" w:hAnsi="Times New Roman" w:cs="Times New Roman"/>
          <w:bCs/>
          <w:color w:val="000000"/>
          <w:sz w:val="24"/>
          <w:szCs w:val="24"/>
          <w:lang w:eastAsia="uk-UA"/>
        </w:rPr>
        <w:t xml:space="preserve">фіскальних ризиків, пов’язаних із </w:t>
      </w:r>
      <w:r w:rsidR="00152E6B" w:rsidRPr="00FA1C17">
        <w:rPr>
          <w:rFonts w:ascii="Times New Roman" w:eastAsia="Times New Roman" w:hAnsi="Times New Roman" w:cs="Times New Roman"/>
          <w:bCs/>
          <w:color w:val="000000"/>
          <w:sz w:val="24"/>
          <w:szCs w:val="24"/>
          <w:lang w:eastAsia="uk-UA"/>
        </w:rPr>
        <w:t>відхиленням від планових показників у сфері пенсійного забезпечення</w:t>
      </w:r>
      <w:r w:rsidR="00BD7204" w:rsidRPr="00FA1C17">
        <w:rPr>
          <w:rFonts w:ascii="Times New Roman" w:eastAsia="Times New Roman" w:hAnsi="Times New Roman" w:cs="Times New Roman"/>
          <w:bCs/>
          <w:color w:val="000000"/>
          <w:sz w:val="24"/>
          <w:szCs w:val="24"/>
          <w:lang w:eastAsia="uk-UA"/>
        </w:rPr>
        <w:t>, є необхідним</w:t>
      </w:r>
      <w:r w:rsidR="00027B5B" w:rsidRPr="00FA1C17">
        <w:rPr>
          <w:rFonts w:ascii="Times New Roman" w:eastAsia="Times New Roman" w:hAnsi="Times New Roman" w:cs="Times New Roman"/>
          <w:bCs/>
          <w:color w:val="000000"/>
          <w:sz w:val="24"/>
          <w:szCs w:val="24"/>
          <w:lang w:eastAsia="uk-UA"/>
        </w:rPr>
        <w:t>:</w:t>
      </w:r>
    </w:p>
    <w:p w:rsidR="00670A4E" w:rsidRPr="00FA1C17" w:rsidRDefault="00670A4E"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color w:val="000000"/>
          <w:sz w:val="24"/>
          <w:szCs w:val="24"/>
          <w:lang w:eastAsia="uk-UA"/>
        </w:rPr>
        <w:t xml:space="preserve">недопущення нарощування заборгованості зі сплати ЄСВ та погашення </w:t>
      </w:r>
      <w:r w:rsidR="00082D5F">
        <w:rPr>
          <w:rFonts w:ascii="Times New Roman" w:eastAsia="Times New Roman" w:hAnsi="Times New Roman" w:cs="Times New Roman"/>
          <w:color w:val="000000"/>
          <w:sz w:val="24"/>
          <w:szCs w:val="24"/>
          <w:lang w:eastAsia="uk-UA"/>
        </w:rPr>
        <w:t>наявного</w:t>
      </w:r>
      <w:r w:rsidR="00082D5F" w:rsidRPr="00FA1C17">
        <w:rPr>
          <w:rFonts w:ascii="Times New Roman" w:eastAsia="Times New Roman" w:hAnsi="Times New Roman" w:cs="Times New Roman"/>
          <w:color w:val="000000"/>
          <w:sz w:val="24"/>
          <w:szCs w:val="24"/>
          <w:lang w:eastAsia="uk-UA"/>
        </w:rPr>
        <w:t xml:space="preserve"> </w:t>
      </w:r>
      <w:r w:rsidRPr="00FA1C17">
        <w:rPr>
          <w:rFonts w:ascii="Times New Roman" w:eastAsia="Times New Roman" w:hAnsi="Times New Roman" w:cs="Times New Roman"/>
          <w:color w:val="000000"/>
          <w:sz w:val="24"/>
          <w:szCs w:val="24"/>
          <w:lang w:eastAsia="uk-UA"/>
        </w:rPr>
        <w:t>боргу;</w:t>
      </w:r>
    </w:p>
    <w:p w:rsidR="00027B5B" w:rsidRPr="00FA1C17" w:rsidRDefault="00BD7204"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здійснення відстеження стану розгляду справ і контролю механізму погашення заборгованості з пенсійних виплат за рішеннями судів</w:t>
      </w:r>
      <w:r w:rsidR="00F75334" w:rsidRPr="00FA1C17">
        <w:rPr>
          <w:rFonts w:ascii="Times New Roman" w:eastAsia="Times New Roman" w:hAnsi="Times New Roman" w:cs="Times New Roman"/>
          <w:bCs/>
          <w:color w:val="000000"/>
          <w:sz w:val="24"/>
          <w:szCs w:val="24"/>
          <w:lang w:eastAsia="uk-UA"/>
        </w:rPr>
        <w:t xml:space="preserve">; </w:t>
      </w:r>
    </w:p>
    <w:p w:rsidR="00027B5B" w:rsidRPr="00FA1C17" w:rsidRDefault="00F75334"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прийняття змін до пенсійного законодавства лише у разі наявності ресурсів для їх фінансового забезпечення</w:t>
      </w:r>
      <w:r w:rsidR="00027B5B" w:rsidRPr="00FA1C17">
        <w:rPr>
          <w:rFonts w:ascii="Times New Roman" w:eastAsia="Times New Roman" w:hAnsi="Times New Roman" w:cs="Times New Roman"/>
          <w:bCs/>
          <w:color w:val="000000"/>
          <w:sz w:val="24"/>
          <w:szCs w:val="24"/>
          <w:lang w:eastAsia="uk-UA"/>
        </w:rPr>
        <w:t>;</w:t>
      </w:r>
    </w:p>
    <w:p w:rsidR="00342018" w:rsidRPr="00FA1C17" w:rsidRDefault="00342018"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 xml:space="preserve">продовження реформи пенсійної системи з урахуванням довгострокових демографічних прогнозів та майбутнього навантаження пенсійних виплат на державні фінанси; </w:t>
      </w:r>
    </w:p>
    <w:p w:rsidR="00342018" w:rsidRPr="00FA1C17" w:rsidRDefault="00342018"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bCs/>
          <w:color w:val="000000"/>
          <w:sz w:val="24"/>
          <w:szCs w:val="24"/>
          <w:lang w:eastAsia="uk-UA"/>
        </w:rPr>
        <w:t xml:space="preserve">забезпечення виваженого підходу до зростання витрат Пенсійного фонду (темп зростання пенсій не повинен перевищувати темп зростання фонду оплати праці); </w:t>
      </w:r>
    </w:p>
    <w:p w:rsidR="00342018" w:rsidRPr="00FA1C17" w:rsidRDefault="00342018" w:rsidP="00FA1C17">
      <w:pPr>
        <w:pStyle w:val="a4"/>
        <w:numPr>
          <w:ilvl w:val="0"/>
          <w:numId w:val="20"/>
        </w:numPr>
        <w:tabs>
          <w:tab w:val="left" w:pos="709"/>
        </w:tabs>
        <w:spacing w:after="0" w:line="240" w:lineRule="auto"/>
        <w:ind w:left="0" w:firstLine="426"/>
        <w:jc w:val="both"/>
        <w:rPr>
          <w:rFonts w:ascii="Times New Roman" w:eastAsia="Times New Roman" w:hAnsi="Times New Roman" w:cs="Times New Roman"/>
          <w:bCs/>
          <w:color w:val="000000"/>
          <w:sz w:val="24"/>
          <w:szCs w:val="24"/>
          <w:lang w:eastAsia="uk-UA"/>
        </w:rPr>
      </w:pPr>
      <w:r w:rsidRPr="00FA1C17">
        <w:rPr>
          <w:rFonts w:ascii="Times New Roman" w:eastAsia="Times New Roman" w:hAnsi="Times New Roman" w:cs="Times New Roman"/>
          <w:color w:val="000000"/>
          <w:sz w:val="24"/>
          <w:szCs w:val="24"/>
          <w:lang w:eastAsia="uk-UA"/>
        </w:rPr>
        <w:t xml:space="preserve">продовження роботи щодо детінізації заробітної плати Державною </w:t>
      </w:r>
      <w:r w:rsidR="0061457C" w:rsidRPr="00FA1C17">
        <w:rPr>
          <w:rFonts w:ascii="Times New Roman" w:eastAsia="Times New Roman" w:hAnsi="Times New Roman" w:cs="Times New Roman"/>
          <w:color w:val="000000"/>
          <w:sz w:val="24"/>
          <w:szCs w:val="24"/>
          <w:lang w:eastAsia="uk-UA"/>
        </w:rPr>
        <w:t>податковою</w:t>
      </w:r>
      <w:r w:rsidRPr="00FA1C17">
        <w:rPr>
          <w:rFonts w:ascii="Times New Roman" w:eastAsia="Times New Roman" w:hAnsi="Times New Roman" w:cs="Times New Roman"/>
          <w:color w:val="000000"/>
          <w:sz w:val="24"/>
          <w:szCs w:val="24"/>
          <w:lang w:eastAsia="uk-UA"/>
        </w:rPr>
        <w:t xml:space="preserve"> службою, Пенсійним фондом України </w:t>
      </w:r>
      <w:r w:rsidR="009B11E0" w:rsidRPr="00FA1C17">
        <w:rPr>
          <w:rFonts w:ascii="Times New Roman" w:eastAsia="Times New Roman" w:hAnsi="Times New Roman" w:cs="Times New Roman"/>
          <w:color w:val="000000"/>
          <w:sz w:val="24"/>
          <w:szCs w:val="24"/>
          <w:lang w:eastAsia="uk-UA"/>
        </w:rPr>
        <w:t xml:space="preserve">та </w:t>
      </w:r>
      <w:r w:rsidRPr="00FA1C17">
        <w:rPr>
          <w:rFonts w:ascii="Times New Roman" w:eastAsia="Times New Roman" w:hAnsi="Times New Roman" w:cs="Times New Roman"/>
          <w:color w:val="000000"/>
          <w:sz w:val="24"/>
          <w:szCs w:val="24"/>
          <w:lang w:eastAsia="uk-UA"/>
        </w:rPr>
        <w:t>Державною службою України з питань праці</w:t>
      </w:r>
      <w:r w:rsidR="009B11E0" w:rsidRPr="00FA1C17">
        <w:rPr>
          <w:rFonts w:ascii="Times New Roman" w:eastAsia="Times New Roman" w:hAnsi="Times New Roman" w:cs="Times New Roman"/>
          <w:color w:val="000000"/>
          <w:sz w:val="24"/>
          <w:szCs w:val="24"/>
          <w:lang w:eastAsia="uk-UA"/>
        </w:rPr>
        <w:t xml:space="preserve"> з метою запобігання ухилення від сплати єдиного внеску на загальнообов’язкове державне соціальне страхування та збільшення чисельності найманих працівників.</w:t>
      </w:r>
    </w:p>
    <w:p w:rsidR="00CA3068" w:rsidRPr="00594FDE" w:rsidRDefault="00A56F2F" w:rsidP="00594FDE">
      <w:pPr>
        <w:pStyle w:val="1"/>
        <w:spacing w:after="120"/>
        <w:jc w:val="center"/>
        <w:rPr>
          <w:b/>
          <w:sz w:val="28"/>
        </w:rPr>
      </w:pPr>
      <w:bookmarkStart w:id="13" w:name="_Toc19289907"/>
      <w:r w:rsidRPr="00594FDE">
        <w:rPr>
          <w:b/>
          <w:sz w:val="28"/>
        </w:rPr>
        <w:t xml:space="preserve">ФІСКАЛЬНІ РИЗИКИ, ПОВ’ЯЗАНІ ІЗ ФУНКЦІОНУВАННЯМ </w:t>
      </w:r>
      <w:r w:rsidR="00220AC8" w:rsidRPr="00594FDE">
        <w:rPr>
          <w:b/>
          <w:sz w:val="28"/>
        </w:rPr>
        <w:br/>
      </w:r>
      <w:r w:rsidR="00CA3068" w:rsidRPr="00594FDE">
        <w:rPr>
          <w:b/>
          <w:sz w:val="28"/>
        </w:rPr>
        <w:t>ФІНАНСОВ</w:t>
      </w:r>
      <w:r w:rsidRPr="00594FDE">
        <w:rPr>
          <w:b/>
          <w:sz w:val="28"/>
        </w:rPr>
        <w:t>ОГО</w:t>
      </w:r>
      <w:r w:rsidR="00CA3068" w:rsidRPr="00594FDE">
        <w:rPr>
          <w:b/>
          <w:sz w:val="28"/>
        </w:rPr>
        <w:t xml:space="preserve"> </w:t>
      </w:r>
      <w:r w:rsidR="007D30DD" w:rsidRPr="00594FDE">
        <w:rPr>
          <w:b/>
          <w:sz w:val="28"/>
        </w:rPr>
        <w:t>СЕКТОР</w:t>
      </w:r>
      <w:r w:rsidRPr="00594FDE">
        <w:rPr>
          <w:b/>
          <w:sz w:val="28"/>
        </w:rPr>
        <w:t>У</w:t>
      </w:r>
      <w:bookmarkEnd w:id="13"/>
    </w:p>
    <w:p w:rsidR="00C3507C" w:rsidRPr="00ED315F" w:rsidRDefault="00C3507C" w:rsidP="003F516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У І півріччі 2019 року збільшення витрат держави на підтримку державних банків та забезпечення стійкості фінансової системи, підтримку системи гарантування вкладів фізичних осіб у зв’язку з визнанням неплатоспроможності банків не відбувалось.</w:t>
      </w:r>
    </w:p>
    <w:p w:rsidR="00C3507C" w:rsidRPr="00ED315F" w:rsidRDefault="00C3507C" w:rsidP="003F516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За інформацією Національного банку України банківський сектор другий рік поспіль має високу рентабельність завдяки стабільному зростанню прибуткового споживчого кредитування. У І півріччі 2019 року чистий прибуток становив 31 млрд грн, значно перевищивши показник за весь 2018 рік. Прибутковість сектору залишається високою у середньостроковому періоді. У червні цього року Національний банк України переглянув методологію визначення системно важливих банків з урахуванням рекомендацій Європейського </w:t>
      </w:r>
      <w:r w:rsidR="009C0CBC" w:rsidRPr="00ED315F">
        <w:rPr>
          <w:rFonts w:ascii="Times New Roman" w:eastAsia="Calibri" w:hAnsi="Times New Roman" w:cs="Segoe UI"/>
          <w:color w:val="000000"/>
          <w:sz w:val="24"/>
          <w:szCs w:val="24"/>
        </w:rPr>
        <w:t>наглядового органу. Відповідно до нової методики системно важливими було визнано 14 банків.</w:t>
      </w:r>
    </w:p>
    <w:p w:rsidR="009C0CBC" w:rsidRPr="00ED315F" w:rsidRDefault="009C0CBC" w:rsidP="003F516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Разом з тим, за оцінками Національного банку України у майбутньому, за певних обставин, вплив на показники державного бюджету можуть мати такі фіскальні ризики:</w:t>
      </w:r>
    </w:p>
    <w:p w:rsidR="00161396" w:rsidRPr="00ED315F" w:rsidRDefault="00161396" w:rsidP="00161396">
      <w:pPr>
        <w:pStyle w:val="a4"/>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н</w:t>
      </w:r>
      <w:r w:rsidR="009C0CBC" w:rsidRPr="00ED315F">
        <w:rPr>
          <w:rFonts w:ascii="Times New Roman" w:eastAsia="Calibri" w:hAnsi="Times New Roman" w:cs="Segoe UI"/>
          <w:color w:val="000000"/>
          <w:sz w:val="24"/>
          <w:szCs w:val="24"/>
        </w:rPr>
        <w:t xml:space="preserve">есприятливі для держави судові рішення щодо законності націоналізації </w:t>
      </w:r>
      <w:r w:rsidR="001F21F6">
        <w:rPr>
          <w:rFonts w:ascii="Times New Roman" w:eastAsia="Calibri" w:hAnsi="Times New Roman" w:cs="Segoe UI"/>
          <w:color w:val="000000"/>
          <w:sz w:val="24"/>
          <w:szCs w:val="24"/>
        </w:rPr>
        <w:br/>
      </w:r>
      <w:r w:rsidR="001F21F6">
        <w:rPr>
          <w:rFonts w:ascii="Times New Roman" w:eastAsia="Calibri" w:hAnsi="Times New Roman" w:cs="Times New Roman"/>
          <w:sz w:val="24"/>
          <w:szCs w:val="24"/>
        </w:rPr>
        <w:t>АТ КБ «</w:t>
      </w:r>
      <w:r w:rsidR="001F21F6" w:rsidRPr="00A24E55">
        <w:rPr>
          <w:rFonts w:ascii="Times New Roman" w:eastAsia="Calibri" w:hAnsi="Times New Roman" w:cs="Times New Roman"/>
          <w:sz w:val="24"/>
          <w:szCs w:val="24"/>
        </w:rPr>
        <w:t>Приват</w:t>
      </w:r>
      <w:r w:rsidR="001F21F6">
        <w:rPr>
          <w:rFonts w:ascii="Times New Roman" w:eastAsia="Calibri" w:hAnsi="Times New Roman" w:cs="Times New Roman"/>
          <w:sz w:val="24"/>
          <w:szCs w:val="24"/>
        </w:rPr>
        <w:t>Б</w:t>
      </w:r>
      <w:r w:rsidR="001F21F6" w:rsidRPr="00A24E55">
        <w:rPr>
          <w:rFonts w:ascii="Times New Roman" w:eastAsia="Calibri" w:hAnsi="Times New Roman" w:cs="Times New Roman"/>
          <w:sz w:val="24"/>
          <w:szCs w:val="24"/>
        </w:rPr>
        <w:t>а</w:t>
      </w:r>
      <w:r w:rsidR="001F21F6">
        <w:rPr>
          <w:rFonts w:ascii="Times New Roman" w:eastAsia="Calibri" w:hAnsi="Times New Roman" w:cs="Times New Roman"/>
          <w:sz w:val="24"/>
          <w:szCs w:val="24"/>
        </w:rPr>
        <w:t>нк»</w:t>
      </w:r>
      <w:r w:rsidR="009C0CBC" w:rsidRPr="00ED315F">
        <w:rPr>
          <w:rFonts w:ascii="Times New Roman" w:eastAsia="Calibri" w:hAnsi="Times New Roman" w:cs="Segoe UI"/>
          <w:color w:val="000000"/>
          <w:sz w:val="24"/>
          <w:szCs w:val="24"/>
        </w:rPr>
        <w:t xml:space="preserve">. </w:t>
      </w:r>
      <w:r w:rsidRPr="00ED315F">
        <w:rPr>
          <w:rFonts w:ascii="Times New Roman" w:eastAsia="Calibri" w:hAnsi="Times New Roman" w:cs="Segoe UI"/>
          <w:color w:val="000000"/>
          <w:sz w:val="24"/>
          <w:szCs w:val="24"/>
        </w:rPr>
        <w:t xml:space="preserve">За розрахунками Фонду гарантування вкладів фізичних осіб в такому випадку Фонд може зазнати витрат у розмірі 133,1 млрд грн (за оцінкою станом на 01.05.2019), фінансування яких може відбутися лише за рахунок коштів державного бюджету. </w:t>
      </w:r>
      <w:r w:rsidR="009C0CBC" w:rsidRPr="00ED315F">
        <w:rPr>
          <w:rFonts w:ascii="Times New Roman" w:eastAsia="Calibri" w:hAnsi="Times New Roman" w:cs="Segoe UI"/>
          <w:color w:val="000000"/>
          <w:sz w:val="24"/>
          <w:szCs w:val="24"/>
        </w:rPr>
        <w:t xml:space="preserve">Національний банк, Міністерство фінансів та </w:t>
      </w:r>
      <w:r w:rsidR="001F21F6">
        <w:rPr>
          <w:rFonts w:ascii="Times New Roman" w:eastAsia="Calibri" w:hAnsi="Times New Roman" w:cs="Times New Roman"/>
          <w:sz w:val="24"/>
          <w:szCs w:val="24"/>
        </w:rPr>
        <w:t>АТ КБ «</w:t>
      </w:r>
      <w:r w:rsidR="001F21F6" w:rsidRPr="00A24E55">
        <w:rPr>
          <w:rFonts w:ascii="Times New Roman" w:eastAsia="Calibri" w:hAnsi="Times New Roman" w:cs="Times New Roman"/>
          <w:sz w:val="24"/>
          <w:szCs w:val="24"/>
        </w:rPr>
        <w:t>Приват</w:t>
      </w:r>
      <w:r w:rsidR="001F21F6">
        <w:rPr>
          <w:rFonts w:ascii="Times New Roman" w:eastAsia="Calibri" w:hAnsi="Times New Roman" w:cs="Times New Roman"/>
          <w:sz w:val="24"/>
          <w:szCs w:val="24"/>
        </w:rPr>
        <w:t>Б</w:t>
      </w:r>
      <w:r w:rsidR="001F21F6" w:rsidRPr="00A24E55">
        <w:rPr>
          <w:rFonts w:ascii="Times New Roman" w:eastAsia="Calibri" w:hAnsi="Times New Roman" w:cs="Times New Roman"/>
          <w:sz w:val="24"/>
          <w:szCs w:val="24"/>
        </w:rPr>
        <w:t>а</w:t>
      </w:r>
      <w:r w:rsidR="001F21F6">
        <w:rPr>
          <w:rFonts w:ascii="Times New Roman" w:eastAsia="Calibri" w:hAnsi="Times New Roman" w:cs="Times New Roman"/>
          <w:sz w:val="24"/>
          <w:szCs w:val="24"/>
        </w:rPr>
        <w:t>нк»</w:t>
      </w:r>
      <w:r w:rsidR="009C0CBC" w:rsidRPr="00ED315F">
        <w:rPr>
          <w:rFonts w:ascii="Times New Roman" w:eastAsia="Calibri" w:hAnsi="Times New Roman" w:cs="Segoe UI"/>
          <w:color w:val="000000"/>
          <w:sz w:val="24"/>
          <w:szCs w:val="24"/>
        </w:rPr>
        <w:t xml:space="preserve"> подали апеляційні та касаційні заяви на ухвали судів, які на думку учасників процесу націоналізації, є неправ</w:t>
      </w:r>
      <w:r w:rsidRPr="00ED315F">
        <w:rPr>
          <w:rFonts w:ascii="Times New Roman" w:eastAsia="Calibri" w:hAnsi="Times New Roman" w:cs="Segoe UI"/>
          <w:color w:val="000000"/>
          <w:sz w:val="24"/>
          <w:szCs w:val="24"/>
        </w:rPr>
        <w:t>о</w:t>
      </w:r>
      <w:r w:rsidR="009C0CBC" w:rsidRPr="00ED315F">
        <w:rPr>
          <w:rFonts w:ascii="Times New Roman" w:eastAsia="Calibri" w:hAnsi="Times New Roman" w:cs="Segoe UI"/>
          <w:color w:val="000000"/>
          <w:sz w:val="24"/>
          <w:szCs w:val="24"/>
        </w:rPr>
        <w:t>мірними</w:t>
      </w:r>
      <w:r w:rsidR="00AE07C3" w:rsidRPr="00ED315F">
        <w:rPr>
          <w:rFonts w:ascii="Times New Roman" w:eastAsia="Calibri" w:hAnsi="Times New Roman" w:cs="Segoe UI"/>
          <w:color w:val="000000"/>
          <w:sz w:val="24"/>
          <w:szCs w:val="24"/>
        </w:rPr>
        <w:t>;</w:t>
      </w:r>
    </w:p>
    <w:p w:rsidR="009C0CBC" w:rsidRPr="00C95A17" w:rsidRDefault="00161396" w:rsidP="00161396">
      <w:pPr>
        <w:pStyle w:val="a4"/>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 </w:t>
      </w:r>
      <w:r w:rsidR="00AE07C3" w:rsidRPr="00C95A17">
        <w:rPr>
          <w:rFonts w:ascii="Times New Roman" w:eastAsia="Calibri" w:hAnsi="Times New Roman" w:cs="Segoe UI"/>
          <w:color w:val="000000"/>
          <w:sz w:val="24"/>
          <w:szCs w:val="24"/>
        </w:rPr>
        <w:t>ризики, пов</w:t>
      </w:r>
      <w:r w:rsidR="00AE07C3" w:rsidRPr="00C95A17">
        <w:rPr>
          <w:rFonts w:ascii="Times New Roman" w:eastAsia="Calibri" w:hAnsi="Times New Roman" w:cs="Segoe UI"/>
          <w:color w:val="000000"/>
          <w:sz w:val="24"/>
          <w:szCs w:val="24"/>
          <w:lang w:val="ru-RU"/>
        </w:rPr>
        <w:t>’</w:t>
      </w:r>
      <w:r w:rsidR="00AE07C3" w:rsidRPr="00C95A17">
        <w:rPr>
          <w:rFonts w:ascii="Times New Roman" w:eastAsia="Calibri" w:hAnsi="Times New Roman" w:cs="Segoe UI"/>
          <w:color w:val="000000"/>
          <w:sz w:val="24"/>
          <w:szCs w:val="24"/>
        </w:rPr>
        <w:t>язані з обов</w:t>
      </w:r>
      <w:r w:rsidR="00AE07C3" w:rsidRPr="00C95A17">
        <w:rPr>
          <w:rFonts w:ascii="Times New Roman" w:eastAsia="Calibri" w:hAnsi="Times New Roman" w:cs="Segoe UI"/>
          <w:color w:val="000000"/>
          <w:sz w:val="24"/>
          <w:szCs w:val="24"/>
          <w:lang w:val="ru-RU"/>
        </w:rPr>
        <w:t>’</w:t>
      </w:r>
      <w:r w:rsidR="00AE07C3" w:rsidRPr="00C95A17">
        <w:rPr>
          <w:rFonts w:ascii="Times New Roman" w:eastAsia="Calibri" w:hAnsi="Times New Roman" w:cs="Segoe UI"/>
          <w:color w:val="000000"/>
          <w:sz w:val="24"/>
          <w:szCs w:val="24"/>
        </w:rPr>
        <w:t>язком державних банків виплачувати дивіденди. Так, протягом 2020-2021 років, державним банкам необхідно сформувати буфери запасу (консервації) капіталу та буферу системної важливості. Перерахування державними банками дивідендів не дозволить їм сформувати ці буфери, а отже призведе до невиконання ними у майбутньому вимог до д</w:t>
      </w:r>
      <w:r w:rsidR="00C066FC" w:rsidRPr="00C95A17">
        <w:rPr>
          <w:rFonts w:ascii="Times New Roman" w:eastAsia="Calibri" w:hAnsi="Times New Roman" w:cs="Segoe UI"/>
          <w:color w:val="000000"/>
          <w:sz w:val="24"/>
          <w:szCs w:val="24"/>
        </w:rPr>
        <w:t>остатності капіталу;</w:t>
      </w:r>
    </w:p>
    <w:p w:rsidR="00C066FC" w:rsidRPr="00ED315F" w:rsidRDefault="00E66DE5" w:rsidP="00161396">
      <w:pPr>
        <w:pStyle w:val="a4"/>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відповідно до результатів оцінки стійкості державних банків, проведеної у </w:t>
      </w:r>
      <w:r w:rsidR="00ED315F">
        <w:rPr>
          <w:rFonts w:ascii="Times New Roman" w:eastAsia="Calibri" w:hAnsi="Times New Roman" w:cs="Segoe UI"/>
          <w:color w:val="000000"/>
          <w:sz w:val="24"/>
          <w:szCs w:val="24"/>
        </w:rPr>
        <w:br/>
      </w:r>
      <w:r w:rsidRPr="00ED315F">
        <w:rPr>
          <w:rFonts w:ascii="Times New Roman" w:eastAsia="Calibri" w:hAnsi="Times New Roman" w:cs="Segoe UI"/>
          <w:color w:val="000000"/>
          <w:sz w:val="24"/>
          <w:szCs w:val="24"/>
        </w:rPr>
        <w:t>2018 році, у разі реалізації несприятливого макроекономічного сценарію може виникнути потреба у капіталі для АТ «Ощадбанк» та АТ «Укрексімбанк».</w:t>
      </w:r>
    </w:p>
    <w:p w:rsidR="00AE07C3" w:rsidRPr="00ED315F" w:rsidRDefault="0040741B" w:rsidP="0040741B">
      <w:pPr>
        <w:pStyle w:val="a4"/>
        <w:tabs>
          <w:tab w:val="left" w:pos="993"/>
        </w:tabs>
        <w:autoSpaceDE w:val="0"/>
        <w:autoSpaceDN w:val="0"/>
        <w:adjustRightInd w:val="0"/>
        <w:spacing w:after="0" w:line="240" w:lineRule="auto"/>
        <w:ind w:left="0" w:firstLine="709"/>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Крім того, за оцінками Фонду гарантування вкладів фізичних осіб збільшення витрат держави на підтримку системи гарантування вкладів фізичних осіб у зв’язку з визнанням неплатоспроможності банків у період 2020-2022 роки може становити максимально </w:t>
      </w:r>
      <w:r w:rsidR="00ED315F">
        <w:rPr>
          <w:rFonts w:ascii="Times New Roman" w:eastAsia="Calibri" w:hAnsi="Times New Roman" w:cs="Segoe UI"/>
          <w:color w:val="000000"/>
          <w:sz w:val="24"/>
          <w:szCs w:val="24"/>
        </w:rPr>
        <w:br/>
      </w:r>
      <w:r w:rsidRPr="00ED315F">
        <w:rPr>
          <w:rFonts w:ascii="Times New Roman" w:eastAsia="Calibri" w:hAnsi="Times New Roman" w:cs="Segoe UI"/>
          <w:color w:val="000000"/>
          <w:sz w:val="24"/>
          <w:szCs w:val="24"/>
        </w:rPr>
        <w:t>3,4 млрд гривень.</w:t>
      </w:r>
    </w:p>
    <w:p w:rsidR="00C95A17" w:rsidRPr="00C95A17" w:rsidRDefault="00C95A17" w:rsidP="003F516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Pr>
          <w:rFonts w:ascii="Times New Roman" w:eastAsia="Calibri" w:hAnsi="Times New Roman" w:cs="Segoe UI"/>
          <w:color w:val="000000"/>
          <w:sz w:val="24"/>
          <w:szCs w:val="24"/>
        </w:rPr>
        <w:t>З метою забезпечення формування регуляторних вимог та формування захисних буферів капіталу банки повинні вживати заходів, спрямованих на зменшення НПА у існуючому портфелі за рахунок активного включення наглядових рад в роботу та використання усього наявного інструментарію</w:t>
      </w:r>
      <w:r w:rsidR="00D56755">
        <w:rPr>
          <w:rFonts w:ascii="Times New Roman" w:eastAsia="Calibri" w:hAnsi="Times New Roman" w:cs="Segoe UI"/>
          <w:color w:val="000000"/>
          <w:sz w:val="24"/>
          <w:szCs w:val="24"/>
        </w:rPr>
        <w:t xml:space="preserve"> </w:t>
      </w:r>
      <w:r>
        <w:rPr>
          <w:rFonts w:ascii="Times New Roman" w:eastAsia="Calibri" w:hAnsi="Times New Roman" w:cs="Segoe UI"/>
          <w:color w:val="000000"/>
          <w:sz w:val="24"/>
          <w:szCs w:val="24"/>
        </w:rPr>
        <w:t xml:space="preserve">по врегулюванню такої заборгованості, а також мінімізувати виникнення додаткового </w:t>
      </w:r>
      <w:r w:rsidR="00561078">
        <w:rPr>
          <w:rFonts w:ascii="Times New Roman" w:eastAsia="Calibri" w:hAnsi="Times New Roman" w:cs="Segoe UI"/>
          <w:color w:val="000000"/>
          <w:sz w:val="24"/>
          <w:szCs w:val="24"/>
        </w:rPr>
        <w:t xml:space="preserve">НПА </w:t>
      </w:r>
      <w:r>
        <w:rPr>
          <w:rFonts w:ascii="Times New Roman" w:eastAsia="Calibri" w:hAnsi="Times New Roman" w:cs="Segoe UI"/>
          <w:color w:val="000000"/>
          <w:sz w:val="24"/>
          <w:szCs w:val="24"/>
        </w:rPr>
        <w:t xml:space="preserve">з </w:t>
      </w:r>
      <w:r w:rsidR="00561078">
        <w:rPr>
          <w:rFonts w:ascii="Times New Roman" w:eastAsia="Calibri" w:hAnsi="Times New Roman" w:cs="Segoe UI"/>
          <w:color w:val="000000"/>
          <w:sz w:val="24"/>
          <w:szCs w:val="24"/>
        </w:rPr>
        <w:t xml:space="preserve">наявного </w:t>
      </w:r>
      <w:r>
        <w:rPr>
          <w:rFonts w:ascii="Times New Roman" w:eastAsia="Calibri" w:hAnsi="Times New Roman" w:cs="Segoe UI"/>
          <w:color w:val="000000"/>
          <w:sz w:val="24"/>
          <w:szCs w:val="24"/>
        </w:rPr>
        <w:t>«здорового» портфеля, а також шляхом підвищення операційної ефективності.</w:t>
      </w:r>
    </w:p>
    <w:p w:rsidR="00ED315F" w:rsidRDefault="00C95A17" w:rsidP="003F516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Pr>
          <w:rFonts w:ascii="Times New Roman" w:eastAsia="Calibri" w:hAnsi="Times New Roman" w:cs="Segoe UI"/>
          <w:color w:val="000000"/>
          <w:sz w:val="24"/>
          <w:szCs w:val="24"/>
        </w:rPr>
        <w:t>Також, в</w:t>
      </w:r>
      <w:r w:rsidR="000E111E" w:rsidRPr="00ED315F">
        <w:rPr>
          <w:rFonts w:ascii="Times New Roman" w:eastAsia="Calibri" w:hAnsi="Times New Roman" w:cs="Segoe UI"/>
          <w:color w:val="000000"/>
          <w:sz w:val="24"/>
          <w:szCs w:val="24"/>
        </w:rPr>
        <w:t xml:space="preserve"> подальшому з метою мінімізації впливу на показники державного бюджету фіскальних ризиків, пов’язаних із функціонуванням фінансового сектору, є необхідним</w:t>
      </w:r>
      <w:r w:rsidR="00ED315F">
        <w:rPr>
          <w:rFonts w:ascii="Times New Roman" w:eastAsia="Calibri" w:hAnsi="Times New Roman" w:cs="Segoe UI"/>
          <w:color w:val="000000"/>
          <w:sz w:val="24"/>
          <w:szCs w:val="24"/>
        </w:rPr>
        <w:t>:</w:t>
      </w:r>
    </w:p>
    <w:p w:rsidR="00ED315F" w:rsidRPr="00ED315F" w:rsidRDefault="000E111E"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забезпечення реалізації стратегії розвитку державних банків, </w:t>
      </w:r>
    </w:p>
    <w:p w:rsidR="00ED315F" w:rsidRPr="00ED315F" w:rsidRDefault="000E111E"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 xml:space="preserve">поступове скорочення частки держави в банківському секторі, </w:t>
      </w:r>
    </w:p>
    <w:p w:rsidR="00ED315F" w:rsidRPr="00ED315F" w:rsidRDefault="000E111E"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впровадження ефективних механізмів для роботи з непрацюючими кредитами,</w:t>
      </w:r>
    </w:p>
    <w:p w:rsidR="00ED315F" w:rsidRPr="00ED315F" w:rsidRDefault="00050E47"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забезпечення контролю кредитних ризиків та ефективного банківського нагляду</w:t>
      </w:r>
    </w:p>
    <w:p w:rsidR="00ED315F" w:rsidRPr="00ED315F" w:rsidRDefault="000E111E"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продовж</w:t>
      </w:r>
      <w:r w:rsidR="00050E47" w:rsidRPr="00ED315F">
        <w:rPr>
          <w:rFonts w:ascii="Times New Roman" w:eastAsia="Calibri" w:hAnsi="Times New Roman" w:cs="Segoe UI"/>
          <w:color w:val="000000"/>
          <w:sz w:val="24"/>
          <w:szCs w:val="24"/>
        </w:rPr>
        <w:t>ення</w:t>
      </w:r>
      <w:r w:rsidRPr="00ED315F">
        <w:rPr>
          <w:rFonts w:ascii="Times New Roman" w:eastAsia="Calibri" w:hAnsi="Times New Roman" w:cs="Segoe UI"/>
          <w:color w:val="000000"/>
          <w:sz w:val="24"/>
          <w:szCs w:val="24"/>
        </w:rPr>
        <w:t xml:space="preserve"> запровадження макропруденційних нормативів, які спрямовані на посилення стійкості банківської системи до можливих шоків</w:t>
      </w:r>
      <w:r w:rsidR="00050E47" w:rsidRPr="00ED315F">
        <w:rPr>
          <w:rFonts w:ascii="Times New Roman" w:eastAsia="Calibri" w:hAnsi="Times New Roman" w:cs="Segoe UI"/>
          <w:color w:val="000000"/>
          <w:sz w:val="24"/>
          <w:szCs w:val="24"/>
        </w:rPr>
        <w:t xml:space="preserve">, </w:t>
      </w:r>
    </w:p>
    <w:p w:rsidR="00C3507C" w:rsidRPr="00ED315F" w:rsidRDefault="00050E47" w:rsidP="00ED315F">
      <w:pPr>
        <w:pStyle w:val="a4"/>
        <w:numPr>
          <w:ilvl w:val="0"/>
          <w:numId w:val="24"/>
        </w:numPr>
        <w:autoSpaceDE w:val="0"/>
        <w:autoSpaceDN w:val="0"/>
        <w:adjustRightInd w:val="0"/>
        <w:spacing w:after="0" w:line="240" w:lineRule="auto"/>
        <w:jc w:val="both"/>
        <w:rPr>
          <w:rFonts w:ascii="Times New Roman" w:eastAsia="Calibri" w:hAnsi="Times New Roman" w:cs="Segoe UI"/>
          <w:color w:val="000000"/>
          <w:sz w:val="24"/>
          <w:szCs w:val="24"/>
        </w:rPr>
      </w:pPr>
      <w:r w:rsidRPr="00ED315F">
        <w:rPr>
          <w:rFonts w:ascii="Times New Roman" w:eastAsia="Calibri" w:hAnsi="Times New Roman" w:cs="Segoe UI"/>
          <w:color w:val="000000"/>
          <w:sz w:val="24"/>
          <w:szCs w:val="24"/>
        </w:rPr>
        <w:t>впровадження інших інструментів запобігання системним банківським кризам.</w:t>
      </w:r>
    </w:p>
    <w:p w:rsidR="00A56F2F" w:rsidRPr="00A801C9" w:rsidRDefault="00A56F2F" w:rsidP="00594FDE">
      <w:pPr>
        <w:pStyle w:val="1"/>
        <w:spacing w:after="120"/>
        <w:jc w:val="center"/>
        <w:rPr>
          <w:rFonts w:eastAsia="Calibri"/>
        </w:rPr>
      </w:pPr>
      <w:bookmarkStart w:id="14" w:name="_Toc19289908"/>
      <w:r w:rsidRPr="00594FDE">
        <w:rPr>
          <w:b/>
          <w:sz w:val="28"/>
        </w:rPr>
        <w:t>ФІСКАЛЬНІ РИЗИКИ, ПОВ’ЯЗАНІ ІЗ ЛІКВІДАЦІЄЮ НАСЛІДКІВ НАДЗВИЧАЙНИХ СИТУАЦІЙ ТЕХНОГЕННОГО, ПРИРОДНОГО ТА ІНШОГО ХАРАКТЕРУ</w:t>
      </w:r>
      <w:bookmarkEnd w:id="14"/>
    </w:p>
    <w:p w:rsidR="00A56F2F" w:rsidRPr="00A801C9" w:rsidRDefault="00445808" w:rsidP="00C45F2E">
      <w:pPr>
        <w:autoSpaceDE w:val="0"/>
        <w:autoSpaceDN w:val="0"/>
        <w:adjustRightInd w:val="0"/>
        <w:spacing w:after="0" w:line="240" w:lineRule="auto"/>
        <w:ind w:firstLine="709"/>
        <w:jc w:val="both"/>
        <w:rPr>
          <w:rFonts w:ascii="Times New Roman" w:eastAsia="Calibri" w:hAnsi="Times New Roman" w:cs="Segoe UI"/>
          <w:color w:val="000000"/>
          <w:sz w:val="24"/>
          <w:szCs w:val="24"/>
        </w:rPr>
      </w:pPr>
      <w:r w:rsidRPr="00A801C9">
        <w:rPr>
          <w:rFonts w:ascii="Times New Roman" w:eastAsia="Calibri" w:hAnsi="Times New Roman" w:cs="Segoe UI"/>
          <w:color w:val="000000"/>
          <w:sz w:val="24"/>
          <w:szCs w:val="24"/>
        </w:rPr>
        <w:t>За оцінкою Державної служби з надзвичайних ситуацій, у 2020 році імовірність настання фіскальн</w:t>
      </w:r>
      <w:r w:rsidR="003926AC" w:rsidRPr="00A801C9">
        <w:rPr>
          <w:rFonts w:ascii="Times New Roman" w:eastAsia="Calibri" w:hAnsi="Times New Roman" w:cs="Segoe UI"/>
          <w:color w:val="000000"/>
          <w:sz w:val="24"/>
          <w:szCs w:val="24"/>
        </w:rPr>
        <w:t>их</w:t>
      </w:r>
      <w:r w:rsidRPr="00A801C9">
        <w:rPr>
          <w:rFonts w:ascii="Times New Roman" w:eastAsia="Calibri" w:hAnsi="Times New Roman" w:cs="Segoe UI"/>
          <w:color w:val="000000"/>
          <w:sz w:val="24"/>
          <w:szCs w:val="24"/>
        </w:rPr>
        <w:t xml:space="preserve"> ризик</w:t>
      </w:r>
      <w:r w:rsidR="003926AC" w:rsidRPr="00A801C9">
        <w:rPr>
          <w:rFonts w:ascii="Times New Roman" w:eastAsia="Calibri" w:hAnsi="Times New Roman" w:cs="Segoe UI"/>
          <w:color w:val="000000"/>
          <w:sz w:val="24"/>
          <w:szCs w:val="24"/>
        </w:rPr>
        <w:t>ів</w:t>
      </w:r>
      <w:r w:rsidRPr="00A801C9">
        <w:rPr>
          <w:rFonts w:ascii="Times New Roman" w:eastAsia="Calibri" w:hAnsi="Times New Roman" w:cs="Segoe UI"/>
          <w:color w:val="000000"/>
          <w:sz w:val="24"/>
          <w:szCs w:val="24"/>
        </w:rPr>
        <w:t>, пов’язан</w:t>
      </w:r>
      <w:r w:rsidR="003926AC" w:rsidRPr="00A801C9">
        <w:rPr>
          <w:rFonts w:ascii="Times New Roman" w:eastAsia="Calibri" w:hAnsi="Times New Roman" w:cs="Segoe UI"/>
          <w:color w:val="000000"/>
          <w:sz w:val="24"/>
          <w:szCs w:val="24"/>
        </w:rPr>
        <w:t>их</w:t>
      </w:r>
      <w:r w:rsidRPr="00A801C9">
        <w:rPr>
          <w:rFonts w:ascii="Times New Roman" w:eastAsia="Calibri" w:hAnsi="Times New Roman" w:cs="Segoe UI"/>
          <w:color w:val="000000"/>
          <w:sz w:val="24"/>
          <w:szCs w:val="24"/>
        </w:rPr>
        <w:t xml:space="preserve"> із ліквідацією наслідків надзвичайних ситуацій є низькою. </w:t>
      </w:r>
    </w:p>
    <w:p w:rsidR="00AF6ADD" w:rsidRPr="00A801C9" w:rsidRDefault="00C45F2E" w:rsidP="00C45F2E">
      <w:pPr>
        <w:pStyle w:val="ad"/>
        <w:spacing w:before="0"/>
        <w:ind w:firstLine="709"/>
        <w:jc w:val="both"/>
        <w:rPr>
          <w:rFonts w:ascii="Times New Roman" w:hAnsi="Times New Roman"/>
          <w:sz w:val="24"/>
          <w:szCs w:val="24"/>
        </w:rPr>
      </w:pPr>
      <w:r w:rsidRPr="00A801C9">
        <w:rPr>
          <w:rFonts w:ascii="Times New Roman" w:hAnsi="Times New Roman"/>
          <w:sz w:val="24"/>
          <w:szCs w:val="24"/>
        </w:rPr>
        <w:t>Так, з</w:t>
      </w:r>
      <w:r w:rsidR="00AF6ADD" w:rsidRPr="00A801C9">
        <w:rPr>
          <w:rFonts w:ascii="Times New Roman" w:hAnsi="Times New Roman"/>
          <w:sz w:val="24"/>
          <w:szCs w:val="24"/>
        </w:rPr>
        <w:t>а даними останніх 10 років спостережень в Україні щороку в середньому реєструється: 180 – 190 надзвичайних ситуацій (далі – НС), збитки від як</w:t>
      </w:r>
      <w:r w:rsidRPr="00A801C9">
        <w:rPr>
          <w:rFonts w:ascii="Times New Roman" w:hAnsi="Times New Roman"/>
          <w:sz w:val="24"/>
          <w:szCs w:val="24"/>
        </w:rPr>
        <w:t>их становлять близько 500 млн</w:t>
      </w:r>
      <w:r w:rsidR="00AF6ADD" w:rsidRPr="00A801C9">
        <w:rPr>
          <w:rFonts w:ascii="Times New Roman" w:hAnsi="Times New Roman"/>
          <w:sz w:val="24"/>
          <w:szCs w:val="24"/>
        </w:rPr>
        <w:t xml:space="preserve"> грн на рік (мінімальна сума збитків завданих НС – 102,75 млн грн у </w:t>
      </w:r>
      <w:r w:rsidR="00A801C9">
        <w:rPr>
          <w:rFonts w:ascii="Times New Roman" w:hAnsi="Times New Roman"/>
          <w:sz w:val="24"/>
          <w:szCs w:val="24"/>
        </w:rPr>
        <w:br/>
      </w:r>
      <w:r w:rsidR="00AF6ADD" w:rsidRPr="00A801C9">
        <w:rPr>
          <w:rFonts w:ascii="Times New Roman" w:hAnsi="Times New Roman"/>
          <w:sz w:val="24"/>
          <w:szCs w:val="24"/>
        </w:rPr>
        <w:t>2011 році, максимальна – 984,7 млн грн у 2010 році).</w:t>
      </w:r>
    </w:p>
    <w:p w:rsidR="00AF6ADD" w:rsidRPr="00A801C9" w:rsidRDefault="00AF6ADD" w:rsidP="00C45F2E">
      <w:pPr>
        <w:pStyle w:val="ad"/>
        <w:spacing w:before="0"/>
        <w:ind w:firstLine="709"/>
        <w:jc w:val="both"/>
        <w:rPr>
          <w:rFonts w:ascii="Times New Roman" w:hAnsi="Times New Roman"/>
          <w:sz w:val="24"/>
          <w:szCs w:val="24"/>
        </w:rPr>
      </w:pPr>
      <w:r w:rsidRPr="00A801C9">
        <w:rPr>
          <w:rFonts w:ascii="Times New Roman" w:hAnsi="Times New Roman"/>
          <w:sz w:val="24"/>
          <w:szCs w:val="24"/>
        </w:rPr>
        <w:t>Розподіл матеріальних втрат від НС знаходиться в дуже широкому діапазоні і не має кореляції з кількістю НС. Зокрема, у 2018 році Україна зазнала збитків від НС на суму близько 500 млн грн (що на 44,2% менше проти 2017 року), і більшість цих втрат припадає на надзвичайні ситуації природного характеру, а саме гідрометеорологічні НС</w:t>
      </w:r>
      <w:r w:rsidR="00C45F2E" w:rsidRPr="00A801C9">
        <w:rPr>
          <w:rFonts w:ascii="Times New Roman" w:hAnsi="Times New Roman"/>
          <w:sz w:val="24"/>
          <w:szCs w:val="24"/>
        </w:rPr>
        <w:t>.</w:t>
      </w:r>
    </w:p>
    <w:p w:rsidR="00AF6ADD" w:rsidRPr="00A801C9" w:rsidRDefault="00AF6ADD" w:rsidP="00C45F2E">
      <w:pPr>
        <w:pStyle w:val="ad"/>
        <w:spacing w:before="0"/>
        <w:ind w:firstLine="709"/>
        <w:jc w:val="both"/>
        <w:rPr>
          <w:rFonts w:ascii="Times New Roman" w:hAnsi="Times New Roman"/>
          <w:sz w:val="24"/>
          <w:szCs w:val="24"/>
        </w:rPr>
      </w:pPr>
      <w:r w:rsidRPr="00A801C9">
        <w:rPr>
          <w:rFonts w:ascii="Times New Roman" w:hAnsi="Times New Roman"/>
          <w:sz w:val="24"/>
          <w:szCs w:val="24"/>
        </w:rPr>
        <w:t>З резервного фонду державного бюджету на ліквідацію та запобігання НС за усередненими показниками минулих періодів щороку виділяється близько 700 млн гривень</w:t>
      </w:r>
      <w:r w:rsidR="00C45F2E" w:rsidRPr="00A801C9">
        <w:rPr>
          <w:rFonts w:ascii="Times New Roman" w:hAnsi="Times New Roman"/>
          <w:sz w:val="24"/>
          <w:szCs w:val="24"/>
        </w:rPr>
        <w:t>.</w:t>
      </w:r>
    </w:p>
    <w:p w:rsidR="00AF6ADD" w:rsidRPr="00A801C9" w:rsidRDefault="00AF6ADD" w:rsidP="00C45F2E">
      <w:pPr>
        <w:pStyle w:val="ad"/>
        <w:spacing w:before="0"/>
        <w:ind w:firstLine="709"/>
        <w:jc w:val="both"/>
        <w:rPr>
          <w:rFonts w:ascii="Times New Roman" w:hAnsi="Times New Roman"/>
          <w:sz w:val="24"/>
          <w:szCs w:val="24"/>
        </w:rPr>
      </w:pPr>
      <w:r w:rsidRPr="00A801C9">
        <w:rPr>
          <w:rFonts w:ascii="Times New Roman" w:hAnsi="Times New Roman"/>
          <w:sz w:val="24"/>
          <w:szCs w:val="24"/>
        </w:rPr>
        <w:t>Аналіз небезпек і загроз техногенного та природного характеру, виникнення надзвичайних ситуацій свідчить, що за останні 10 років тенденцій до їх збільшення або зменшення не спостерігається. Стан техногенної і природної безпеки відносно стабільний.</w:t>
      </w:r>
    </w:p>
    <w:p w:rsidR="00AF6ADD" w:rsidRPr="00A801C9" w:rsidRDefault="00AF6ADD" w:rsidP="00C45F2E">
      <w:pPr>
        <w:spacing w:after="0" w:line="240" w:lineRule="auto"/>
        <w:ind w:firstLine="709"/>
        <w:jc w:val="both"/>
        <w:rPr>
          <w:rFonts w:ascii="Times New Roman" w:eastAsia="Times New Roman" w:hAnsi="Times New Roman" w:cs="Times New Roman"/>
          <w:sz w:val="24"/>
          <w:szCs w:val="24"/>
          <w:lang w:eastAsia="ru-RU"/>
        </w:rPr>
      </w:pPr>
      <w:r w:rsidRPr="00A801C9">
        <w:rPr>
          <w:rFonts w:ascii="Times New Roman" w:eastAsia="Times New Roman" w:hAnsi="Times New Roman" w:cs="Times New Roman"/>
          <w:sz w:val="24"/>
          <w:szCs w:val="24"/>
          <w:lang w:eastAsia="ru-RU"/>
        </w:rPr>
        <w:t>Розрахований прогноз основної тенденції показує, що у 2019 році можливе виникнення 109 НС, у 2020 році – 89 НС</w:t>
      </w:r>
      <w:r w:rsidR="00C45F2E" w:rsidRPr="00A801C9">
        <w:rPr>
          <w:rFonts w:ascii="Times New Roman" w:eastAsia="Times New Roman" w:hAnsi="Times New Roman" w:cs="Times New Roman"/>
          <w:sz w:val="24"/>
          <w:szCs w:val="24"/>
          <w:lang w:eastAsia="ru-RU"/>
        </w:rPr>
        <w:t>.</w:t>
      </w:r>
      <w:r w:rsidRPr="00A801C9">
        <w:rPr>
          <w:rFonts w:ascii="Times New Roman" w:eastAsia="Times New Roman" w:hAnsi="Times New Roman" w:cs="Times New Roman"/>
          <w:sz w:val="24"/>
          <w:szCs w:val="24"/>
          <w:lang w:eastAsia="ru-RU"/>
        </w:rPr>
        <w:t xml:space="preserve"> </w:t>
      </w:r>
      <w:r w:rsidR="00C45F2E" w:rsidRPr="00A801C9">
        <w:rPr>
          <w:rFonts w:ascii="Times New Roman" w:eastAsia="Times New Roman" w:hAnsi="Times New Roman" w:cs="Times New Roman"/>
          <w:sz w:val="24"/>
          <w:szCs w:val="24"/>
          <w:lang w:eastAsia="ru-RU"/>
        </w:rPr>
        <w:t>П</w:t>
      </w:r>
      <w:r w:rsidRPr="00A801C9">
        <w:rPr>
          <w:rFonts w:ascii="Times New Roman" w:eastAsia="Times New Roman" w:hAnsi="Times New Roman" w:cs="Times New Roman"/>
          <w:sz w:val="24"/>
          <w:szCs w:val="24"/>
          <w:lang w:eastAsia="ru-RU"/>
        </w:rPr>
        <w:t>есимістичний прогноз вказує, що можлива кількість НС може досягти 180 НС у 2019 році, 183 НС – 2020 році.</w:t>
      </w:r>
    </w:p>
    <w:p w:rsidR="00AF6ADD" w:rsidRPr="00A801C9" w:rsidRDefault="00AF6ADD" w:rsidP="00C45F2E">
      <w:pPr>
        <w:spacing w:after="0" w:line="240" w:lineRule="auto"/>
        <w:ind w:firstLine="709"/>
        <w:jc w:val="both"/>
        <w:rPr>
          <w:rFonts w:ascii="Times New Roman" w:eastAsia="Times New Roman" w:hAnsi="Times New Roman" w:cs="Times New Roman"/>
          <w:sz w:val="24"/>
          <w:szCs w:val="24"/>
          <w:lang w:eastAsia="ru-RU"/>
        </w:rPr>
      </w:pPr>
      <w:r w:rsidRPr="00A801C9">
        <w:rPr>
          <w:rFonts w:ascii="Times New Roman" w:eastAsia="Times New Roman" w:hAnsi="Times New Roman" w:cs="Times New Roman"/>
          <w:sz w:val="24"/>
          <w:szCs w:val="24"/>
          <w:lang w:eastAsia="ru-RU"/>
        </w:rPr>
        <w:t>При цьому враховуючі різні сценарії прогнозу кількість НС природного характеру знаходитиметься в діапазоні 74 – 117 НС у 2019 році, 68 – 126 НС у 2020 році, а кількість НС техногенного характеру – в діапазоні 33 – 75 НС у 2019 році, 21 – 73 НС у 2020 році</w:t>
      </w:r>
      <w:r w:rsidR="00C45F2E" w:rsidRPr="00A801C9">
        <w:rPr>
          <w:rFonts w:ascii="Times New Roman" w:eastAsia="Times New Roman" w:hAnsi="Times New Roman" w:cs="Times New Roman"/>
          <w:sz w:val="24"/>
          <w:szCs w:val="24"/>
          <w:lang w:eastAsia="ru-RU"/>
        </w:rPr>
        <w:t>.</w:t>
      </w:r>
    </w:p>
    <w:p w:rsidR="00AF6ADD" w:rsidRPr="00A801C9" w:rsidRDefault="00AF6ADD" w:rsidP="00C45F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01C9">
        <w:rPr>
          <w:rFonts w:ascii="Times New Roman" w:eastAsia="Times New Roman" w:hAnsi="Times New Roman" w:cs="Times New Roman"/>
          <w:sz w:val="24"/>
          <w:szCs w:val="24"/>
          <w:lang w:eastAsia="ru-RU"/>
        </w:rPr>
        <w:t>За статистичними даними останніх 10 років в середньому однією НС завдається збитків на суму близько 2,5 млн гривень</w:t>
      </w:r>
      <w:r w:rsidR="00C45F2E" w:rsidRPr="00A801C9">
        <w:rPr>
          <w:rFonts w:ascii="Times New Roman" w:eastAsia="Times New Roman" w:hAnsi="Times New Roman" w:cs="Times New Roman"/>
          <w:sz w:val="24"/>
          <w:szCs w:val="24"/>
          <w:lang w:eastAsia="ru-RU"/>
        </w:rPr>
        <w:t>.</w:t>
      </w:r>
    </w:p>
    <w:p w:rsidR="00C45F2E" w:rsidRPr="00A801C9" w:rsidRDefault="00C45F2E" w:rsidP="00C45F2E">
      <w:pPr>
        <w:autoSpaceDE w:val="0"/>
        <w:autoSpaceDN w:val="0"/>
        <w:adjustRightInd w:val="0"/>
        <w:spacing w:after="0" w:line="240" w:lineRule="auto"/>
        <w:ind w:firstLine="709"/>
        <w:jc w:val="both"/>
        <w:rPr>
          <w:rFonts w:ascii="Times New Roman" w:hAnsi="Times New Roman"/>
          <w:sz w:val="24"/>
          <w:szCs w:val="24"/>
        </w:rPr>
      </w:pPr>
      <w:r w:rsidRPr="00A801C9">
        <w:rPr>
          <w:rFonts w:ascii="Times New Roman" w:hAnsi="Times New Roman"/>
          <w:sz w:val="24"/>
          <w:szCs w:val="24"/>
        </w:rPr>
        <w:t xml:space="preserve">З метою запобігання виникненню надзвичайних ситуацій </w:t>
      </w:r>
      <w:r w:rsidRPr="00A801C9">
        <w:rPr>
          <w:rFonts w:ascii="Times New Roman" w:eastAsia="Calibri" w:hAnsi="Times New Roman" w:cs="Segoe UI"/>
          <w:color w:val="000000"/>
          <w:sz w:val="24"/>
          <w:szCs w:val="24"/>
        </w:rPr>
        <w:t>Державна служба з надзвичайних ситуацій</w:t>
      </w:r>
      <w:r w:rsidRPr="00A801C9">
        <w:rPr>
          <w:rFonts w:ascii="Times New Roman" w:hAnsi="Times New Roman"/>
          <w:sz w:val="24"/>
          <w:szCs w:val="24"/>
        </w:rPr>
        <w:t xml:space="preserve"> спільно із центральними та місцевими органами виконавчої влади здійснює прогнозування імовірності виникнення НС; забезпечує в межах повноважень проведення навчань і тренувань з питань цивільного захисту; залучення гуманітарної та міжнародної допомоги тощо.</w:t>
      </w:r>
    </w:p>
    <w:p w:rsidR="00C45F2E" w:rsidRPr="00AF6ADD" w:rsidRDefault="00C45F2E" w:rsidP="00AF6ADD">
      <w:pPr>
        <w:autoSpaceDE w:val="0"/>
        <w:autoSpaceDN w:val="0"/>
        <w:adjustRightInd w:val="0"/>
        <w:spacing w:after="0" w:line="240" w:lineRule="auto"/>
        <w:ind w:firstLine="709"/>
        <w:jc w:val="both"/>
        <w:rPr>
          <w:rFonts w:ascii="Times New Roman" w:eastAsia="Calibri" w:hAnsi="Times New Roman" w:cs="Segoe UI"/>
          <w:color w:val="000000"/>
          <w:sz w:val="28"/>
          <w:szCs w:val="28"/>
        </w:rPr>
      </w:pPr>
    </w:p>
    <w:sectPr w:rsidR="00C45F2E" w:rsidRPr="00AF6ADD" w:rsidSect="00D77414">
      <w:headerReference w:type="default" r:id="rId19"/>
      <w:pgSz w:w="11906" w:h="16838" w:code="9"/>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C6" w:rsidRDefault="00DA1BC6" w:rsidP="006D72BE">
      <w:pPr>
        <w:spacing w:after="0" w:line="240" w:lineRule="auto"/>
      </w:pPr>
      <w:r>
        <w:separator/>
      </w:r>
    </w:p>
  </w:endnote>
  <w:endnote w:type="continuationSeparator" w:id="0">
    <w:p w:rsidR="00DA1BC6" w:rsidRDefault="00DA1BC6" w:rsidP="006D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C6" w:rsidRDefault="00DA1BC6" w:rsidP="006D72BE">
      <w:pPr>
        <w:spacing w:after="0" w:line="240" w:lineRule="auto"/>
      </w:pPr>
      <w:r>
        <w:separator/>
      </w:r>
    </w:p>
  </w:footnote>
  <w:footnote w:type="continuationSeparator" w:id="0">
    <w:p w:rsidR="00DA1BC6" w:rsidRDefault="00DA1BC6" w:rsidP="006D72BE">
      <w:pPr>
        <w:spacing w:after="0" w:line="240" w:lineRule="auto"/>
      </w:pPr>
      <w:r>
        <w:continuationSeparator/>
      </w:r>
    </w:p>
  </w:footnote>
  <w:footnote w:id="1">
    <w:p w:rsidR="00203046" w:rsidRPr="00F07867" w:rsidRDefault="00203046" w:rsidP="009053AF">
      <w:pPr>
        <w:pStyle w:val="af3"/>
        <w:rPr>
          <w:lang w:val="uk-UA"/>
        </w:rPr>
      </w:pPr>
      <w:r w:rsidRPr="002C30BF">
        <w:rPr>
          <w:rStyle w:val="af5"/>
          <w:sz w:val="16"/>
        </w:rPr>
        <w:footnoteRef/>
      </w:r>
      <w:r w:rsidRPr="002C30BF">
        <w:rPr>
          <w:sz w:val="16"/>
          <w:lang w:val="ru-RU"/>
        </w:rPr>
        <w:t xml:space="preserve"> </w:t>
      </w:r>
      <w:r>
        <w:rPr>
          <w:sz w:val="16"/>
          <w:lang w:val="ru-RU"/>
        </w:rPr>
        <w:t>З</w:t>
      </w:r>
      <w:r w:rsidRPr="002C30BF">
        <w:rPr>
          <w:rFonts w:ascii="Times New Roman" w:hAnsi="Times New Roman" w:cs="Times New Roman"/>
          <w:szCs w:val="24"/>
          <w:lang w:val="uk-UA"/>
        </w:rPr>
        <w:t>атверджено постановою КМУ від 15.05.2019р. № 555.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11704"/>
      <w:docPartObj>
        <w:docPartGallery w:val="Page Numbers (Top of Page)"/>
        <w:docPartUnique/>
      </w:docPartObj>
    </w:sdtPr>
    <w:sdtEndPr>
      <w:rPr>
        <w:noProof/>
      </w:rPr>
    </w:sdtEndPr>
    <w:sdtContent>
      <w:p w:rsidR="00203046" w:rsidRDefault="00203046" w:rsidP="003130A5">
        <w:pPr>
          <w:pStyle w:val="a7"/>
          <w:jc w:val="center"/>
        </w:pPr>
        <w:r>
          <w:fldChar w:fldCharType="begin"/>
        </w:r>
        <w:r>
          <w:instrText xml:space="preserve"> PAGE   \* MERGEFORMAT </w:instrText>
        </w:r>
        <w:r>
          <w:fldChar w:fldCharType="separate"/>
        </w:r>
        <w:r w:rsidR="00D77414">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EAF"/>
    <w:multiLevelType w:val="hybridMultilevel"/>
    <w:tmpl w:val="09041908"/>
    <w:lvl w:ilvl="0" w:tplc="551694B2">
      <w:start w:val="1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5693273"/>
    <w:multiLevelType w:val="hybridMultilevel"/>
    <w:tmpl w:val="64B4B520"/>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09577ADC"/>
    <w:multiLevelType w:val="hybridMultilevel"/>
    <w:tmpl w:val="CB64744E"/>
    <w:lvl w:ilvl="0" w:tplc="8EE6B5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BD8037C"/>
    <w:multiLevelType w:val="hybridMultilevel"/>
    <w:tmpl w:val="203CFC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B565CC"/>
    <w:multiLevelType w:val="hybridMultilevel"/>
    <w:tmpl w:val="890280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4A6A26"/>
    <w:multiLevelType w:val="hybridMultilevel"/>
    <w:tmpl w:val="17C07E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A112AAC"/>
    <w:multiLevelType w:val="hybridMultilevel"/>
    <w:tmpl w:val="12EC32CA"/>
    <w:lvl w:ilvl="0" w:tplc="3A7045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00D3AD7"/>
    <w:multiLevelType w:val="hybridMultilevel"/>
    <w:tmpl w:val="1B6AF7A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43E2AA2"/>
    <w:multiLevelType w:val="hybridMultilevel"/>
    <w:tmpl w:val="ADAE85BA"/>
    <w:lvl w:ilvl="0" w:tplc="551694B2">
      <w:start w:val="10"/>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4B57FC8"/>
    <w:multiLevelType w:val="hybridMultilevel"/>
    <w:tmpl w:val="AAAABFFC"/>
    <w:lvl w:ilvl="0" w:tplc="E4EAA82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6D73A2D"/>
    <w:multiLevelType w:val="hybridMultilevel"/>
    <w:tmpl w:val="48321E22"/>
    <w:lvl w:ilvl="0" w:tplc="BE148B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97819A7"/>
    <w:multiLevelType w:val="hybridMultilevel"/>
    <w:tmpl w:val="7E5638E6"/>
    <w:lvl w:ilvl="0" w:tplc="059801C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AAB13C9"/>
    <w:multiLevelType w:val="hybridMultilevel"/>
    <w:tmpl w:val="203CFC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0F229E"/>
    <w:multiLevelType w:val="hybridMultilevel"/>
    <w:tmpl w:val="771CC9DC"/>
    <w:lvl w:ilvl="0" w:tplc="AFBA01E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4804365"/>
    <w:multiLevelType w:val="hybridMultilevel"/>
    <w:tmpl w:val="9620C47C"/>
    <w:lvl w:ilvl="0" w:tplc="F2FE93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D731F"/>
    <w:multiLevelType w:val="hybridMultilevel"/>
    <w:tmpl w:val="A3BAB610"/>
    <w:lvl w:ilvl="0" w:tplc="EA58F1C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15:restartNumberingAfterBreak="0">
    <w:nsid w:val="411F7129"/>
    <w:multiLevelType w:val="hybridMultilevel"/>
    <w:tmpl w:val="9A681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AC19D7"/>
    <w:multiLevelType w:val="hybridMultilevel"/>
    <w:tmpl w:val="165C1F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66757F"/>
    <w:multiLevelType w:val="hybridMultilevel"/>
    <w:tmpl w:val="61C8B736"/>
    <w:lvl w:ilvl="0" w:tplc="68282C4A">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7AE133D"/>
    <w:multiLevelType w:val="hybridMultilevel"/>
    <w:tmpl w:val="9A8C8B68"/>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4FCC0CE3"/>
    <w:multiLevelType w:val="hybridMultilevel"/>
    <w:tmpl w:val="29644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10876EC"/>
    <w:multiLevelType w:val="hybridMultilevel"/>
    <w:tmpl w:val="251E762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15:restartNumberingAfterBreak="0">
    <w:nsid w:val="51642C6A"/>
    <w:multiLevelType w:val="hybridMultilevel"/>
    <w:tmpl w:val="31E0AF54"/>
    <w:lvl w:ilvl="0" w:tplc="551694B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2845B17"/>
    <w:multiLevelType w:val="hybridMultilevel"/>
    <w:tmpl w:val="99803E44"/>
    <w:lvl w:ilvl="0" w:tplc="2FE61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3C91B1E"/>
    <w:multiLevelType w:val="hybridMultilevel"/>
    <w:tmpl w:val="50D67F82"/>
    <w:lvl w:ilvl="0" w:tplc="AD3E9B0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562D4760"/>
    <w:multiLevelType w:val="hybridMultilevel"/>
    <w:tmpl w:val="D1F66010"/>
    <w:lvl w:ilvl="0" w:tplc="04190001">
      <w:start w:val="1"/>
      <w:numFmt w:val="bullet"/>
      <w:lvlText w:val=""/>
      <w:lvlJc w:val="left"/>
      <w:pPr>
        <w:ind w:left="2007" w:hanging="360"/>
      </w:pPr>
      <w:rPr>
        <w:rFonts w:ascii="Symbol" w:hAnsi="Symbol" w:hint="default"/>
      </w:rPr>
    </w:lvl>
    <w:lvl w:ilvl="1" w:tplc="04220003">
      <w:start w:val="1"/>
      <w:numFmt w:val="bullet"/>
      <w:lvlText w:val="o"/>
      <w:lvlJc w:val="left"/>
      <w:pPr>
        <w:ind w:left="2727" w:hanging="360"/>
      </w:pPr>
      <w:rPr>
        <w:rFonts w:ascii="Courier New" w:hAnsi="Courier New" w:cs="Courier New" w:hint="default"/>
      </w:rPr>
    </w:lvl>
    <w:lvl w:ilvl="2" w:tplc="04220005">
      <w:start w:val="1"/>
      <w:numFmt w:val="bullet"/>
      <w:lvlText w:val=""/>
      <w:lvlJc w:val="left"/>
      <w:pPr>
        <w:ind w:left="3447" w:hanging="360"/>
      </w:pPr>
      <w:rPr>
        <w:rFonts w:ascii="Wingdings" w:hAnsi="Wingdings" w:hint="default"/>
      </w:rPr>
    </w:lvl>
    <w:lvl w:ilvl="3" w:tplc="04220001">
      <w:start w:val="1"/>
      <w:numFmt w:val="bullet"/>
      <w:lvlText w:val=""/>
      <w:lvlJc w:val="left"/>
      <w:pPr>
        <w:ind w:left="4167" w:hanging="360"/>
      </w:pPr>
      <w:rPr>
        <w:rFonts w:ascii="Symbol" w:hAnsi="Symbol" w:hint="default"/>
      </w:rPr>
    </w:lvl>
    <w:lvl w:ilvl="4" w:tplc="04220003">
      <w:start w:val="1"/>
      <w:numFmt w:val="bullet"/>
      <w:lvlText w:val="o"/>
      <w:lvlJc w:val="left"/>
      <w:pPr>
        <w:ind w:left="4887" w:hanging="360"/>
      </w:pPr>
      <w:rPr>
        <w:rFonts w:ascii="Courier New" w:hAnsi="Courier New" w:cs="Courier New" w:hint="default"/>
      </w:rPr>
    </w:lvl>
    <w:lvl w:ilvl="5" w:tplc="04220005">
      <w:start w:val="1"/>
      <w:numFmt w:val="bullet"/>
      <w:lvlText w:val=""/>
      <w:lvlJc w:val="left"/>
      <w:pPr>
        <w:ind w:left="5607" w:hanging="360"/>
      </w:pPr>
      <w:rPr>
        <w:rFonts w:ascii="Wingdings" w:hAnsi="Wingdings" w:hint="default"/>
      </w:rPr>
    </w:lvl>
    <w:lvl w:ilvl="6" w:tplc="04220001">
      <w:start w:val="1"/>
      <w:numFmt w:val="bullet"/>
      <w:lvlText w:val=""/>
      <w:lvlJc w:val="left"/>
      <w:pPr>
        <w:ind w:left="6327" w:hanging="360"/>
      </w:pPr>
      <w:rPr>
        <w:rFonts w:ascii="Symbol" w:hAnsi="Symbol" w:hint="default"/>
      </w:rPr>
    </w:lvl>
    <w:lvl w:ilvl="7" w:tplc="04220003">
      <w:start w:val="1"/>
      <w:numFmt w:val="bullet"/>
      <w:lvlText w:val="o"/>
      <w:lvlJc w:val="left"/>
      <w:pPr>
        <w:ind w:left="7047" w:hanging="360"/>
      </w:pPr>
      <w:rPr>
        <w:rFonts w:ascii="Courier New" w:hAnsi="Courier New" w:cs="Courier New" w:hint="default"/>
      </w:rPr>
    </w:lvl>
    <w:lvl w:ilvl="8" w:tplc="04220005">
      <w:start w:val="1"/>
      <w:numFmt w:val="bullet"/>
      <w:lvlText w:val=""/>
      <w:lvlJc w:val="left"/>
      <w:pPr>
        <w:ind w:left="7767" w:hanging="360"/>
      </w:pPr>
      <w:rPr>
        <w:rFonts w:ascii="Wingdings" w:hAnsi="Wingdings" w:hint="default"/>
      </w:rPr>
    </w:lvl>
  </w:abstractNum>
  <w:abstractNum w:abstractNumId="26" w15:restartNumberingAfterBreak="0">
    <w:nsid w:val="57547267"/>
    <w:multiLevelType w:val="hybridMultilevel"/>
    <w:tmpl w:val="514E8E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4ED3768"/>
    <w:multiLevelType w:val="hybridMultilevel"/>
    <w:tmpl w:val="D15EB570"/>
    <w:lvl w:ilvl="0" w:tplc="2752F6A0">
      <w:start w:val="1"/>
      <w:numFmt w:val="decimal"/>
      <w:lvlText w:val="%1)"/>
      <w:lvlJc w:val="left"/>
      <w:pPr>
        <w:tabs>
          <w:tab w:val="num" w:pos="720"/>
        </w:tabs>
        <w:ind w:left="720" w:hanging="360"/>
      </w:pPr>
      <w:rPr>
        <w:rFonts w:ascii="Times New Roman" w:eastAsiaTheme="minorHAnsi" w:hAnsi="Times New Roman" w:cs="Times New Roman"/>
      </w:rPr>
    </w:lvl>
    <w:lvl w:ilvl="1" w:tplc="B060E516" w:tentative="1">
      <w:start w:val="1"/>
      <w:numFmt w:val="bullet"/>
      <w:lvlText w:val=""/>
      <w:lvlJc w:val="left"/>
      <w:pPr>
        <w:tabs>
          <w:tab w:val="num" w:pos="1440"/>
        </w:tabs>
        <w:ind w:left="1440" w:hanging="360"/>
      </w:pPr>
      <w:rPr>
        <w:rFonts w:ascii="Wingdings 2" w:hAnsi="Wingdings 2" w:hint="default"/>
      </w:rPr>
    </w:lvl>
    <w:lvl w:ilvl="2" w:tplc="077434EA" w:tentative="1">
      <w:start w:val="1"/>
      <w:numFmt w:val="bullet"/>
      <w:lvlText w:val=""/>
      <w:lvlJc w:val="left"/>
      <w:pPr>
        <w:tabs>
          <w:tab w:val="num" w:pos="2160"/>
        </w:tabs>
        <w:ind w:left="2160" w:hanging="360"/>
      </w:pPr>
      <w:rPr>
        <w:rFonts w:ascii="Wingdings 2" w:hAnsi="Wingdings 2" w:hint="default"/>
      </w:rPr>
    </w:lvl>
    <w:lvl w:ilvl="3" w:tplc="54C0DDCC" w:tentative="1">
      <w:start w:val="1"/>
      <w:numFmt w:val="bullet"/>
      <w:lvlText w:val=""/>
      <w:lvlJc w:val="left"/>
      <w:pPr>
        <w:tabs>
          <w:tab w:val="num" w:pos="2880"/>
        </w:tabs>
        <w:ind w:left="2880" w:hanging="360"/>
      </w:pPr>
      <w:rPr>
        <w:rFonts w:ascii="Wingdings 2" w:hAnsi="Wingdings 2" w:hint="default"/>
      </w:rPr>
    </w:lvl>
    <w:lvl w:ilvl="4" w:tplc="766EC8FE" w:tentative="1">
      <w:start w:val="1"/>
      <w:numFmt w:val="bullet"/>
      <w:lvlText w:val=""/>
      <w:lvlJc w:val="left"/>
      <w:pPr>
        <w:tabs>
          <w:tab w:val="num" w:pos="3600"/>
        </w:tabs>
        <w:ind w:left="3600" w:hanging="360"/>
      </w:pPr>
      <w:rPr>
        <w:rFonts w:ascii="Wingdings 2" w:hAnsi="Wingdings 2" w:hint="default"/>
      </w:rPr>
    </w:lvl>
    <w:lvl w:ilvl="5" w:tplc="5E8471B6" w:tentative="1">
      <w:start w:val="1"/>
      <w:numFmt w:val="bullet"/>
      <w:lvlText w:val=""/>
      <w:lvlJc w:val="left"/>
      <w:pPr>
        <w:tabs>
          <w:tab w:val="num" w:pos="4320"/>
        </w:tabs>
        <w:ind w:left="4320" w:hanging="360"/>
      </w:pPr>
      <w:rPr>
        <w:rFonts w:ascii="Wingdings 2" w:hAnsi="Wingdings 2" w:hint="default"/>
      </w:rPr>
    </w:lvl>
    <w:lvl w:ilvl="6" w:tplc="C6E82830" w:tentative="1">
      <w:start w:val="1"/>
      <w:numFmt w:val="bullet"/>
      <w:lvlText w:val=""/>
      <w:lvlJc w:val="left"/>
      <w:pPr>
        <w:tabs>
          <w:tab w:val="num" w:pos="5040"/>
        </w:tabs>
        <w:ind w:left="5040" w:hanging="360"/>
      </w:pPr>
      <w:rPr>
        <w:rFonts w:ascii="Wingdings 2" w:hAnsi="Wingdings 2" w:hint="default"/>
      </w:rPr>
    </w:lvl>
    <w:lvl w:ilvl="7" w:tplc="09E4D15E" w:tentative="1">
      <w:start w:val="1"/>
      <w:numFmt w:val="bullet"/>
      <w:lvlText w:val=""/>
      <w:lvlJc w:val="left"/>
      <w:pPr>
        <w:tabs>
          <w:tab w:val="num" w:pos="5760"/>
        </w:tabs>
        <w:ind w:left="5760" w:hanging="360"/>
      </w:pPr>
      <w:rPr>
        <w:rFonts w:ascii="Wingdings 2" w:hAnsi="Wingdings 2" w:hint="default"/>
      </w:rPr>
    </w:lvl>
    <w:lvl w:ilvl="8" w:tplc="977C161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6C2790D"/>
    <w:multiLevelType w:val="hybridMultilevel"/>
    <w:tmpl w:val="555C0F04"/>
    <w:lvl w:ilvl="0" w:tplc="2FE613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0194EB9"/>
    <w:multiLevelType w:val="hybridMultilevel"/>
    <w:tmpl w:val="9DF8B2C2"/>
    <w:lvl w:ilvl="0" w:tplc="551694B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C875FC"/>
    <w:multiLevelType w:val="hybridMultilevel"/>
    <w:tmpl w:val="0932140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7709558A"/>
    <w:multiLevelType w:val="multilevel"/>
    <w:tmpl w:val="9B2C906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2" w15:restartNumberingAfterBreak="0">
    <w:nsid w:val="78D004AA"/>
    <w:multiLevelType w:val="hybridMultilevel"/>
    <w:tmpl w:val="21BEE088"/>
    <w:lvl w:ilvl="0" w:tplc="BAEC93B6">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C6E4ECF"/>
    <w:multiLevelType w:val="hybridMultilevel"/>
    <w:tmpl w:val="9A681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F9130F5"/>
    <w:multiLevelType w:val="hybridMultilevel"/>
    <w:tmpl w:val="C2302F54"/>
    <w:lvl w:ilvl="0" w:tplc="AFBA01EE">
      <w:start w:val="1"/>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5"/>
  </w:num>
  <w:num w:numId="4">
    <w:abstractNumId w:val="19"/>
  </w:num>
  <w:num w:numId="5">
    <w:abstractNumId w:val="14"/>
  </w:num>
  <w:num w:numId="6">
    <w:abstractNumId w:val="9"/>
  </w:num>
  <w:num w:numId="7">
    <w:abstractNumId w:val="30"/>
  </w:num>
  <w:num w:numId="8">
    <w:abstractNumId w:val="23"/>
  </w:num>
  <w:num w:numId="9">
    <w:abstractNumId w:val="28"/>
  </w:num>
  <w:num w:numId="10">
    <w:abstractNumId w:val="6"/>
  </w:num>
  <w:num w:numId="11">
    <w:abstractNumId w:val="0"/>
  </w:num>
  <w:num w:numId="12">
    <w:abstractNumId w:val="29"/>
  </w:num>
  <w:num w:numId="13">
    <w:abstractNumId w:val="27"/>
  </w:num>
  <w:num w:numId="14">
    <w:abstractNumId w:val="33"/>
  </w:num>
  <w:num w:numId="15">
    <w:abstractNumId w:val="10"/>
  </w:num>
  <w:num w:numId="16">
    <w:abstractNumId w:val="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3"/>
  </w:num>
  <w:num w:numId="21">
    <w:abstractNumId w:val="3"/>
  </w:num>
  <w:num w:numId="22">
    <w:abstractNumId w:val="11"/>
  </w:num>
  <w:num w:numId="23">
    <w:abstractNumId w:val="34"/>
  </w:num>
  <w:num w:numId="24">
    <w:abstractNumId w:val="22"/>
  </w:num>
  <w:num w:numId="25">
    <w:abstractNumId w:val="5"/>
  </w:num>
  <w:num w:numId="26">
    <w:abstractNumId w:val="18"/>
  </w:num>
  <w:num w:numId="27">
    <w:abstractNumId w:val="25"/>
  </w:num>
  <w:num w:numId="28">
    <w:abstractNumId w:val="20"/>
  </w:num>
  <w:num w:numId="29">
    <w:abstractNumId w:val="16"/>
  </w:num>
  <w:num w:numId="30">
    <w:abstractNumId w:val="32"/>
  </w:num>
  <w:num w:numId="31">
    <w:abstractNumId w:val="17"/>
  </w:num>
  <w:num w:numId="32">
    <w:abstractNumId w:val="24"/>
  </w:num>
  <w:num w:numId="33">
    <w:abstractNumId w:val="26"/>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68"/>
    <w:rsid w:val="0001151B"/>
    <w:rsid w:val="00012539"/>
    <w:rsid w:val="00012826"/>
    <w:rsid w:val="0001423B"/>
    <w:rsid w:val="00016546"/>
    <w:rsid w:val="00020256"/>
    <w:rsid w:val="00022D82"/>
    <w:rsid w:val="00024DDF"/>
    <w:rsid w:val="0002592A"/>
    <w:rsid w:val="00025C53"/>
    <w:rsid w:val="00027B5B"/>
    <w:rsid w:val="00033ADB"/>
    <w:rsid w:val="00033C39"/>
    <w:rsid w:val="00035358"/>
    <w:rsid w:val="00037FD7"/>
    <w:rsid w:val="0004053E"/>
    <w:rsid w:val="00042E19"/>
    <w:rsid w:val="00043A73"/>
    <w:rsid w:val="00043B31"/>
    <w:rsid w:val="0004451A"/>
    <w:rsid w:val="00044B3D"/>
    <w:rsid w:val="00044D88"/>
    <w:rsid w:val="00047226"/>
    <w:rsid w:val="00050493"/>
    <w:rsid w:val="00050E47"/>
    <w:rsid w:val="00052E09"/>
    <w:rsid w:val="00054F42"/>
    <w:rsid w:val="000554DF"/>
    <w:rsid w:val="000562C7"/>
    <w:rsid w:val="0005758F"/>
    <w:rsid w:val="000610D9"/>
    <w:rsid w:val="0006243A"/>
    <w:rsid w:val="000654DC"/>
    <w:rsid w:val="0006747F"/>
    <w:rsid w:val="00070728"/>
    <w:rsid w:val="00070956"/>
    <w:rsid w:val="00072ACF"/>
    <w:rsid w:val="000736DF"/>
    <w:rsid w:val="00082D5F"/>
    <w:rsid w:val="00083BFC"/>
    <w:rsid w:val="00083E27"/>
    <w:rsid w:val="00086D1C"/>
    <w:rsid w:val="00087140"/>
    <w:rsid w:val="000904DD"/>
    <w:rsid w:val="0009610B"/>
    <w:rsid w:val="00097759"/>
    <w:rsid w:val="00097E05"/>
    <w:rsid w:val="000A1006"/>
    <w:rsid w:val="000A42B9"/>
    <w:rsid w:val="000A4B7F"/>
    <w:rsid w:val="000A536F"/>
    <w:rsid w:val="000A7BBC"/>
    <w:rsid w:val="000A7C29"/>
    <w:rsid w:val="000B08B9"/>
    <w:rsid w:val="000B0D73"/>
    <w:rsid w:val="000B1952"/>
    <w:rsid w:val="000B3F4E"/>
    <w:rsid w:val="000B44C3"/>
    <w:rsid w:val="000B753C"/>
    <w:rsid w:val="000C152C"/>
    <w:rsid w:val="000C1F45"/>
    <w:rsid w:val="000C1F48"/>
    <w:rsid w:val="000C69CB"/>
    <w:rsid w:val="000C6DF3"/>
    <w:rsid w:val="000C79F3"/>
    <w:rsid w:val="000D20D8"/>
    <w:rsid w:val="000D2DE2"/>
    <w:rsid w:val="000D347E"/>
    <w:rsid w:val="000E04E8"/>
    <w:rsid w:val="000E111E"/>
    <w:rsid w:val="000E5177"/>
    <w:rsid w:val="000F0CFF"/>
    <w:rsid w:val="000F77DA"/>
    <w:rsid w:val="0010154A"/>
    <w:rsid w:val="001034EC"/>
    <w:rsid w:val="00106F46"/>
    <w:rsid w:val="00107581"/>
    <w:rsid w:val="0011016C"/>
    <w:rsid w:val="001101EF"/>
    <w:rsid w:val="001118F8"/>
    <w:rsid w:val="0011290C"/>
    <w:rsid w:val="00113017"/>
    <w:rsid w:val="0011335D"/>
    <w:rsid w:val="00113677"/>
    <w:rsid w:val="00117BA1"/>
    <w:rsid w:val="001207EB"/>
    <w:rsid w:val="00120F6A"/>
    <w:rsid w:val="00124025"/>
    <w:rsid w:val="00127E21"/>
    <w:rsid w:val="00130694"/>
    <w:rsid w:val="00130A22"/>
    <w:rsid w:val="00131A37"/>
    <w:rsid w:val="0013324A"/>
    <w:rsid w:val="001349D3"/>
    <w:rsid w:val="00136580"/>
    <w:rsid w:val="001406BB"/>
    <w:rsid w:val="00143267"/>
    <w:rsid w:val="00143704"/>
    <w:rsid w:val="00143CC3"/>
    <w:rsid w:val="00146D8C"/>
    <w:rsid w:val="00146FD6"/>
    <w:rsid w:val="00147F11"/>
    <w:rsid w:val="0015057D"/>
    <w:rsid w:val="00152B31"/>
    <w:rsid w:val="00152E6B"/>
    <w:rsid w:val="00153448"/>
    <w:rsid w:val="0015414C"/>
    <w:rsid w:val="001559E6"/>
    <w:rsid w:val="00160621"/>
    <w:rsid w:val="00161396"/>
    <w:rsid w:val="001614BF"/>
    <w:rsid w:val="001615B3"/>
    <w:rsid w:val="00161F67"/>
    <w:rsid w:val="00165477"/>
    <w:rsid w:val="00166927"/>
    <w:rsid w:val="00166C2E"/>
    <w:rsid w:val="00167559"/>
    <w:rsid w:val="0016780B"/>
    <w:rsid w:val="001703AE"/>
    <w:rsid w:val="001755E0"/>
    <w:rsid w:val="00175C3A"/>
    <w:rsid w:val="00177D89"/>
    <w:rsid w:val="00177D90"/>
    <w:rsid w:val="0018206D"/>
    <w:rsid w:val="00182C11"/>
    <w:rsid w:val="00182ED9"/>
    <w:rsid w:val="00183763"/>
    <w:rsid w:val="00183856"/>
    <w:rsid w:val="00184BF6"/>
    <w:rsid w:val="00185789"/>
    <w:rsid w:val="00186956"/>
    <w:rsid w:val="00186AB1"/>
    <w:rsid w:val="00193293"/>
    <w:rsid w:val="00194406"/>
    <w:rsid w:val="001970CF"/>
    <w:rsid w:val="001975F7"/>
    <w:rsid w:val="001A16A1"/>
    <w:rsid w:val="001A4180"/>
    <w:rsid w:val="001A5BA1"/>
    <w:rsid w:val="001B2031"/>
    <w:rsid w:val="001B73C7"/>
    <w:rsid w:val="001C137D"/>
    <w:rsid w:val="001C2AFA"/>
    <w:rsid w:val="001C55FD"/>
    <w:rsid w:val="001C6AD6"/>
    <w:rsid w:val="001C70ED"/>
    <w:rsid w:val="001C737B"/>
    <w:rsid w:val="001C7B9F"/>
    <w:rsid w:val="001C7CB3"/>
    <w:rsid w:val="001D1568"/>
    <w:rsid w:val="001D4F6F"/>
    <w:rsid w:val="001D53D3"/>
    <w:rsid w:val="001E14AC"/>
    <w:rsid w:val="001E170A"/>
    <w:rsid w:val="001E35F3"/>
    <w:rsid w:val="001E3636"/>
    <w:rsid w:val="001E4227"/>
    <w:rsid w:val="001E525E"/>
    <w:rsid w:val="001E6506"/>
    <w:rsid w:val="001E73A2"/>
    <w:rsid w:val="001F0AB5"/>
    <w:rsid w:val="001F1F35"/>
    <w:rsid w:val="001F21F6"/>
    <w:rsid w:val="001F7EBC"/>
    <w:rsid w:val="00201445"/>
    <w:rsid w:val="00201C0D"/>
    <w:rsid w:val="00203046"/>
    <w:rsid w:val="00204EE1"/>
    <w:rsid w:val="002051F8"/>
    <w:rsid w:val="00205EC6"/>
    <w:rsid w:val="00206830"/>
    <w:rsid w:val="00210875"/>
    <w:rsid w:val="00211D2F"/>
    <w:rsid w:val="00213C7B"/>
    <w:rsid w:val="002155CF"/>
    <w:rsid w:val="00215D1F"/>
    <w:rsid w:val="00216460"/>
    <w:rsid w:val="00220833"/>
    <w:rsid w:val="00220AC8"/>
    <w:rsid w:val="00221938"/>
    <w:rsid w:val="00223F41"/>
    <w:rsid w:val="0022427D"/>
    <w:rsid w:val="0022650B"/>
    <w:rsid w:val="00226EC7"/>
    <w:rsid w:val="00227060"/>
    <w:rsid w:val="00227867"/>
    <w:rsid w:val="00227F1F"/>
    <w:rsid w:val="0023165E"/>
    <w:rsid w:val="0023338F"/>
    <w:rsid w:val="00234CF0"/>
    <w:rsid w:val="002367E4"/>
    <w:rsid w:val="00242CE7"/>
    <w:rsid w:val="00244156"/>
    <w:rsid w:val="002458DB"/>
    <w:rsid w:val="00251CF8"/>
    <w:rsid w:val="00252D38"/>
    <w:rsid w:val="00256817"/>
    <w:rsid w:val="00256B0D"/>
    <w:rsid w:val="00257670"/>
    <w:rsid w:val="00260783"/>
    <w:rsid w:val="00260EBC"/>
    <w:rsid w:val="00262698"/>
    <w:rsid w:val="0026584E"/>
    <w:rsid w:val="00265A07"/>
    <w:rsid w:val="00265D74"/>
    <w:rsid w:val="0026707B"/>
    <w:rsid w:val="00271204"/>
    <w:rsid w:val="002713EB"/>
    <w:rsid w:val="00272838"/>
    <w:rsid w:val="002743D8"/>
    <w:rsid w:val="00274530"/>
    <w:rsid w:val="0027606A"/>
    <w:rsid w:val="00276182"/>
    <w:rsid w:val="00280ECF"/>
    <w:rsid w:val="00281171"/>
    <w:rsid w:val="00281BB6"/>
    <w:rsid w:val="00282820"/>
    <w:rsid w:val="0028329E"/>
    <w:rsid w:val="0028476E"/>
    <w:rsid w:val="00284772"/>
    <w:rsid w:val="002875DF"/>
    <w:rsid w:val="0029082C"/>
    <w:rsid w:val="002927E0"/>
    <w:rsid w:val="00292A51"/>
    <w:rsid w:val="00293239"/>
    <w:rsid w:val="0029353A"/>
    <w:rsid w:val="0029375E"/>
    <w:rsid w:val="00294DDD"/>
    <w:rsid w:val="00296DCC"/>
    <w:rsid w:val="002B063E"/>
    <w:rsid w:val="002B0E93"/>
    <w:rsid w:val="002B1307"/>
    <w:rsid w:val="002B5634"/>
    <w:rsid w:val="002B7D2F"/>
    <w:rsid w:val="002C0672"/>
    <w:rsid w:val="002C080F"/>
    <w:rsid w:val="002C0F16"/>
    <w:rsid w:val="002C572B"/>
    <w:rsid w:val="002D05A3"/>
    <w:rsid w:val="002D0E95"/>
    <w:rsid w:val="002D2EE5"/>
    <w:rsid w:val="002D5195"/>
    <w:rsid w:val="002D5809"/>
    <w:rsid w:val="002E12F0"/>
    <w:rsid w:val="002E17BB"/>
    <w:rsid w:val="002E2816"/>
    <w:rsid w:val="002E3EFE"/>
    <w:rsid w:val="002E5A06"/>
    <w:rsid w:val="002E6035"/>
    <w:rsid w:val="002E7077"/>
    <w:rsid w:val="002F23EC"/>
    <w:rsid w:val="002F46C3"/>
    <w:rsid w:val="002F788E"/>
    <w:rsid w:val="00300A24"/>
    <w:rsid w:val="00300D79"/>
    <w:rsid w:val="00302C68"/>
    <w:rsid w:val="00304F38"/>
    <w:rsid w:val="00307356"/>
    <w:rsid w:val="003130A5"/>
    <w:rsid w:val="00317E58"/>
    <w:rsid w:val="0032053D"/>
    <w:rsid w:val="0032170E"/>
    <w:rsid w:val="00321C61"/>
    <w:rsid w:val="00321C9C"/>
    <w:rsid w:val="003223E6"/>
    <w:rsid w:val="003229A8"/>
    <w:rsid w:val="00327A33"/>
    <w:rsid w:val="0033040D"/>
    <w:rsid w:val="00330DF4"/>
    <w:rsid w:val="00331535"/>
    <w:rsid w:val="003350B2"/>
    <w:rsid w:val="00336CC6"/>
    <w:rsid w:val="00336EB7"/>
    <w:rsid w:val="00337E03"/>
    <w:rsid w:val="00342018"/>
    <w:rsid w:val="0034275B"/>
    <w:rsid w:val="00342B72"/>
    <w:rsid w:val="00342EF4"/>
    <w:rsid w:val="00345B28"/>
    <w:rsid w:val="00350117"/>
    <w:rsid w:val="00351B91"/>
    <w:rsid w:val="003521E0"/>
    <w:rsid w:val="00354B64"/>
    <w:rsid w:val="003645BD"/>
    <w:rsid w:val="003648CA"/>
    <w:rsid w:val="00364FCB"/>
    <w:rsid w:val="00365F81"/>
    <w:rsid w:val="0037551E"/>
    <w:rsid w:val="00375CAA"/>
    <w:rsid w:val="00376AA6"/>
    <w:rsid w:val="003773D6"/>
    <w:rsid w:val="00377660"/>
    <w:rsid w:val="00377DF4"/>
    <w:rsid w:val="0038078F"/>
    <w:rsid w:val="003839BE"/>
    <w:rsid w:val="003857E1"/>
    <w:rsid w:val="00387A3A"/>
    <w:rsid w:val="00387FB4"/>
    <w:rsid w:val="0039084B"/>
    <w:rsid w:val="00390C9E"/>
    <w:rsid w:val="00392194"/>
    <w:rsid w:val="003926AC"/>
    <w:rsid w:val="00392ADC"/>
    <w:rsid w:val="00394877"/>
    <w:rsid w:val="003A1690"/>
    <w:rsid w:val="003A1A95"/>
    <w:rsid w:val="003A2C22"/>
    <w:rsid w:val="003A31F1"/>
    <w:rsid w:val="003A4118"/>
    <w:rsid w:val="003A4DE3"/>
    <w:rsid w:val="003A6E20"/>
    <w:rsid w:val="003B1689"/>
    <w:rsid w:val="003B1E5A"/>
    <w:rsid w:val="003B24F6"/>
    <w:rsid w:val="003B45C8"/>
    <w:rsid w:val="003B55FC"/>
    <w:rsid w:val="003B5948"/>
    <w:rsid w:val="003B72B6"/>
    <w:rsid w:val="003C1DC1"/>
    <w:rsid w:val="003C2BBD"/>
    <w:rsid w:val="003C3EE4"/>
    <w:rsid w:val="003C4353"/>
    <w:rsid w:val="003C5E73"/>
    <w:rsid w:val="003C642A"/>
    <w:rsid w:val="003C7890"/>
    <w:rsid w:val="003D3F1B"/>
    <w:rsid w:val="003D4CB7"/>
    <w:rsid w:val="003D5585"/>
    <w:rsid w:val="003D6E87"/>
    <w:rsid w:val="003D7ACB"/>
    <w:rsid w:val="003E08AC"/>
    <w:rsid w:val="003E1EC1"/>
    <w:rsid w:val="003E4C96"/>
    <w:rsid w:val="003F1B13"/>
    <w:rsid w:val="003F516E"/>
    <w:rsid w:val="003F552D"/>
    <w:rsid w:val="003F5B57"/>
    <w:rsid w:val="003F5C87"/>
    <w:rsid w:val="0040368D"/>
    <w:rsid w:val="00403D15"/>
    <w:rsid w:val="00404C4D"/>
    <w:rsid w:val="0040741B"/>
    <w:rsid w:val="00407BDF"/>
    <w:rsid w:val="00412BA7"/>
    <w:rsid w:val="004172EF"/>
    <w:rsid w:val="00417BBA"/>
    <w:rsid w:val="00421F37"/>
    <w:rsid w:val="0042719A"/>
    <w:rsid w:val="00427910"/>
    <w:rsid w:val="00434228"/>
    <w:rsid w:val="0044120F"/>
    <w:rsid w:val="00445808"/>
    <w:rsid w:val="00446357"/>
    <w:rsid w:val="0044675D"/>
    <w:rsid w:val="00447727"/>
    <w:rsid w:val="00447CF4"/>
    <w:rsid w:val="00451117"/>
    <w:rsid w:val="00455A7A"/>
    <w:rsid w:val="0046155A"/>
    <w:rsid w:val="00461B26"/>
    <w:rsid w:val="00461DB8"/>
    <w:rsid w:val="00467A8D"/>
    <w:rsid w:val="004705C1"/>
    <w:rsid w:val="00471249"/>
    <w:rsid w:val="004720C3"/>
    <w:rsid w:val="00473B8B"/>
    <w:rsid w:val="00475AC2"/>
    <w:rsid w:val="0047639C"/>
    <w:rsid w:val="00476DD5"/>
    <w:rsid w:val="00476E64"/>
    <w:rsid w:val="0048058A"/>
    <w:rsid w:val="0048115A"/>
    <w:rsid w:val="00486CE1"/>
    <w:rsid w:val="00490558"/>
    <w:rsid w:val="00490BA1"/>
    <w:rsid w:val="00491B85"/>
    <w:rsid w:val="00492FA9"/>
    <w:rsid w:val="00495F19"/>
    <w:rsid w:val="00497393"/>
    <w:rsid w:val="00497569"/>
    <w:rsid w:val="004977DB"/>
    <w:rsid w:val="004A40C7"/>
    <w:rsid w:val="004A49EE"/>
    <w:rsid w:val="004A6AA5"/>
    <w:rsid w:val="004B31EB"/>
    <w:rsid w:val="004B33F5"/>
    <w:rsid w:val="004B3453"/>
    <w:rsid w:val="004B75EC"/>
    <w:rsid w:val="004B7E30"/>
    <w:rsid w:val="004C3411"/>
    <w:rsid w:val="004C54CA"/>
    <w:rsid w:val="004C62DE"/>
    <w:rsid w:val="004C66BC"/>
    <w:rsid w:val="004C6736"/>
    <w:rsid w:val="004D0E78"/>
    <w:rsid w:val="004D13A6"/>
    <w:rsid w:val="004D23F5"/>
    <w:rsid w:val="004D2D20"/>
    <w:rsid w:val="004D33F9"/>
    <w:rsid w:val="004D3FCA"/>
    <w:rsid w:val="004D581D"/>
    <w:rsid w:val="004D5927"/>
    <w:rsid w:val="004D6227"/>
    <w:rsid w:val="004E2CAB"/>
    <w:rsid w:val="004E3F38"/>
    <w:rsid w:val="004E65AB"/>
    <w:rsid w:val="004F341B"/>
    <w:rsid w:val="004F3690"/>
    <w:rsid w:val="004F3C6B"/>
    <w:rsid w:val="004F4352"/>
    <w:rsid w:val="004F780C"/>
    <w:rsid w:val="00501D37"/>
    <w:rsid w:val="00502280"/>
    <w:rsid w:val="005038D3"/>
    <w:rsid w:val="005057B0"/>
    <w:rsid w:val="0050707D"/>
    <w:rsid w:val="00511367"/>
    <w:rsid w:val="00512C12"/>
    <w:rsid w:val="00512FA1"/>
    <w:rsid w:val="005134F7"/>
    <w:rsid w:val="00513D19"/>
    <w:rsid w:val="00515A3E"/>
    <w:rsid w:val="005171CF"/>
    <w:rsid w:val="00517E10"/>
    <w:rsid w:val="00520B57"/>
    <w:rsid w:val="00521092"/>
    <w:rsid w:val="00521AC9"/>
    <w:rsid w:val="005231B9"/>
    <w:rsid w:val="00523DFE"/>
    <w:rsid w:val="005240BE"/>
    <w:rsid w:val="00524648"/>
    <w:rsid w:val="005257F8"/>
    <w:rsid w:val="00526311"/>
    <w:rsid w:val="00531CAA"/>
    <w:rsid w:val="00532909"/>
    <w:rsid w:val="00532C41"/>
    <w:rsid w:val="005345D9"/>
    <w:rsid w:val="00534CD4"/>
    <w:rsid w:val="00535510"/>
    <w:rsid w:val="005355DE"/>
    <w:rsid w:val="00536CA9"/>
    <w:rsid w:val="00537DAC"/>
    <w:rsid w:val="00541911"/>
    <w:rsid w:val="00541C7D"/>
    <w:rsid w:val="00541F9A"/>
    <w:rsid w:val="005448CC"/>
    <w:rsid w:val="005451A5"/>
    <w:rsid w:val="00545446"/>
    <w:rsid w:val="00547761"/>
    <w:rsid w:val="005479AB"/>
    <w:rsid w:val="00547DE4"/>
    <w:rsid w:val="00553935"/>
    <w:rsid w:val="00553A3E"/>
    <w:rsid w:val="00554BFF"/>
    <w:rsid w:val="00555467"/>
    <w:rsid w:val="00557038"/>
    <w:rsid w:val="00557E01"/>
    <w:rsid w:val="005605BB"/>
    <w:rsid w:val="00560DEF"/>
    <w:rsid w:val="00560F40"/>
    <w:rsid w:val="00561078"/>
    <w:rsid w:val="00563976"/>
    <w:rsid w:val="005646EF"/>
    <w:rsid w:val="005668C9"/>
    <w:rsid w:val="00574401"/>
    <w:rsid w:val="00575230"/>
    <w:rsid w:val="00577289"/>
    <w:rsid w:val="005829FC"/>
    <w:rsid w:val="00584C6C"/>
    <w:rsid w:val="0058510C"/>
    <w:rsid w:val="00586E2A"/>
    <w:rsid w:val="00587640"/>
    <w:rsid w:val="00587D42"/>
    <w:rsid w:val="0059167F"/>
    <w:rsid w:val="00592266"/>
    <w:rsid w:val="00594FDE"/>
    <w:rsid w:val="00596C06"/>
    <w:rsid w:val="00597718"/>
    <w:rsid w:val="005A0E1F"/>
    <w:rsid w:val="005A1A3C"/>
    <w:rsid w:val="005A1D7D"/>
    <w:rsid w:val="005A206C"/>
    <w:rsid w:val="005A2BC4"/>
    <w:rsid w:val="005A741F"/>
    <w:rsid w:val="005B0A65"/>
    <w:rsid w:val="005B1093"/>
    <w:rsid w:val="005B2EF3"/>
    <w:rsid w:val="005B3A27"/>
    <w:rsid w:val="005B5248"/>
    <w:rsid w:val="005B5611"/>
    <w:rsid w:val="005B7B72"/>
    <w:rsid w:val="005C2E0E"/>
    <w:rsid w:val="005C3153"/>
    <w:rsid w:val="005C489E"/>
    <w:rsid w:val="005C6A0B"/>
    <w:rsid w:val="005C735D"/>
    <w:rsid w:val="005C764D"/>
    <w:rsid w:val="005D5AD3"/>
    <w:rsid w:val="005D6ED0"/>
    <w:rsid w:val="005D7DBA"/>
    <w:rsid w:val="005E1066"/>
    <w:rsid w:val="005E4591"/>
    <w:rsid w:val="005E5D05"/>
    <w:rsid w:val="005E5F71"/>
    <w:rsid w:val="005E6538"/>
    <w:rsid w:val="005F0E48"/>
    <w:rsid w:val="005F2024"/>
    <w:rsid w:val="005F21B4"/>
    <w:rsid w:val="005F3C6C"/>
    <w:rsid w:val="005F421C"/>
    <w:rsid w:val="005F4ADC"/>
    <w:rsid w:val="005F55E5"/>
    <w:rsid w:val="005F5DBE"/>
    <w:rsid w:val="005F65CF"/>
    <w:rsid w:val="005F6E1F"/>
    <w:rsid w:val="0060340D"/>
    <w:rsid w:val="0060408A"/>
    <w:rsid w:val="00605742"/>
    <w:rsid w:val="00605AA4"/>
    <w:rsid w:val="00606A88"/>
    <w:rsid w:val="00607014"/>
    <w:rsid w:val="006073BF"/>
    <w:rsid w:val="00610F16"/>
    <w:rsid w:val="00611B04"/>
    <w:rsid w:val="00611F61"/>
    <w:rsid w:val="0061231D"/>
    <w:rsid w:val="00612BFF"/>
    <w:rsid w:val="0061457C"/>
    <w:rsid w:val="00614613"/>
    <w:rsid w:val="006149F6"/>
    <w:rsid w:val="00621311"/>
    <w:rsid w:val="006221E5"/>
    <w:rsid w:val="00625C4C"/>
    <w:rsid w:val="00630565"/>
    <w:rsid w:val="006310CB"/>
    <w:rsid w:val="00633120"/>
    <w:rsid w:val="006374D5"/>
    <w:rsid w:val="00643833"/>
    <w:rsid w:val="0064390D"/>
    <w:rsid w:val="00643E4B"/>
    <w:rsid w:val="00644AF1"/>
    <w:rsid w:val="00646812"/>
    <w:rsid w:val="006471BE"/>
    <w:rsid w:val="00647842"/>
    <w:rsid w:val="00650D78"/>
    <w:rsid w:val="00651313"/>
    <w:rsid w:val="00651B42"/>
    <w:rsid w:val="00651B4F"/>
    <w:rsid w:val="00655C4D"/>
    <w:rsid w:val="0065768D"/>
    <w:rsid w:val="00660863"/>
    <w:rsid w:val="00662ABE"/>
    <w:rsid w:val="006667C3"/>
    <w:rsid w:val="006679D9"/>
    <w:rsid w:val="00670A4E"/>
    <w:rsid w:val="00670B83"/>
    <w:rsid w:val="00672E10"/>
    <w:rsid w:val="00675970"/>
    <w:rsid w:val="0067765D"/>
    <w:rsid w:val="0068081C"/>
    <w:rsid w:val="00684E6F"/>
    <w:rsid w:val="006873A4"/>
    <w:rsid w:val="00693209"/>
    <w:rsid w:val="00694BAF"/>
    <w:rsid w:val="006973E5"/>
    <w:rsid w:val="0069775F"/>
    <w:rsid w:val="006A01A7"/>
    <w:rsid w:val="006A054F"/>
    <w:rsid w:val="006A0CCD"/>
    <w:rsid w:val="006A15B6"/>
    <w:rsid w:val="006A4B60"/>
    <w:rsid w:val="006A5EB8"/>
    <w:rsid w:val="006A7E1B"/>
    <w:rsid w:val="006B0F02"/>
    <w:rsid w:val="006B21BB"/>
    <w:rsid w:val="006B5850"/>
    <w:rsid w:val="006B6494"/>
    <w:rsid w:val="006B65F5"/>
    <w:rsid w:val="006B6D02"/>
    <w:rsid w:val="006C0558"/>
    <w:rsid w:val="006C243F"/>
    <w:rsid w:val="006C3F83"/>
    <w:rsid w:val="006C71E9"/>
    <w:rsid w:val="006C7E7D"/>
    <w:rsid w:val="006D3C22"/>
    <w:rsid w:val="006D43B8"/>
    <w:rsid w:val="006D441B"/>
    <w:rsid w:val="006D5772"/>
    <w:rsid w:val="006D5820"/>
    <w:rsid w:val="006D5836"/>
    <w:rsid w:val="006D6FE3"/>
    <w:rsid w:val="006D72BE"/>
    <w:rsid w:val="006E2123"/>
    <w:rsid w:val="006E62AE"/>
    <w:rsid w:val="006E6B8C"/>
    <w:rsid w:val="006F1035"/>
    <w:rsid w:val="006F2306"/>
    <w:rsid w:val="006F30DF"/>
    <w:rsid w:val="006F3264"/>
    <w:rsid w:val="006F5F8A"/>
    <w:rsid w:val="006F7D7C"/>
    <w:rsid w:val="00704381"/>
    <w:rsid w:val="007120A0"/>
    <w:rsid w:val="0071449F"/>
    <w:rsid w:val="007144DF"/>
    <w:rsid w:val="00716DD6"/>
    <w:rsid w:val="00721D19"/>
    <w:rsid w:val="007235F6"/>
    <w:rsid w:val="007276D6"/>
    <w:rsid w:val="007357A0"/>
    <w:rsid w:val="00735AEA"/>
    <w:rsid w:val="00737CE1"/>
    <w:rsid w:val="00740233"/>
    <w:rsid w:val="00742B05"/>
    <w:rsid w:val="00743191"/>
    <w:rsid w:val="00743DAD"/>
    <w:rsid w:val="007470AE"/>
    <w:rsid w:val="00747CCA"/>
    <w:rsid w:val="00751FDE"/>
    <w:rsid w:val="00752B31"/>
    <w:rsid w:val="00752BC0"/>
    <w:rsid w:val="00752FE4"/>
    <w:rsid w:val="00753B5D"/>
    <w:rsid w:val="00753DF2"/>
    <w:rsid w:val="00754A15"/>
    <w:rsid w:val="0075521E"/>
    <w:rsid w:val="00755E60"/>
    <w:rsid w:val="007574A2"/>
    <w:rsid w:val="0076499D"/>
    <w:rsid w:val="0076620C"/>
    <w:rsid w:val="00770175"/>
    <w:rsid w:val="007715E0"/>
    <w:rsid w:val="007715F7"/>
    <w:rsid w:val="007727BE"/>
    <w:rsid w:val="007754DF"/>
    <w:rsid w:val="0077553C"/>
    <w:rsid w:val="00775875"/>
    <w:rsid w:val="00780937"/>
    <w:rsid w:val="007818B2"/>
    <w:rsid w:val="00783614"/>
    <w:rsid w:val="00784297"/>
    <w:rsid w:val="007848FC"/>
    <w:rsid w:val="00790756"/>
    <w:rsid w:val="0079301D"/>
    <w:rsid w:val="00796398"/>
    <w:rsid w:val="007A14B2"/>
    <w:rsid w:val="007A1542"/>
    <w:rsid w:val="007A26BB"/>
    <w:rsid w:val="007A6C3C"/>
    <w:rsid w:val="007A70EC"/>
    <w:rsid w:val="007B202A"/>
    <w:rsid w:val="007B3CAA"/>
    <w:rsid w:val="007B46DE"/>
    <w:rsid w:val="007B492F"/>
    <w:rsid w:val="007C2029"/>
    <w:rsid w:val="007C211C"/>
    <w:rsid w:val="007C4637"/>
    <w:rsid w:val="007C4FB7"/>
    <w:rsid w:val="007C50ED"/>
    <w:rsid w:val="007C60C5"/>
    <w:rsid w:val="007C66A7"/>
    <w:rsid w:val="007C67AC"/>
    <w:rsid w:val="007D05BE"/>
    <w:rsid w:val="007D30DD"/>
    <w:rsid w:val="007D59AA"/>
    <w:rsid w:val="007E062A"/>
    <w:rsid w:val="007E52F8"/>
    <w:rsid w:val="007F44FD"/>
    <w:rsid w:val="007F4AD5"/>
    <w:rsid w:val="007F52EA"/>
    <w:rsid w:val="007F7622"/>
    <w:rsid w:val="00802DDA"/>
    <w:rsid w:val="00805268"/>
    <w:rsid w:val="00805C5F"/>
    <w:rsid w:val="00806593"/>
    <w:rsid w:val="00806763"/>
    <w:rsid w:val="008111BF"/>
    <w:rsid w:val="00811719"/>
    <w:rsid w:val="008142D6"/>
    <w:rsid w:val="00816001"/>
    <w:rsid w:val="008164DF"/>
    <w:rsid w:val="0082179C"/>
    <w:rsid w:val="00821890"/>
    <w:rsid w:val="00821E17"/>
    <w:rsid w:val="008223FF"/>
    <w:rsid w:val="008275DD"/>
    <w:rsid w:val="00831888"/>
    <w:rsid w:val="0083657A"/>
    <w:rsid w:val="00841F79"/>
    <w:rsid w:val="00842F20"/>
    <w:rsid w:val="00844487"/>
    <w:rsid w:val="00846070"/>
    <w:rsid w:val="00846204"/>
    <w:rsid w:val="008509DD"/>
    <w:rsid w:val="00851A78"/>
    <w:rsid w:val="00851CE8"/>
    <w:rsid w:val="0085450E"/>
    <w:rsid w:val="00857E6F"/>
    <w:rsid w:val="008612D9"/>
    <w:rsid w:val="0086160F"/>
    <w:rsid w:val="00863A6B"/>
    <w:rsid w:val="0086519A"/>
    <w:rsid w:val="0086667D"/>
    <w:rsid w:val="0087257C"/>
    <w:rsid w:val="00872B77"/>
    <w:rsid w:val="00872E6D"/>
    <w:rsid w:val="00873EF2"/>
    <w:rsid w:val="00874E33"/>
    <w:rsid w:val="00880A24"/>
    <w:rsid w:val="00883509"/>
    <w:rsid w:val="008845B9"/>
    <w:rsid w:val="00884C54"/>
    <w:rsid w:val="00886A03"/>
    <w:rsid w:val="0089079E"/>
    <w:rsid w:val="00893463"/>
    <w:rsid w:val="00896FE7"/>
    <w:rsid w:val="008A152F"/>
    <w:rsid w:val="008A25E5"/>
    <w:rsid w:val="008A3898"/>
    <w:rsid w:val="008A3A24"/>
    <w:rsid w:val="008A5B7A"/>
    <w:rsid w:val="008B2763"/>
    <w:rsid w:val="008B2F59"/>
    <w:rsid w:val="008B5ABE"/>
    <w:rsid w:val="008B6903"/>
    <w:rsid w:val="008C03F7"/>
    <w:rsid w:val="008C0ECA"/>
    <w:rsid w:val="008C241B"/>
    <w:rsid w:val="008C2AF2"/>
    <w:rsid w:val="008C5607"/>
    <w:rsid w:val="008C742E"/>
    <w:rsid w:val="008D2154"/>
    <w:rsid w:val="008D4088"/>
    <w:rsid w:val="008D5CA3"/>
    <w:rsid w:val="008D5F8A"/>
    <w:rsid w:val="008D6676"/>
    <w:rsid w:val="008E0020"/>
    <w:rsid w:val="008E0D98"/>
    <w:rsid w:val="008E5F32"/>
    <w:rsid w:val="008E791E"/>
    <w:rsid w:val="008F04E3"/>
    <w:rsid w:val="008F0918"/>
    <w:rsid w:val="008F18A6"/>
    <w:rsid w:val="008F1B43"/>
    <w:rsid w:val="008F627C"/>
    <w:rsid w:val="008F794F"/>
    <w:rsid w:val="00900412"/>
    <w:rsid w:val="00902752"/>
    <w:rsid w:val="0090298E"/>
    <w:rsid w:val="009053AF"/>
    <w:rsid w:val="00907B99"/>
    <w:rsid w:val="00912DE6"/>
    <w:rsid w:val="0091523A"/>
    <w:rsid w:val="0091695D"/>
    <w:rsid w:val="00925E64"/>
    <w:rsid w:val="009308C2"/>
    <w:rsid w:val="009331A0"/>
    <w:rsid w:val="009368E5"/>
    <w:rsid w:val="009417C4"/>
    <w:rsid w:val="0094227B"/>
    <w:rsid w:val="0094430F"/>
    <w:rsid w:val="009447F6"/>
    <w:rsid w:val="00944FB4"/>
    <w:rsid w:val="00947193"/>
    <w:rsid w:val="00947FA7"/>
    <w:rsid w:val="009502C1"/>
    <w:rsid w:val="00950940"/>
    <w:rsid w:val="00950C73"/>
    <w:rsid w:val="009517DE"/>
    <w:rsid w:val="00951DAF"/>
    <w:rsid w:val="00952C7A"/>
    <w:rsid w:val="00955C1C"/>
    <w:rsid w:val="00962D1D"/>
    <w:rsid w:val="009631BD"/>
    <w:rsid w:val="0096434A"/>
    <w:rsid w:val="00964E68"/>
    <w:rsid w:val="00965B49"/>
    <w:rsid w:val="00970C0D"/>
    <w:rsid w:val="009711BE"/>
    <w:rsid w:val="00971B47"/>
    <w:rsid w:val="00972910"/>
    <w:rsid w:val="00973A6D"/>
    <w:rsid w:val="00980450"/>
    <w:rsid w:val="00980BEA"/>
    <w:rsid w:val="009812E1"/>
    <w:rsid w:val="00982125"/>
    <w:rsid w:val="00985C74"/>
    <w:rsid w:val="00987412"/>
    <w:rsid w:val="00995CE1"/>
    <w:rsid w:val="009970DF"/>
    <w:rsid w:val="009A0957"/>
    <w:rsid w:val="009A1076"/>
    <w:rsid w:val="009A1F4D"/>
    <w:rsid w:val="009A2432"/>
    <w:rsid w:val="009A508C"/>
    <w:rsid w:val="009A7496"/>
    <w:rsid w:val="009B11E0"/>
    <w:rsid w:val="009B2A66"/>
    <w:rsid w:val="009B4C7A"/>
    <w:rsid w:val="009B6A80"/>
    <w:rsid w:val="009C08B0"/>
    <w:rsid w:val="009C0CBC"/>
    <w:rsid w:val="009D2FE0"/>
    <w:rsid w:val="009D58D7"/>
    <w:rsid w:val="009D60D9"/>
    <w:rsid w:val="009D65E5"/>
    <w:rsid w:val="009E37C9"/>
    <w:rsid w:val="009E4481"/>
    <w:rsid w:val="009E6ED4"/>
    <w:rsid w:val="009F20FA"/>
    <w:rsid w:val="009F5019"/>
    <w:rsid w:val="00A0111E"/>
    <w:rsid w:val="00A03CA0"/>
    <w:rsid w:val="00A04651"/>
    <w:rsid w:val="00A05C7D"/>
    <w:rsid w:val="00A06FB6"/>
    <w:rsid w:val="00A10C08"/>
    <w:rsid w:val="00A10FBE"/>
    <w:rsid w:val="00A12992"/>
    <w:rsid w:val="00A14CB7"/>
    <w:rsid w:val="00A14E1F"/>
    <w:rsid w:val="00A2479E"/>
    <w:rsid w:val="00A24AF3"/>
    <w:rsid w:val="00A24E55"/>
    <w:rsid w:val="00A26B18"/>
    <w:rsid w:val="00A2777D"/>
    <w:rsid w:val="00A27872"/>
    <w:rsid w:val="00A30019"/>
    <w:rsid w:val="00A323A2"/>
    <w:rsid w:val="00A350AC"/>
    <w:rsid w:val="00A354AC"/>
    <w:rsid w:val="00A35B1F"/>
    <w:rsid w:val="00A45C41"/>
    <w:rsid w:val="00A46D49"/>
    <w:rsid w:val="00A479E1"/>
    <w:rsid w:val="00A56153"/>
    <w:rsid w:val="00A56F2F"/>
    <w:rsid w:val="00A57F93"/>
    <w:rsid w:val="00A61FEE"/>
    <w:rsid w:val="00A643C6"/>
    <w:rsid w:val="00A64E48"/>
    <w:rsid w:val="00A65CBE"/>
    <w:rsid w:val="00A6650C"/>
    <w:rsid w:val="00A7178B"/>
    <w:rsid w:val="00A72F77"/>
    <w:rsid w:val="00A743B0"/>
    <w:rsid w:val="00A801C9"/>
    <w:rsid w:val="00A81C37"/>
    <w:rsid w:val="00A90782"/>
    <w:rsid w:val="00A90BA9"/>
    <w:rsid w:val="00A90C22"/>
    <w:rsid w:val="00A90CE0"/>
    <w:rsid w:val="00A90E52"/>
    <w:rsid w:val="00A93FFA"/>
    <w:rsid w:val="00AA03AA"/>
    <w:rsid w:val="00AA0703"/>
    <w:rsid w:val="00AA1731"/>
    <w:rsid w:val="00AA4D97"/>
    <w:rsid w:val="00AA5E6E"/>
    <w:rsid w:val="00AB010D"/>
    <w:rsid w:val="00AB18CD"/>
    <w:rsid w:val="00AB2C26"/>
    <w:rsid w:val="00AB3F7F"/>
    <w:rsid w:val="00AB4609"/>
    <w:rsid w:val="00AC0ADB"/>
    <w:rsid w:val="00AC5227"/>
    <w:rsid w:val="00AC7EFB"/>
    <w:rsid w:val="00AD26E2"/>
    <w:rsid w:val="00AD301B"/>
    <w:rsid w:val="00AD41E6"/>
    <w:rsid w:val="00AD4B0E"/>
    <w:rsid w:val="00AD5C56"/>
    <w:rsid w:val="00AD5F33"/>
    <w:rsid w:val="00AE07C3"/>
    <w:rsid w:val="00AE1CF0"/>
    <w:rsid w:val="00AE3BA3"/>
    <w:rsid w:val="00AE51D8"/>
    <w:rsid w:val="00AE7935"/>
    <w:rsid w:val="00AF3A5D"/>
    <w:rsid w:val="00AF68EF"/>
    <w:rsid w:val="00AF6ADD"/>
    <w:rsid w:val="00AF76AD"/>
    <w:rsid w:val="00B049E7"/>
    <w:rsid w:val="00B10BF9"/>
    <w:rsid w:val="00B1314E"/>
    <w:rsid w:val="00B14D62"/>
    <w:rsid w:val="00B17757"/>
    <w:rsid w:val="00B17D0B"/>
    <w:rsid w:val="00B17DE4"/>
    <w:rsid w:val="00B22708"/>
    <w:rsid w:val="00B25204"/>
    <w:rsid w:val="00B266CB"/>
    <w:rsid w:val="00B30DB2"/>
    <w:rsid w:val="00B31B39"/>
    <w:rsid w:val="00B34692"/>
    <w:rsid w:val="00B377B5"/>
    <w:rsid w:val="00B37AE4"/>
    <w:rsid w:val="00B403FD"/>
    <w:rsid w:val="00B405E6"/>
    <w:rsid w:val="00B417AF"/>
    <w:rsid w:val="00B46403"/>
    <w:rsid w:val="00B466ED"/>
    <w:rsid w:val="00B46D21"/>
    <w:rsid w:val="00B46D7E"/>
    <w:rsid w:val="00B51110"/>
    <w:rsid w:val="00B53071"/>
    <w:rsid w:val="00B53AA0"/>
    <w:rsid w:val="00B55936"/>
    <w:rsid w:val="00B61D86"/>
    <w:rsid w:val="00B62066"/>
    <w:rsid w:val="00B64FA0"/>
    <w:rsid w:val="00B650F8"/>
    <w:rsid w:val="00B66AA0"/>
    <w:rsid w:val="00B73710"/>
    <w:rsid w:val="00B74614"/>
    <w:rsid w:val="00B8224E"/>
    <w:rsid w:val="00B84119"/>
    <w:rsid w:val="00B85725"/>
    <w:rsid w:val="00B87B40"/>
    <w:rsid w:val="00B87C39"/>
    <w:rsid w:val="00B91303"/>
    <w:rsid w:val="00B9229A"/>
    <w:rsid w:val="00B93DB7"/>
    <w:rsid w:val="00B95F75"/>
    <w:rsid w:val="00B979FE"/>
    <w:rsid w:val="00BA25FA"/>
    <w:rsid w:val="00BA307B"/>
    <w:rsid w:val="00BA4A81"/>
    <w:rsid w:val="00BA52DF"/>
    <w:rsid w:val="00BA71C2"/>
    <w:rsid w:val="00BB03A3"/>
    <w:rsid w:val="00BB0677"/>
    <w:rsid w:val="00BB088B"/>
    <w:rsid w:val="00BB0E0B"/>
    <w:rsid w:val="00BB1999"/>
    <w:rsid w:val="00BB4CFF"/>
    <w:rsid w:val="00BB5267"/>
    <w:rsid w:val="00BB5C0D"/>
    <w:rsid w:val="00BB6CB1"/>
    <w:rsid w:val="00BB7670"/>
    <w:rsid w:val="00BC0065"/>
    <w:rsid w:val="00BC1379"/>
    <w:rsid w:val="00BC2626"/>
    <w:rsid w:val="00BC3C8B"/>
    <w:rsid w:val="00BC3E4B"/>
    <w:rsid w:val="00BC5032"/>
    <w:rsid w:val="00BC762E"/>
    <w:rsid w:val="00BC7A3B"/>
    <w:rsid w:val="00BD7204"/>
    <w:rsid w:val="00BD7E3F"/>
    <w:rsid w:val="00BE0C1B"/>
    <w:rsid w:val="00BE1F87"/>
    <w:rsid w:val="00BE4331"/>
    <w:rsid w:val="00BE4F19"/>
    <w:rsid w:val="00BE557F"/>
    <w:rsid w:val="00BF01F4"/>
    <w:rsid w:val="00BF11E6"/>
    <w:rsid w:val="00BF1E51"/>
    <w:rsid w:val="00BF2D33"/>
    <w:rsid w:val="00BF44A4"/>
    <w:rsid w:val="00BF4A17"/>
    <w:rsid w:val="00BF779E"/>
    <w:rsid w:val="00C023FF"/>
    <w:rsid w:val="00C03E61"/>
    <w:rsid w:val="00C055BA"/>
    <w:rsid w:val="00C066FC"/>
    <w:rsid w:val="00C1009F"/>
    <w:rsid w:val="00C10295"/>
    <w:rsid w:val="00C16672"/>
    <w:rsid w:val="00C226C7"/>
    <w:rsid w:val="00C27F63"/>
    <w:rsid w:val="00C324F8"/>
    <w:rsid w:val="00C331BC"/>
    <w:rsid w:val="00C33BE6"/>
    <w:rsid w:val="00C34634"/>
    <w:rsid w:val="00C3507C"/>
    <w:rsid w:val="00C35C17"/>
    <w:rsid w:val="00C37E8A"/>
    <w:rsid w:val="00C4090B"/>
    <w:rsid w:val="00C424FD"/>
    <w:rsid w:val="00C452FF"/>
    <w:rsid w:val="00C45718"/>
    <w:rsid w:val="00C45F2E"/>
    <w:rsid w:val="00C510C2"/>
    <w:rsid w:val="00C52754"/>
    <w:rsid w:val="00C5402F"/>
    <w:rsid w:val="00C55ED2"/>
    <w:rsid w:val="00C5701F"/>
    <w:rsid w:val="00C57228"/>
    <w:rsid w:val="00C62E39"/>
    <w:rsid w:val="00C63C55"/>
    <w:rsid w:val="00C66E1E"/>
    <w:rsid w:val="00C7458A"/>
    <w:rsid w:val="00C745EE"/>
    <w:rsid w:val="00C749F0"/>
    <w:rsid w:val="00C74A2F"/>
    <w:rsid w:val="00C77701"/>
    <w:rsid w:val="00C82C2D"/>
    <w:rsid w:val="00C83124"/>
    <w:rsid w:val="00C847F5"/>
    <w:rsid w:val="00C86CFA"/>
    <w:rsid w:val="00C87691"/>
    <w:rsid w:val="00C90B12"/>
    <w:rsid w:val="00C92D40"/>
    <w:rsid w:val="00C93A68"/>
    <w:rsid w:val="00C93F12"/>
    <w:rsid w:val="00C95A17"/>
    <w:rsid w:val="00C95A63"/>
    <w:rsid w:val="00C96996"/>
    <w:rsid w:val="00C979AC"/>
    <w:rsid w:val="00CA0281"/>
    <w:rsid w:val="00CA14F0"/>
    <w:rsid w:val="00CA2456"/>
    <w:rsid w:val="00CA2A2A"/>
    <w:rsid w:val="00CA3068"/>
    <w:rsid w:val="00CA3EA7"/>
    <w:rsid w:val="00CB12A8"/>
    <w:rsid w:val="00CB2B89"/>
    <w:rsid w:val="00CB38C8"/>
    <w:rsid w:val="00CB62E5"/>
    <w:rsid w:val="00CC00D6"/>
    <w:rsid w:val="00CC020E"/>
    <w:rsid w:val="00CC2069"/>
    <w:rsid w:val="00CC242F"/>
    <w:rsid w:val="00CC43A3"/>
    <w:rsid w:val="00CC6283"/>
    <w:rsid w:val="00CC6293"/>
    <w:rsid w:val="00CC70DD"/>
    <w:rsid w:val="00CD18EB"/>
    <w:rsid w:val="00CD3501"/>
    <w:rsid w:val="00CD4B71"/>
    <w:rsid w:val="00CE017A"/>
    <w:rsid w:val="00CE0F10"/>
    <w:rsid w:val="00CE141B"/>
    <w:rsid w:val="00CE1F1C"/>
    <w:rsid w:val="00CE6AE5"/>
    <w:rsid w:val="00CF2BB7"/>
    <w:rsid w:val="00CF31E9"/>
    <w:rsid w:val="00D029E3"/>
    <w:rsid w:val="00D02CDE"/>
    <w:rsid w:val="00D0570D"/>
    <w:rsid w:val="00D1146C"/>
    <w:rsid w:val="00D12A4E"/>
    <w:rsid w:val="00D15FD1"/>
    <w:rsid w:val="00D16EF5"/>
    <w:rsid w:val="00D22C59"/>
    <w:rsid w:val="00D2691A"/>
    <w:rsid w:val="00D312DC"/>
    <w:rsid w:val="00D3134E"/>
    <w:rsid w:val="00D32D02"/>
    <w:rsid w:val="00D372BB"/>
    <w:rsid w:val="00D37A60"/>
    <w:rsid w:val="00D400B1"/>
    <w:rsid w:val="00D41528"/>
    <w:rsid w:val="00D43728"/>
    <w:rsid w:val="00D43B1F"/>
    <w:rsid w:val="00D45D64"/>
    <w:rsid w:val="00D4705C"/>
    <w:rsid w:val="00D5231C"/>
    <w:rsid w:val="00D5360E"/>
    <w:rsid w:val="00D53B16"/>
    <w:rsid w:val="00D55A5F"/>
    <w:rsid w:val="00D56755"/>
    <w:rsid w:val="00D61AF2"/>
    <w:rsid w:val="00D622B3"/>
    <w:rsid w:val="00D637F3"/>
    <w:rsid w:val="00D65D68"/>
    <w:rsid w:val="00D66240"/>
    <w:rsid w:val="00D6683C"/>
    <w:rsid w:val="00D74356"/>
    <w:rsid w:val="00D74A97"/>
    <w:rsid w:val="00D74C83"/>
    <w:rsid w:val="00D77414"/>
    <w:rsid w:val="00D82C0D"/>
    <w:rsid w:val="00D84140"/>
    <w:rsid w:val="00D84D89"/>
    <w:rsid w:val="00D85A42"/>
    <w:rsid w:val="00D9042C"/>
    <w:rsid w:val="00D95C99"/>
    <w:rsid w:val="00D963EC"/>
    <w:rsid w:val="00D97CCC"/>
    <w:rsid w:val="00DA1BC6"/>
    <w:rsid w:val="00DA3031"/>
    <w:rsid w:val="00DA5597"/>
    <w:rsid w:val="00DA6D06"/>
    <w:rsid w:val="00DA7A1F"/>
    <w:rsid w:val="00DA7CAD"/>
    <w:rsid w:val="00DB03A3"/>
    <w:rsid w:val="00DB1C62"/>
    <w:rsid w:val="00DB4221"/>
    <w:rsid w:val="00DB45BA"/>
    <w:rsid w:val="00DB5539"/>
    <w:rsid w:val="00DB6479"/>
    <w:rsid w:val="00DB6EF0"/>
    <w:rsid w:val="00DB70E3"/>
    <w:rsid w:val="00DB7953"/>
    <w:rsid w:val="00DC0BAB"/>
    <w:rsid w:val="00DC2709"/>
    <w:rsid w:val="00DC3A96"/>
    <w:rsid w:val="00DC3DF5"/>
    <w:rsid w:val="00DC71B8"/>
    <w:rsid w:val="00DC788F"/>
    <w:rsid w:val="00DD0745"/>
    <w:rsid w:val="00DD28BB"/>
    <w:rsid w:val="00DD43D0"/>
    <w:rsid w:val="00DD496A"/>
    <w:rsid w:val="00DD55FF"/>
    <w:rsid w:val="00DD5922"/>
    <w:rsid w:val="00DD5D83"/>
    <w:rsid w:val="00DD64B9"/>
    <w:rsid w:val="00DD7BE3"/>
    <w:rsid w:val="00DE025F"/>
    <w:rsid w:val="00DE71B7"/>
    <w:rsid w:val="00DF1C5D"/>
    <w:rsid w:val="00DF2019"/>
    <w:rsid w:val="00DF3DF5"/>
    <w:rsid w:val="00DF445B"/>
    <w:rsid w:val="00DF782F"/>
    <w:rsid w:val="00E00516"/>
    <w:rsid w:val="00E00F77"/>
    <w:rsid w:val="00E020F3"/>
    <w:rsid w:val="00E036C4"/>
    <w:rsid w:val="00E101A4"/>
    <w:rsid w:val="00E10AF5"/>
    <w:rsid w:val="00E1180C"/>
    <w:rsid w:val="00E119D3"/>
    <w:rsid w:val="00E15BAE"/>
    <w:rsid w:val="00E1699C"/>
    <w:rsid w:val="00E174A6"/>
    <w:rsid w:val="00E21AAD"/>
    <w:rsid w:val="00E21AC7"/>
    <w:rsid w:val="00E22F93"/>
    <w:rsid w:val="00E25106"/>
    <w:rsid w:val="00E27D2C"/>
    <w:rsid w:val="00E30AEA"/>
    <w:rsid w:val="00E30D10"/>
    <w:rsid w:val="00E32E7B"/>
    <w:rsid w:val="00E36BAB"/>
    <w:rsid w:val="00E36D4A"/>
    <w:rsid w:val="00E370CE"/>
    <w:rsid w:val="00E42D60"/>
    <w:rsid w:val="00E45058"/>
    <w:rsid w:val="00E45EEB"/>
    <w:rsid w:val="00E46E76"/>
    <w:rsid w:val="00E47BAC"/>
    <w:rsid w:val="00E503A1"/>
    <w:rsid w:val="00E51724"/>
    <w:rsid w:val="00E52983"/>
    <w:rsid w:val="00E550E8"/>
    <w:rsid w:val="00E55E81"/>
    <w:rsid w:val="00E5767D"/>
    <w:rsid w:val="00E601C2"/>
    <w:rsid w:val="00E620FB"/>
    <w:rsid w:val="00E62732"/>
    <w:rsid w:val="00E62DCA"/>
    <w:rsid w:val="00E65B2E"/>
    <w:rsid w:val="00E66DE5"/>
    <w:rsid w:val="00E674F2"/>
    <w:rsid w:val="00E72321"/>
    <w:rsid w:val="00E73D54"/>
    <w:rsid w:val="00E744DB"/>
    <w:rsid w:val="00E76973"/>
    <w:rsid w:val="00E81AB4"/>
    <w:rsid w:val="00E81B12"/>
    <w:rsid w:val="00E82170"/>
    <w:rsid w:val="00E82AEC"/>
    <w:rsid w:val="00E8335E"/>
    <w:rsid w:val="00E91E72"/>
    <w:rsid w:val="00E92285"/>
    <w:rsid w:val="00E95B53"/>
    <w:rsid w:val="00EA0C09"/>
    <w:rsid w:val="00EA32BA"/>
    <w:rsid w:val="00EA3F40"/>
    <w:rsid w:val="00EA4BE2"/>
    <w:rsid w:val="00EA533B"/>
    <w:rsid w:val="00EB1083"/>
    <w:rsid w:val="00EB1BF1"/>
    <w:rsid w:val="00EB3871"/>
    <w:rsid w:val="00EC0A12"/>
    <w:rsid w:val="00EC5350"/>
    <w:rsid w:val="00EC6BE3"/>
    <w:rsid w:val="00EC74ED"/>
    <w:rsid w:val="00EC75D8"/>
    <w:rsid w:val="00ED21EB"/>
    <w:rsid w:val="00ED22E5"/>
    <w:rsid w:val="00ED29FB"/>
    <w:rsid w:val="00ED315F"/>
    <w:rsid w:val="00EE0304"/>
    <w:rsid w:val="00EE2D0C"/>
    <w:rsid w:val="00EE3703"/>
    <w:rsid w:val="00EE384C"/>
    <w:rsid w:val="00EF18C2"/>
    <w:rsid w:val="00EF6FC4"/>
    <w:rsid w:val="00EF77CC"/>
    <w:rsid w:val="00F01638"/>
    <w:rsid w:val="00F07E76"/>
    <w:rsid w:val="00F13DCD"/>
    <w:rsid w:val="00F151C2"/>
    <w:rsid w:val="00F164A3"/>
    <w:rsid w:val="00F17910"/>
    <w:rsid w:val="00F20F83"/>
    <w:rsid w:val="00F23C9B"/>
    <w:rsid w:val="00F27A7A"/>
    <w:rsid w:val="00F33FB8"/>
    <w:rsid w:val="00F36815"/>
    <w:rsid w:val="00F36EDE"/>
    <w:rsid w:val="00F43CA0"/>
    <w:rsid w:val="00F519AA"/>
    <w:rsid w:val="00F6181E"/>
    <w:rsid w:val="00F674C6"/>
    <w:rsid w:val="00F67817"/>
    <w:rsid w:val="00F7029C"/>
    <w:rsid w:val="00F735DD"/>
    <w:rsid w:val="00F75334"/>
    <w:rsid w:val="00F77CAA"/>
    <w:rsid w:val="00F81D8B"/>
    <w:rsid w:val="00F81F0F"/>
    <w:rsid w:val="00F82F6D"/>
    <w:rsid w:val="00F83998"/>
    <w:rsid w:val="00F83EF6"/>
    <w:rsid w:val="00F8442A"/>
    <w:rsid w:val="00F8511C"/>
    <w:rsid w:val="00F86ABA"/>
    <w:rsid w:val="00F86F18"/>
    <w:rsid w:val="00F91284"/>
    <w:rsid w:val="00F97A15"/>
    <w:rsid w:val="00FA17C3"/>
    <w:rsid w:val="00FA1C17"/>
    <w:rsid w:val="00FA5445"/>
    <w:rsid w:val="00FA76ED"/>
    <w:rsid w:val="00FB047C"/>
    <w:rsid w:val="00FB1786"/>
    <w:rsid w:val="00FB1EEA"/>
    <w:rsid w:val="00FB63A7"/>
    <w:rsid w:val="00FB6C0E"/>
    <w:rsid w:val="00FB7828"/>
    <w:rsid w:val="00FB7D4E"/>
    <w:rsid w:val="00FC28D9"/>
    <w:rsid w:val="00FC6EF5"/>
    <w:rsid w:val="00FC75E0"/>
    <w:rsid w:val="00FD108C"/>
    <w:rsid w:val="00FD3231"/>
    <w:rsid w:val="00FD38C2"/>
    <w:rsid w:val="00FD6836"/>
    <w:rsid w:val="00FE0BD9"/>
    <w:rsid w:val="00FE36D8"/>
    <w:rsid w:val="00FE46D8"/>
    <w:rsid w:val="00FE4C69"/>
    <w:rsid w:val="00FE5E59"/>
    <w:rsid w:val="00FE5F66"/>
    <w:rsid w:val="00FE7424"/>
    <w:rsid w:val="00FE74E5"/>
    <w:rsid w:val="00FF1FEE"/>
    <w:rsid w:val="00FF6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9C8F-A7C4-4D17-8E7E-C64FFB56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68"/>
  </w:style>
  <w:style w:type="paragraph" w:styleId="1">
    <w:name w:val="heading 1"/>
    <w:basedOn w:val="a"/>
    <w:next w:val="a"/>
    <w:link w:val="10"/>
    <w:uiPriority w:val="9"/>
    <w:qFormat/>
    <w:rsid w:val="007963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1"/>
    <w:qFormat/>
    <w:rsid w:val="00DB1C62"/>
    <w:pPr>
      <w:widowControl w:val="0"/>
      <w:autoSpaceDE w:val="0"/>
      <w:autoSpaceDN w:val="0"/>
      <w:spacing w:after="0" w:line="240" w:lineRule="auto"/>
      <w:ind w:left="1551" w:hanging="1224"/>
      <w:outlineLvl w:val="3"/>
    </w:pPr>
    <w:rPr>
      <w:rFonts w:ascii="Arial" w:eastAsia="Arial" w:hAnsi="Arial" w:cs="Arial"/>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rsid w:val="00DB1C62"/>
    <w:rPr>
      <w:rFonts w:ascii="Arial" w:eastAsia="Arial" w:hAnsi="Arial" w:cs="Arial"/>
      <w:b/>
      <w:bCs/>
      <w:sz w:val="24"/>
      <w:szCs w:val="24"/>
      <w:lang w:val="en-US" w:bidi="en-US"/>
    </w:rPr>
  </w:style>
  <w:style w:type="paragraph" w:customStyle="1" w:styleId="Default">
    <w:name w:val="Default"/>
    <w:rsid w:val="00CA3068"/>
    <w:pPr>
      <w:autoSpaceDE w:val="0"/>
      <w:autoSpaceDN w:val="0"/>
      <w:adjustRightInd w:val="0"/>
      <w:spacing w:after="0" w:line="240" w:lineRule="auto"/>
    </w:pPr>
    <w:rPr>
      <w:rFonts w:ascii="Segoe UI" w:hAnsi="Segoe UI" w:cs="Segoe UI"/>
      <w:color w:val="000000"/>
      <w:sz w:val="24"/>
      <w:szCs w:val="24"/>
    </w:rPr>
  </w:style>
  <w:style w:type="table" w:styleId="a3">
    <w:name w:val="Table Grid"/>
    <w:basedOn w:val="a1"/>
    <w:uiPriority w:val="39"/>
    <w:rsid w:val="00C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punktowane_snoroa"/>
    <w:basedOn w:val="a"/>
    <w:link w:val="a5"/>
    <w:uiPriority w:val="34"/>
    <w:qFormat/>
    <w:rsid w:val="00AF3A5D"/>
    <w:pPr>
      <w:ind w:left="720"/>
      <w:contextualSpacing/>
    </w:pPr>
  </w:style>
  <w:style w:type="character" w:customStyle="1" w:styleId="a5">
    <w:name w:val="Абзац списку Знак"/>
    <w:aliases w:val="punktowane_snoroa Знак"/>
    <w:link w:val="a4"/>
    <w:uiPriority w:val="34"/>
    <w:locked/>
    <w:rsid w:val="00211D2F"/>
  </w:style>
  <w:style w:type="paragraph" w:customStyle="1" w:styleId="a6">
    <w:name w:val="Шапка документу"/>
    <w:basedOn w:val="a"/>
    <w:rsid w:val="005E1066"/>
    <w:pPr>
      <w:keepNext/>
      <w:keepLines/>
      <w:spacing w:after="240" w:line="240" w:lineRule="auto"/>
      <w:ind w:left="4536"/>
      <w:jc w:val="center"/>
    </w:pPr>
    <w:rPr>
      <w:rFonts w:ascii="Antiqua" w:eastAsia="Times New Roman" w:hAnsi="Antiqua" w:cs="Times New Roman"/>
      <w:sz w:val="26"/>
      <w:szCs w:val="20"/>
      <w:lang w:eastAsia="ru-RU"/>
    </w:rPr>
  </w:style>
  <w:style w:type="paragraph" w:styleId="a7">
    <w:name w:val="header"/>
    <w:basedOn w:val="a"/>
    <w:link w:val="a8"/>
    <w:uiPriority w:val="99"/>
    <w:unhideWhenUsed/>
    <w:rsid w:val="006D72B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D72BE"/>
  </w:style>
  <w:style w:type="paragraph" w:styleId="a9">
    <w:name w:val="footer"/>
    <w:basedOn w:val="a"/>
    <w:link w:val="aa"/>
    <w:uiPriority w:val="99"/>
    <w:unhideWhenUsed/>
    <w:rsid w:val="006D72B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D72BE"/>
  </w:style>
  <w:style w:type="table" w:customStyle="1" w:styleId="11">
    <w:name w:val="Сітка таблиці1"/>
    <w:basedOn w:val="a1"/>
    <w:next w:val="a3"/>
    <w:uiPriority w:val="59"/>
    <w:rsid w:val="0016780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152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0C152C"/>
    <w:rPr>
      <w:rFonts w:ascii="Tahoma" w:hAnsi="Tahoma" w:cs="Tahoma"/>
      <w:sz w:val="16"/>
      <w:szCs w:val="16"/>
    </w:rPr>
  </w:style>
  <w:style w:type="paragraph" w:customStyle="1" w:styleId="ad">
    <w:name w:val="Нормальний текст"/>
    <w:basedOn w:val="a"/>
    <w:rsid w:val="00265A07"/>
    <w:pPr>
      <w:spacing w:before="120" w:after="0" w:line="240" w:lineRule="auto"/>
      <w:ind w:firstLine="567"/>
    </w:pPr>
    <w:rPr>
      <w:rFonts w:ascii="Antiqua" w:eastAsia="Times New Roman" w:hAnsi="Antiqua" w:cs="Times New Roman"/>
      <w:sz w:val="26"/>
      <w:szCs w:val="20"/>
      <w:lang w:eastAsia="ru-RU"/>
    </w:rPr>
  </w:style>
  <w:style w:type="paragraph" w:customStyle="1" w:styleId="ae">
    <w:name w:val="a"/>
    <w:basedOn w:val="a"/>
    <w:uiPriority w:val="99"/>
    <w:rsid w:val="00265A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rmal (Web)"/>
    <w:basedOn w:val="a"/>
    <w:uiPriority w:val="99"/>
    <w:unhideWhenUsed/>
    <w:rsid w:val="00802DD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rvps2">
    <w:name w:val="rvps2"/>
    <w:basedOn w:val="a"/>
    <w:rsid w:val="00844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harStyle18">
    <w:name w:val="Char Style 18"/>
    <w:basedOn w:val="a0"/>
    <w:link w:val="Style9"/>
    <w:rsid w:val="00AE7935"/>
    <w:rPr>
      <w:sz w:val="27"/>
      <w:szCs w:val="27"/>
      <w:shd w:val="clear" w:color="auto" w:fill="FFFFFF"/>
    </w:rPr>
  </w:style>
  <w:style w:type="paragraph" w:customStyle="1" w:styleId="Style9">
    <w:name w:val="Style 9"/>
    <w:basedOn w:val="a"/>
    <w:link w:val="CharStyle18"/>
    <w:rsid w:val="00AE7935"/>
    <w:pPr>
      <w:widowControl w:val="0"/>
      <w:shd w:val="clear" w:color="auto" w:fill="FFFFFF"/>
      <w:spacing w:after="0" w:line="0" w:lineRule="atLeast"/>
    </w:pPr>
    <w:rPr>
      <w:sz w:val="27"/>
      <w:szCs w:val="27"/>
    </w:rPr>
  </w:style>
  <w:style w:type="character" w:customStyle="1" w:styleId="CharStyle11">
    <w:name w:val="Char Style 11"/>
    <w:basedOn w:val="a0"/>
    <w:link w:val="Style2"/>
    <w:rsid w:val="00AE7935"/>
    <w:rPr>
      <w:sz w:val="26"/>
      <w:szCs w:val="26"/>
      <w:shd w:val="clear" w:color="auto" w:fill="FFFFFF"/>
    </w:rPr>
  </w:style>
  <w:style w:type="paragraph" w:customStyle="1" w:styleId="Style2">
    <w:name w:val="Style 2"/>
    <w:basedOn w:val="a"/>
    <w:link w:val="CharStyle11"/>
    <w:rsid w:val="00AE7935"/>
    <w:pPr>
      <w:widowControl w:val="0"/>
      <w:shd w:val="clear" w:color="auto" w:fill="FFFFFF"/>
      <w:spacing w:before="1080" w:after="0" w:line="0" w:lineRule="atLeast"/>
    </w:pPr>
    <w:rPr>
      <w:sz w:val="26"/>
      <w:szCs w:val="26"/>
    </w:rPr>
  </w:style>
  <w:style w:type="character" w:styleId="af0">
    <w:name w:val="Emphasis"/>
    <w:basedOn w:val="a0"/>
    <w:uiPriority w:val="20"/>
    <w:qFormat/>
    <w:rsid w:val="00AE7935"/>
    <w:rPr>
      <w:i/>
      <w:iCs/>
    </w:rPr>
  </w:style>
  <w:style w:type="character" w:customStyle="1" w:styleId="CharStyle9">
    <w:name w:val="Char Style 9"/>
    <w:basedOn w:val="a0"/>
    <w:link w:val="Style8"/>
    <w:rsid w:val="00AE7935"/>
    <w:rPr>
      <w:sz w:val="26"/>
      <w:szCs w:val="26"/>
      <w:shd w:val="clear" w:color="auto" w:fill="FFFFFF"/>
    </w:rPr>
  </w:style>
  <w:style w:type="paragraph" w:customStyle="1" w:styleId="Style8">
    <w:name w:val="Style 8"/>
    <w:basedOn w:val="a"/>
    <w:link w:val="CharStyle9"/>
    <w:rsid w:val="00AE7935"/>
    <w:pPr>
      <w:widowControl w:val="0"/>
      <w:shd w:val="clear" w:color="auto" w:fill="FFFFFF"/>
      <w:spacing w:before="300" w:after="60" w:line="317" w:lineRule="exact"/>
      <w:jc w:val="both"/>
    </w:pPr>
    <w:rPr>
      <w:sz w:val="26"/>
      <w:szCs w:val="26"/>
    </w:rPr>
  </w:style>
  <w:style w:type="paragraph" w:styleId="af1">
    <w:name w:val="Body Text"/>
    <w:basedOn w:val="a"/>
    <w:link w:val="af2"/>
    <w:uiPriority w:val="1"/>
    <w:qFormat/>
    <w:rsid w:val="00DB1C62"/>
    <w:pPr>
      <w:widowControl w:val="0"/>
      <w:autoSpaceDE w:val="0"/>
      <w:autoSpaceDN w:val="0"/>
      <w:spacing w:after="0" w:line="240" w:lineRule="auto"/>
    </w:pPr>
    <w:rPr>
      <w:rFonts w:ascii="Arial" w:eastAsia="Arial" w:hAnsi="Arial" w:cs="Arial"/>
      <w:lang w:val="en-US" w:bidi="en-US"/>
    </w:rPr>
  </w:style>
  <w:style w:type="character" w:customStyle="1" w:styleId="af2">
    <w:name w:val="Основний текст Знак"/>
    <w:basedOn w:val="a0"/>
    <w:link w:val="af1"/>
    <w:uiPriority w:val="1"/>
    <w:rsid w:val="00DB1C62"/>
    <w:rPr>
      <w:rFonts w:ascii="Arial" w:eastAsia="Arial" w:hAnsi="Arial" w:cs="Arial"/>
      <w:lang w:val="en-US" w:bidi="en-US"/>
    </w:rPr>
  </w:style>
  <w:style w:type="paragraph" w:styleId="af3">
    <w:name w:val="footnote text"/>
    <w:basedOn w:val="a"/>
    <w:link w:val="af4"/>
    <w:uiPriority w:val="99"/>
    <w:unhideWhenUsed/>
    <w:rsid w:val="00DB1C62"/>
    <w:pPr>
      <w:widowControl w:val="0"/>
      <w:autoSpaceDE w:val="0"/>
      <w:autoSpaceDN w:val="0"/>
      <w:spacing w:after="0" w:line="240" w:lineRule="auto"/>
    </w:pPr>
    <w:rPr>
      <w:rFonts w:ascii="Arial" w:eastAsia="Arial" w:hAnsi="Arial" w:cs="Arial"/>
      <w:sz w:val="20"/>
      <w:szCs w:val="20"/>
      <w:lang w:val="en-US" w:bidi="en-US"/>
    </w:rPr>
  </w:style>
  <w:style w:type="character" w:customStyle="1" w:styleId="af4">
    <w:name w:val="Текст виноски Знак"/>
    <w:basedOn w:val="a0"/>
    <w:link w:val="af3"/>
    <w:uiPriority w:val="99"/>
    <w:rsid w:val="00DB1C62"/>
    <w:rPr>
      <w:rFonts w:ascii="Arial" w:eastAsia="Arial" w:hAnsi="Arial" w:cs="Arial"/>
      <w:sz w:val="20"/>
      <w:szCs w:val="20"/>
      <w:lang w:val="en-US" w:bidi="en-US"/>
    </w:rPr>
  </w:style>
  <w:style w:type="character" w:styleId="af5">
    <w:name w:val="footnote reference"/>
    <w:basedOn w:val="a0"/>
    <w:uiPriority w:val="99"/>
    <w:semiHidden/>
    <w:unhideWhenUsed/>
    <w:rsid w:val="00DB1C62"/>
    <w:rPr>
      <w:vertAlign w:val="superscript"/>
    </w:rPr>
  </w:style>
  <w:style w:type="paragraph" w:styleId="2">
    <w:name w:val="Body Text 2"/>
    <w:basedOn w:val="a"/>
    <w:link w:val="20"/>
    <w:uiPriority w:val="99"/>
    <w:semiHidden/>
    <w:unhideWhenUsed/>
    <w:rsid w:val="00520B57"/>
    <w:pPr>
      <w:spacing w:after="120" w:line="480" w:lineRule="auto"/>
    </w:pPr>
  </w:style>
  <w:style w:type="character" w:customStyle="1" w:styleId="20">
    <w:name w:val="Основний текст 2 Знак"/>
    <w:basedOn w:val="a0"/>
    <w:link w:val="2"/>
    <w:uiPriority w:val="99"/>
    <w:semiHidden/>
    <w:rsid w:val="00520B57"/>
  </w:style>
  <w:style w:type="character" w:styleId="af6">
    <w:name w:val="Hyperlink"/>
    <w:basedOn w:val="a0"/>
    <w:uiPriority w:val="99"/>
    <w:unhideWhenUsed/>
    <w:rsid w:val="00520B57"/>
    <w:rPr>
      <w:color w:val="0000FF" w:themeColor="hyperlink"/>
      <w:u w:val="single"/>
    </w:rPr>
  </w:style>
  <w:style w:type="paragraph" w:customStyle="1" w:styleId="ListParagraph1">
    <w:name w:val="List Paragraph1"/>
    <w:basedOn w:val="a"/>
    <w:rsid w:val="00520B57"/>
    <w:pPr>
      <w:overflowPunct w:val="0"/>
      <w:autoSpaceDE w:val="0"/>
      <w:autoSpaceDN w:val="0"/>
      <w:adjustRightInd w:val="0"/>
      <w:ind w:left="720"/>
    </w:pPr>
    <w:rPr>
      <w:rFonts w:ascii="Calibri" w:eastAsia="Times New Roman" w:hAnsi="Calibri" w:cs="Times New Roman"/>
      <w:szCs w:val="20"/>
      <w:lang w:val="ru-RU" w:eastAsia="ru-RU"/>
    </w:rPr>
  </w:style>
  <w:style w:type="paragraph" w:customStyle="1" w:styleId="Pa15">
    <w:name w:val="Pa15"/>
    <w:basedOn w:val="a"/>
    <w:next w:val="a"/>
    <w:rsid w:val="00520B57"/>
    <w:pPr>
      <w:overflowPunct w:val="0"/>
      <w:autoSpaceDE w:val="0"/>
      <w:autoSpaceDN w:val="0"/>
      <w:adjustRightInd w:val="0"/>
      <w:spacing w:after="0" w:line="241" w:lineRule="atLeast"/>
    </w:pPr>
    <w:rPr>
      <w:rFonts w:ascii="Times New Roman" w:eastAsia="Times New Roman" w:hAnsi="Times New Roman" w:cs="Times New Roman"/>
      <w:sz w:val="24"/>
      <w:szCs w:val="20"/>
      <w:lang w:val="ru-RU" w:eastAsia="ru-RU"/>
    </w:rPr>
  </w:style>
  <w:style w:type="paragraph" w:styleId="21">
    <w:name w:val="Body Text Indent 2"/>
    <w:basedOn w:val="a"/>
    <w:link w:val="22"/>
    <w:uiPriority w:val="99"/>
    <w:semiHidden/>
    <w:unhideWhenUsed/>
    <w:rsid w:val="008A3898"/>
    <w:pPr>
      <w:spacing w:after="120" w:line="480" w:lineRule="auto"/>
      <w:ind w:left="283"/>
    </w:pPr>
  </w:style>
  <w:style w:type="character" w:customStyle="1" w:styleId="22">
    <w:name w:val="Основний текст з відступом 2 Знак"/>
    <w:basedOn w:val="a0"/>
    <w:link w:val="21"/>
    <w:uiPriority w:val="99"/>
    <w:semiHidden/>
    <w:rsid w:val="008A3898"/>
  </w:style>
  <w:style w:type="paragraph" w:customStyle="1" w:styleId="DecimalAligned">
    <w:name w:val="Decimal Aligned"/>
    <w:basedOn w:val="a"/>
    <w:uiPriority w:val="40"/>
    <w:qFormat/>
    <w:rsid w:val="00211D2F"/>
    <w:pPr>
      <w:tabs>
        <w:tab w:val="decimal" w:pos="360"/>
      </w:tabs>
    </w:pPr>
    <w:rPr>
      <w:rFonts w:eastAsiaTheme="minorEastAsia" w:cs="Times New Roman"/>
      <w:lang w:eastAsia="uk-UA"/>
    </w:rPr>
  </w:style>
  <w:style w:type="character" w:styleId="af7">
    <w:name w:val="Subtle Emphasis"/>
    <w:basedOn w:val="a0"/>
    <w:uiPriority w:val="19"/>
    <w:qFormat/>
    <w:rsid w:val="00211D2F"/>
    <w:rPr>
      <w:i/>
      <w:iCs/>
    </w:rPr>
  </w:style>
  <w:style w:type="character" w:customStyle="1" w:styleId="rvts9">
    <w:name w:val="rvts9"/>
    <w:basedOn w:val="a0"/>
    <w:rsid w:val="00211D2F"/>
  </w:style>
  <w:style w:type="character" w:customStyle="1" w:styleId="rvts46">
    <w:name w:val="rvts46"/>
    <w:basedOn w:val="a0"/>
    <w:rsid w:val="00211D2F"/>
  </w:style>
  <w:style w:type="character" w:customStyle="1" w:styleId="rvts37">
    <w:name w:val="rvts37"/>
    <w:basedOn w:val="a0"/>
    <w:rsid w:val="00211D2F"/>
  </w:style>
  <w:style w:type="table" w:customStyle="1" w:styleId="210">
    <w:name w:val="Звичайна таблиця 21"/>
    <w:basedOn w:val="a1"/>
    <w:uiPriority w:val="42"/>
    <w:rsid w:val="00211D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1">
    <w:name w:val="Сітка таблиці 1 (світла) – акцент 11"/>
    <w:basedOn w:val="a1"/>
    <w:uiPriority w:val="46"/>
    <w:rsid w:val="00211D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211D2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510">
    <w:name w:val="Сітка таблиці 1 (світла) – акцент 51"/>
    <w:basedOn w:val="a1"/>
    <w:uiPriority w:val="46"/>
    <w:rsid w:val="009A10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af8">
    <w:name w:val="Strong"/>
    <w:basedOn w:val="a0"/>
    <w:uiPriority w:val="22"/>
    <w:qFormat/>
    <w:rsid w:val="00721D19"/>
    <w:rPr>
      <w:b/>
      <w:bCs/>
    </w:rPr>
  </w:style>
  <w:style w:type="paragraph" w:styleId="af9">
    <w:name w:val="Title"/>
    <w:basedOn w:val="a"/>
    <w:next w:val="a"/>
    <w:link w:val="afa"/>
    <w:uiPriority w:val="10"/>
    <w:qFormat/>
    <w:rsid w:val="00796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 Знак"/>
    <w:basedOn w:val="a0"/>
    <w:link w:val="af9"/>
    <w:uiPriority w:val="10"/>
    <w:rsid w:val="0079639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96398"/>
    <w:rPr>
      <w:rFonts w:asciiTheme="majorHAnsi" w:eastAsiaTheme="majorEastAsia" w:hAnsiTheme="majorHAnsi" w:cstheme="majorBidi"/>
      <w:color w:val="365F91" w:themeColor="accent1" w:themeShade="BF"/>
      <w:sz w:val="32"/>
      <w:szCs w:val="32"/>
    </w:rPr>
  </w:style>
  <w:style w:type="character" w:styleId="afb">
    <w:name w:val="annotation reference"/>
    <w:basedOn w:val="a0"/>
    <w:uiPriority w:val="99"/>
    <w:semiHidden/>
    <w:unhideWhenUsed/>
    <w:rsid w:val="009447F6"/>
    <w:rPr>
      <w:sz w:val="16"/>
      <w:szCs w:val="16"/>
    </w:rPr>
  </w:style>
  <w:style w:type="paragraph" w:styleId="afc">
    <w:name w:val="annotation text"/>
    <w:basedOn w:val="a"/>
    <w:link w:val="afd"/>
    <w:uiPriority w:val="99"/>
    <w:semiHidden/>
    <w:unhideWhenUsed/>
    <w:rsid w:val="009447F6"/>
    <w:pPr>
      <w:spacing w:line="240" w:lineRule="auto"/>
    </w:pPr>
    <w:rPr>
      <w:sz w:val="20"/>
      <w:szCs w:val="20"/>
    </w:rPr>
  </w:style>
  <w:style w:type="character" w:customStyle="1" w:styleId="afd">
    <w:name w:val="Текст примітки Знак"/>
    <w:basedOn w:val="a0"/>
    <w:link w:val="afc"/>
    <w:uiPriority w:val="99"/>
    <w:semiHidden/>
    <w:rsid w:val="009447F6"/>
    <w:rPr>
      <w:sz w:val="20"/>
      <w:szCs w:val="20"/>
    </w:rPr>
  </w:style>
  <w:style w:type="paragraph" w:styleId="afe">
    <w:name w:val="annotation subject"/>
    <w:basedOn w:val="afc"/>
    <w:next w:val="afc"/>
    <w:link w:val="aff"/>
    <w:uiPriority w:val="99"/>
    <w:semiHidden/>
    <w:unhideWhenUsed/>
    <w:rsid w:val="009447F6"/>
    <w:rPr>
      <w:b/>
      <w:bCs/>
    </w:rPr>
  </w:style>
  <w:style w:type="character" w:customStyle="1" w:styleId="aff">
    <w:name w:val="Тема примітки Знак"/>
    <w:basedOn w:val="afd"/>
    <w:link w:val="afe"/>
    <w:uiPriority w:val="99"/>
    <w:semiHidden/>
    <w:rsid w:val="009447F6"/>
    <w:rPr>
      <w:b/>
      <w:bCs/>
      <w:sz w:val="20"/>
      <w:szCs w:val="20"/>
    </w:rPr>
  </w:style>
  <w:style w:type="paragraph" w:styleId="aff0">
    <w:name w:val="Revision"/>
    <w:hidden/>
    <w:uiPriority w:val="99"/>
    <w:semiHidden/>
    <w:rsid w:val="00594FDE"/>
    <w:pPr>
      <w:spacing w:after="0" w:line="240" w:lineRule="auto"/>
    </w:pPr>
  </w:style>
  <w:style w:type="table" w:styleId="3">
    <w:name w:val="Light Shading Accent 3"/>
    <w:basedOn w:val="a1"/>
    <w:uiPriority w:val="60"/>
    <w:rsid w:val="00ED22E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f1">
    <w:name w:val="TOC Heading"/>
    <w:basedOn w:val="1"/>
    <w:next w:val="a"/>
    <w:uiPriority w:val="39"/>
    <w:unhideWhenUsed/>
    <w:qFormat/>
    <w:rsid w:val="001207EB"/>
    <w:pPr>
      <w:spacing w:line="259" w:lineRule="auto"/>
      <w:outlineLvl w:val="9"/>
    </w:pPr>
    <w:rPr>
      <w:lang w:eastAsia="uk-UA"/>
    </w:rPr>
  </w:style>
  <w:style w:type="paragraph" w:styleId="12">
    <w:name w:val="toc 1"/>
    <w:basedOn w:val="a"/>
    <w:next w:val="a"/>
    <w:autoRedefine/>
    <w:uiPriority w:val="39"/>
    <w:unhideWhenUsed/>
    <w:rsid w:val="001207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605">
      <w:bodyDiv w:val="1"/>
      <w:marLeft w:val="0"/>
      <w:marRight w:val="0"/>
      <w:marTop w:val="0"/>
      <w:marBottom w:val="0"/>
      <w:divBdr>
        <w:top w:val="none" w:sz="0" w:space="0" w:color="auto"/>
        <w:left w:val="none" w:sz="0" w:space="0" w:color="auto"/>
        <w:bottom w:val="none" w:sz="0" w:space="0" w:color="auto"/>
        <w:right w:val="none" w:sz="0" w:space="0" w:color="auto"/>
      </w:divBdr>
    </w:div>
    <w:div w:id="485821685">
      <w:bodyDiv w:val="1"/>
      <w:marLeft w:val="0"/>
      <w:marRight w:val="0"/>
      <w:marTop w:val="0"/>
      <w:marBottom w:val="0"/>
      <w:divBdr>
        <w:top w:val="none" w:sz="0" w:space="0" w:color="auto"/>
        <w:left w:val="none" w:sz="0" w:space="0" w:color="auto"/>
        <w:bottom w:val="none" w:sz="0" w:space="0" w:color="auto"/>
        <w:right w:val="none" w:sz="0" w:space="0" w:color="auto"/>
      </w:divBdr>
    </w:div>
    <w:div w:id="1081832554">
      <w:bodyDiv w:val="1"/>
      <w:marLeft w:val="0"/>
      <w:marRight w:val="0"/>
      <w:marTop w:val="0"/>
      <w:marBottom w:val="0"/>
      <w:divBdr>
        <w:top w:val="none" w:sz="0" w:space="0" w:color="auto"/>
        <w:left w:val="none" w:sz="0" w:space="0" w:color="auto"/>
        <w:bottom w:val="none" w:sz="0" w:space="0" w:color="auto"/>
        <w:right w:val="none" w:sz="0" w:space="0" w:color="auto"/>
      </w:divBdr>
    </w:div>
    <w:div w:id="1114596686">
      <w:bodyDiv w:val="1"/>
      <w:marLeft w:val="0"/>
      <w:marRight w:val="0"/>
      <w:marTop w:val="0"/>
      <w:marBottom w:val="0"/>
      <w:divBdr>
        <w:top w:val="none" w:sz="0" w:space="0" w:color="auto"/>
        <w:left w:val="none" w:sz="0" w:space="0" w:color="auto"/>
        <w:bottom w:val="none" w:sz="0" w:space="0" w:color="auto"/>
        <w:right w:val="none" w:sz="0" w:space="0" w:color="auto"/>
      </w:divBdr>
    </w:div>
    <w:div w:id="1605764134">
      <w:bodyDiv w:val="1"/>
      <w:marLeft w:val="0"/>
      <w:marRight w:val="0"/>
      <w:marTop w:val="0"/>
      <w:marBottom w:val="0"/>
      <w:divBdr>
        <w:top w:val="none" w:sz="0" w:space="0" w:color="auto"/>
        <w:left w:val="none" w:sz="0" w:space="0" w:color="auto"/>
        <w:bottom w:val="none" w:sz="0" w:space="0" w:color="auto"/>
        <w:right w:val="none" w:sz="0" w:space="0" w:color="auto"/>
      </w:divBdr>
    </w:div>
    <w:div w:id="1605770002">
      <w:bodyDiv w:val="1"/>
      <w:marLeft w:val="0"/>
      <w:marRight w:val="0"/>
      <w:marTop w:val="0"/>
      <w:marBottom w:val="0"/>
      <w:divBdr>
        <w:top w:val="none" w:sz="0" w:space="0" w:color="auto"/>
        <w:left w:val="none" w:sz="0" w:space="0" w:color="auto"/>
        <w:bottom w:val="none" w:sz="0" w:space="0" w:color="auto"/>
        <w:right w:val="none" w:sz="0" w:space="0" w:color="auto"/>
      </w:divBdr>
    </w:div>
    <w:div w:id="1923222102">
      <w:bodyDiv w:val="1"/>
      <w:marLeft w:val="0"/>
      <w:marRight w:val="0"/>
      <w:marTop w:val="0"/>
      <w:marBottom w:val="0"/>
      <w:divBdr>
        <w:top w:val="none" w:sz="0" w:space="0" w:color="auto"/>
        <w:left w:val="none" w:sz="0" w:space="0" w:color="auto"/>
        <w:bottom w:val="none" w:sz="0" w:space="0" w:color="auto"/>
        <w:right w:val="none" w:sz="0" w:space="0" w:color="auto"/>
      </w:divBdr>
    </w:div>
    <w:div w:id="20851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26531/vnbu2018.245.03" TargetMode="Externa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minfin.local\user_profiles\Profiles\lutak\Documents\&#1060;&#1110;&#1089;&#1082;&#1072;&#1083;&#1100;&#1085;&#1110;%20&#1088;&#1080;&#1079;&#1080;&#1082;&#1080;\2019\&#1055;&#1045;&#1056;&#1045;&#1051;&#1030;&#1050;%202019\&#1054;&#1085;&#1086;&#1074;&#1083;&#1077;&#1085;&#1085;&#1103;%20&#1055;&#1077;&#1088;&#1077;&#1083;&#1110;&#1082;&#1091;%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infin.local\user_profiles\Profiles\lutak\Documents\&#1060;&#1110;&#1089;&#1082;&#1072;&#1083;&#1100;&#1085;&#1110;%20&#1088;&#1080;&#1079;&#1080;&#1082;&#1080;\2019\&#1055;&#1045;&#1056;&#1045;&#1051;&#1030;&#1050;%202019\&#1054;&#1085;&#1086;&#1074;&#1083;&#1077;&#1085;&#1085;&#1103;%20&#1055;&#1077;&#1088;&#1077;&#1083;&#1110;&#1082;&#1091;%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infin.local\user_profiles\Profiles\lutak\Documents\&#1060;&#1110;&#1089;&#1082;&#1072;&#1083;&#1100;&#1085;&#1110;%20&#1088;&#1080;&#1079;&#1080;&#1082;&#1080;\2019\&#1055;&#1045;&#1056;&#1045;&#1051;&#1030;&#1050;%202019\&#1054;&#1085;&#1086;&#1074;&#1083;&#1077;&#1085;&#1085;&#1103;%20&#1055;&#1077;&#1088;&#1077;&#1083;&#1110;&#1082;&#1091;%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infin.local\user_profiles\Profiles\lutak\Documents\&#1060;&#1110;&#1089;&#1082;&#1072;&#1083;&#1100;&#1085;&#1110;%20&#1088;&#1080;&#1079;&#1080;&#1082;&#1080;\2019\&#1055;&#1045;&#1056;&#1045;&#1051;&#1030;&#1050;%202019\&#1054;&#1085;&#1086;&#1074;&#1083;&#1077;&#1085;&#1085;&#1103;%20&#1055;&#1077;&#1088;&#1077;&#1083;&#1110;&#1082;&#1091;%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infin.local\user_profiles\Profiles\lutak\Documents\&#1060;&#1110;&#1089;&#1082;&#1072;&#1083;&#1100;&#1085;&#1110;%20&#1088;&#1080;&#1079;&#1080;&#1082;&#1080;\2019\&#1055;&#1045;&#1056;&#1045;&#1051;&#1030;&#1050;%202019\&#1054;&#1085;&#1086;&#1074;&#1083;&#1077;&#1085;&#1085;&#1103;%20&#1055;&#1077;&#1088;&#1077;&#1083;&#1110;&#1082;&#1091;%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uk-UA" sz="1050" b="1">
                <a:solidFill>
                  <a:schemeClr val="tx1"/>
                </a:solidFill>
              </a:rPr>
              <a:t>Динаміка надходжень до загального фонду державного бюджету частини чистого прибутку та дивідендів, млрд грн</a:t>
            </a:r>
          </a:p>
        </c:rich>
      </c:tx>
      <c:layout/>
      <c:overlay val="0"/>
      <c:spPr>
        <a:noFill/>
        <a:ln>
          <a:noFill/>
        </a:ln>
        <a:effectLst/>
      </c:spPr>
    </c:title>
    <c:autoTitleDeleted val="0"/>
    <c:plotArea>
      <c:layout/>
      <c:barChart>
        <c:barDir val="col"/>
        <c:grouping val="clustered"/>
        <c:varyColors val="0"/>
        <c:ser>
          <c:idx val="0"/>
          <c:order val="0"/>
          <c:tx>
            <c:strRef>
              <c:f>'ЧЧП+дивіденди'!$B$12</c:f>
              <c:strCache>
                <c:ptCount val="1"/>
                <c:pt idx="0">
                  <c:v>ПЛАН</c:v>
                </c:pt>
              </c:strCache>
            </c:strRef>
          </c:tx>
          <c:spPr>
            <a:solidFill>
              <a:srgbClr val="FFC000"/>
            </a:solidFill>
            <a:ln>
              <a:noFill/>
            </a:ln>
            <a:effectLst/>
            <a:sp3d/>
          </c:spPr>
          <c:invertIfNegative val="0"/>
          <c:dLbls>
            <c:dLbl>
              <c:idx val="0"/>
              <c:layout>
                <c:manualLayout>
                  <c:x val="1.0442773600668318E-2"/>
                  <c:y val="-3.6469730123997752E-3"/>
                </c:manualLayout>
              </c:layout>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41B-453E-92A7-B4808BBCFBF2}"/>
                </c:ext>
              </c:extLst>
            </c:dLbl>
            <c:dLbl>
              <c:idx val="1"/>
              <c:layout>
                <c:manualLayout>
                  <c:x val="6.2656641604010022E-3"/>
                  <c:y val="-7.2939460247994498E-3"/>
                </c:manualLayout>
              </c:layout>
              <c:tx>
                <c:rich>
                  <a:bodyPr/>
                  <a:lstStyle/>
                  <a:p>
                    <a:r>
                      <a:rPr lang="en-US"/>
                      <a:t>35,4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41B-453E-92A7-B4808BBCFBF2}"/>
                </c:ext>
              </c:extLst>
            </c:dLbl>
            <c:dLbl>
              <c:idx val="2"/>
              <c:layout>
                <c:manualLayout>
                  <c:x val="2.0885547201336674E-2"/>
                  <c:y val="-7.2939460247994168E-3"/>
                </c:manualLayout>
              </c:layout>
              <c:tx>
                <c:rich>
                  <a:bodyPr/>
                  <a:lstStyle/>
                  <a:p>
                    <a:r>
                      <a:rPr lang="en-US"/>
                      <a:t>44,5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41B-453E-92A7-B4808BBCFBF2}"/>
                </c:ext>
              </c:extLst>
            </c:dLbl>
            <c:dLbl>
              <c:idx val="3"/>
              <c:layout>
                <c:manualLayout>
                  <c:x val="-4.1684611970476551E-3"/>
                  <c:y val="-1.4319270057459034E-2"/>
                </c:manualLayout>
              </c:layout>
              <c:tx>
                <c:rich>
                  <a:bodyPr/>
                  <a:lstStyle/>
                  <a:p>
                    <a:r>
                      <a:rPr lang="en-US"/>
                      <a:t>32,4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41B-453E-92A7-B4808BBCFB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'ЧЧП+дивіденди'!$A$13:$A$16</c:f>
              <c:strCache>
                <c:ptCount val="4"/>
                <c:pt idx="0">
                  <c:v>2017 рік</c:v>
                </c:pt>
                <c:pt idx="1">
                  <c:v>2018 рік</c:v>
                </c:pt>
                <c:pt idx="2">
                  <c:v>2019 рік</c:v>
                </c:pt>
                <c:pt idx="3">
                  <c:v>2020 рік</c:v>
                </c:pt>
              </c:strCache>
            </c:strRef>
          </c:cat>
          <c:val>
            <c:numRef>
              <c:f>'ЧЧП+дивіденди'!$B$13:$B$16</c:f>
              <c:numCache>
                <c:formatCode>#\ ##0.0</c:formatCode>
                <c:ptCount val="4"/>
                <c:pt idx="0">
                  <c:v>25.038</c:v>
                </c:pt>
                <c:pt idx="1">
                  <c:v>35.4428597</c:v>
                </c:pt>
                <c:pt idx="2">
                  <c:v>44.543999999999997</c:v>
                </c:pt>
                <c:pt idx="3">
                  <c:v>23.095700000000001</c:v>
                </c:pt>
              </c:numCache>
            </c:numRef>
          </c:val>
          <c:extLst>
            <c:ext xmlns:c16="http://schemas.microsoft.com/office/drawing/2014/chart" uri="{C3380CC4-5D6E-409C-BE32-E72D297353CC}">
              <c16:uniqueId val="{00000000-641B-453E-92A7-B4808BBCFBF2}"/>
            </c:ext>
          </c:extLst>
        </c:ser>
        <c:ser>
          <c:idx val="1"/>
          <c:order val="1"/>
          <c:tx>
            <c:strRef>
              <c:f>'ЧЧП+дивіденди'!$C$12</c:f>
              <c:strCache>
                <c:ptCount val="1"/>
                <c:pt idx="0">
                  <c:v>ФАКТ</c:v>
                </c:pt>
              </c:strCache>
            </c:strRef>
          </c:tx>
          <c:spPr>
            <a:solidFill>
              <a:schemeClr val="bg1">
                <a:lumMod val="65000"/>
              </a:schemeClr>
            </a:solidFill>
            <a:ln>
              <a:noFill/>
            </a:ln>
            <a:effectLst/>
            <a:sp3d/>
          </c:spPr>
          <c:invertIfNegative val="0"/>
          <c:dPt>
            <c:idx val="2"/>
            <c:invertIfNegative val="0"/>
            <c:bubble3D val="0"/>
            <c:extLst>
              <c:ext xmlns:c16="http://schemas.microsoft.com/office/drawing/2014/chart" uri="{C3380CC4-5D6E-409C-BE32-E72D297353CC}">
                <c16:uniqueId val="{0000000B-641B-453E-92A7-B4808BBCFBF2}"/>
              </c:ext>
            </c:extLst>
          </c:dPt>
          <c:dLbls>
            <c:dLbl>
              <c:idx val="0"/>
              <c:layout>
                <c:manualLayout>
                  <c:x val="1.8796992481203006E-2"/>
                  <c:y val="-3.6469730123997084E-3"/>
                </c:manualLayout>
              </c:layout>
              <c:tx>
                <c:rich>
                  <a:bodyPr/>
                  <a:lstStyle/>
                  <a:p>
                    <a:r>
                      <a:rPr lang="en-US"/>
                      <a:t>24,6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41B-453E-92A7-B4808BBCFBF2}"/>
                </c:ext>
              </c:extLst>
            </c:dLbl>
            <c:dLbl>
              <c:idx val="1"/>
              <c:layout>
                <c:manualLayout>
                  <c:x val="1.2531328320802004E-2"/>
                  <c:y val="-3.6469730123997084E-3"/>
                </c:manualLayout>
              </c:layout>
              <c:tx>
                <c:rich>
                  <a:bodyPr/>
                  <a:lstStyle/>
                  <a:p>
                    <a:r>
                      <a:rPr lang="en-US"/>
                      <a:t>38,8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41B-453E-92A7-B4808BBCFBF2}"/>
                </c:ext>
              </c:extLst>
            </c:dLbl>
            <c:dLbl>
              <c:idx val="2"/>
              <c:layout>
                <c:manualLayout>
                  <c:x val="1.8796992481203083E-2"/>
                  <c:y val="-3.6469730123997418E-3"/>
                </c:manualLayout>
              </c:layout>
              <c:tx>
                <c:rich>
                  <a:bodyPr/>
                  <a:lstStyle/>
                  <a:p>
                    <a:r>
                      <a:rPr lang="en-US"/>
                      <a:t>35,9*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41B-453E-92A7-B4808BBCFB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'ЧЧП+дивіденди'!$A$13:$A$16</c:f>
              <c:strCache>
                <c:ptCount val="4"/>
                <c:pt idx="0">
                  <c:v>2017 рік</c:v>
                </c:pt>
                <c:pt idx="1">
                  <c:v>2018 рік</c:v>
                </c:pt>
                <c:pt idx="2">
                  <c:v>2019 рік</c:v>
                </c:pt>
                <c:pt idx="3">
                  <c:v>2020 рік</c:v>
                </c:pt>
              </c:strCache>
            </c:strRef>
          </c:cat>
          <c:val>
            <c:numRef>
              <c:f>'ЧЧП+дивіденди'!$C$13:$C$16</c:f>
              <c:numCache>
                <c:formatCode>#\ ##0.0</c:formatCode>
                <c:ptCount val="4"/>
                <c:pt idx="0">
                  <c:v>24.637051400000001</c:v>
                </c:pt>
                <c:pt idx="1">
                  <c:v>38.832981699999998</c:v>
                </c:pt>
                <c:pt idx="2">
                  <c:v>35.911499999999997</c:v>
                </c:pt>
              </c:numCache>
            </c:numRef>
          </c:val>
          <c:extLst>
            <c:ext xmlns:c16="http://schemas.microsoft.com/office/drawing/2014/chart" uri="{C3380CC4-5D6E-409C-BE32-E72D297353CC}">
              <c16:uniqueId val="{00000001-641B-453E-92A7-B4808BBCFBF2}"/>
            </c:ext>
          </c:extLst>
        </c:ser>
        <c:dLbls>
          <c:showLegendKey val="0"/>
          <c:showVal val="0"/>
          <c:showCatName val="0"/>
          <c:showSerName val="0"/>
          <c:showPercent val="0"/>
          <c:showBubbleSize val="0"/>
        </c:dLbls>
        <c:gapWidth val="150"/>
        <c:axId val="75426432"/>
        <c:axId val="132841856"/>
      </c:barChart>
      <c:catAx>
        <c:axId val="75426432"/>
        <c:scaling>
          <c:orientation val="minMax"/>
        </c:scaling>
        <c:delete val="0"/>
        <c:axPos val="b"/>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crossAx val="132841856"/>
        <c:crosses val="autoZero"/>
        <c:auto val="1"/>
        <c:lblAlgn val="ctr"/>
        <c:lblOffset val="100"/>
        <c:noMultiLvlLbl val="0"/>
      </c:catAx>
      <c:valAx>
        <c:axId val="132841856"/>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5426432"/>
        <c:crosses val="autoZero"/>
        <c:crossBetween val="between"/>
      </c:valAx>
      <c:spPr>
        <a:noFill/>
        <a:ln>
          <a:noFill/>
        </a:ln>
        <a:effectLst/>
        <a:sp3d/>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6350" cap="flat" cmpd="sng" algn="ctr">
      <a:no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b="1" i="0" baseline="0">
                <a:effectLst/>
              </a:rPr>
              <a:t> </a:t>
            </a:r>
            <a:r>
              <a:rPr lang="ru-RU" sz="1050" b="1" i="0" baseline="0">
                <a:solidFill>
                  <a:schemeClr val="tx1"/>
                </a:solidFill>
                <a:effectLst/>
              </a:rPr>
              <a:t>Суми коштів, що підлягють стягненню із суб’єктів господарювання, з якими можуть бути пов’язані найбільші фіскальні ризики, згідно рішень судів, які набрали законної сили, </a:t>
            </a:r>
            <a:r>
              <a:rPr lang="uk-UA" sz="1050" b="1" i="0" baseline="0">
                <a:solidFill>
                  <a:schemeClr val="tx1"/>
                </a:solidFill>
                <a:effectLst/>
              </a:rPr>
              <a:t>станом на 01.07.2019, млрд грн</a:t>
            </a:r>
            <a:endParaRPr lang="uk-UA" sz="800">
              <a:solidFill>
                <a:schemeClr val="tx1"/>
              </a:solidFill>
              <a:effectLst/>
            </a:endParaRPr>
          </a:p>
        </c:rich>
      </c:tx>
      <c:layout>
        <c:manualLayout>
          <c:xMode val="edge"/>
          <c:yMode val="edge"/>
          <c:x val="0.13132261210490834"/>
          <c:y val="1.0432968179447054E-2"/>
        </c:manualLayout>
      </c:layout>
      <c:overlay val="0"/>
      <c:spPr>
        <a:noFill/>
        <a:ln>
          <a:noFill/>
        </a:ln>
        <a:effectLst/>
      </c:spPr>
    </c:title>
    <c:autoTitleDeleted val="0"/>
    <c:plotArea>
      <c:layout>
        <c:manualLayout>
          <c:layoutTarget val="inner"/>
          <c:xMode val="edge"/>
          <c:yMode val="edge"/>
          <c:x val="0.4181211996256079"/>
          <c:y val="0.1592529937664042"/>
          <c:w val="0.58013970978066653"/>
          <c:h val="0.79442123725144675"/>
        </c:manualLayout>
      </c:layout>
      <c:barChart>
        <c:barDir val="col"/>
        <c:grouping val="clustered"/>
        <c:varyColors val="0"/>
        <c:ser>
          <c:idx val="0"/>
          <c:order val="0"/>
          <c:tx>
            <c:strRef>
              <c:f>різне!$B$25</c:f>
              <c:strCache>
                <c:ptCount val="1"/>
                <c:pt idx="0">
                  <c:v>ДП "ВО ПМЗ ім. О.М. Макарова" та ДП "КБ "Південне" ім. М.К. Янгеля" (разом)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різне!$C$25</c:f>
              <c:numCache>
                <c:formatCode>#\ ##0.00_ ;\-#\ ##0.00\ </c:formatCode>
                <c:ptCount val="1"/>
                <c:pt idx="0">
                  <c:v>5.8553826874125301</c:v>
                </c:pt>
              </c:numCache>
            </c:numRef>
          </c:val>
          <c:extLst>
            <c:ext xmlns:c16="http://schemas.microsoft.com/office/drawing/2014/chart" uri="{C3380CC4-5D6E-409C-BE32-E72D297353CC}">
              <c16:uniqueId val="{00000000-DE0A-4621-AF6A-184B7D07660E}"/>
            </c:ext>
          </c:extLst>
        </c:ser>
        <c:ser>
          <c:idx val="1"/>
          <c:order val="1"/>
          <c:tx>
            <c:strRef>
              <c:f>різне!$B$26</c:f>
              <c:strCache>
                <c:ptCount val="1"/>
                <c:pt idx="0">
                  <c:v>АТ "Укртрансгаз"</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різне!$C$26</c:f>
              <c:numCache>
                <c:formatCode>#\ ##0.00_ ;\-#\ ##0.00\ </c:formatCode>
                <c:ptCount val="1"/>
                <c:pt idx="0">
                  <c:v>5.2052656613700004</c:v>
                </c:pt>
              </c:numCache>
            </c:numRef>
          </c:val>
          <c:extLst>
            <c:ext xmlns:c16="http://schemas.microsoft.com/office/drawing/2014/chart" uri="{C3380CC4-5D6E-409C-BE32-E72D297353CC}">
              <c16:uniqueId val="{00000001-DE0A-4621-AF6A-184B7D07660E}"/>
            </c:ext>
          </c:extLst>
        </c:ser>
        <c:ser>
          <c:idx val="2"/>
          <c:order val="2"/>
          <c:tx>
            <c:strRef>
              <c:f>різне!$B$27</c:f>
              <c:strCache>
                <c:ptCount val="1"/>
                <c:pt idx="0">
                  <c:v>АТ "Українська залізниця"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різне!$C$27</c:f>
              <c:numCache>
                <c:formatCode>#\ ##0.00_ ;\-#\ ##0.00\ </c:formatCode>
                <c:ptCount val="1"/>
                <c:pt idx="0">
                  <c:v>3.2732399999999999</c:v>
                </c:pt>
              </c:numCache>
            </c:numRef>
          </c:val>
          <c:extLst>
            <c:ext xmlns:c16="http://schemas.microsoft.com/office/drawing/2014/chart" uri="{C3380CC4-5D6E-409C-BE32-E72D297353CC}">
              <c16:uniqueId val="{00000002-DE0A-4621-AF6A-184B7D07660E}"/>
            </c:ext>
          </c:extLst>
        </c:ser>
        <c:ser>
          <c:idx val="3"/>
          <c:order val="3"/>
          <c:tx>
            <c:strRef>
              <c:f>різне!$B$28</c:f>
              <c:strCache>
                <c:ptCount val="1"/>
                <c:pt idx="0">
                  <c:v>ДП "Торецьквугілля"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різне!$C$28</c:f>
              <c:numCache>
                <c:formatCode>#\ ##0.00_ ;\-#\ ##0.00\ </c:formatCode>
                <c:ptCount val="1"/>
                <c:pt idx="0">
                  <c:v>1.4415100000000001</c:v>
                </c:pt>
              </c:numCache>
            </c:numRef>
          </c:val>
          <c:extLst>
            <c:ext xmlns:c16="http://schemas.microsoft.com/office/drawing/2014/chart" uri="{C3380CC4-5D6E-409C-BE32-E72D297353CC}">
              <c16:uniqueId val="{00000003-DE0A-4621-AF6A-184B7D07660E}"/>
            </c:ext>
          </c:extLst>
        </c:ser>
        <c:ser>
          <c:idx val="4"/>
          <c:order val="4"/>
          <c:tx>
            <c:strRef>
              <c:f>різне!$B$29</c:f>
              <c:strCache>
                <c:ptCount val="1"/>
                <c:pt idx="0">
                  <c:v>ДП "Первомайськвугілля"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різне!$C$29</c:f>
              <c:numCache>
                <c:formatCode>#\ ##0.00_ ;\-#\ ##0.00\ </c:formatCode>
                <c:ptCount val="1"/>
                <c:pt idx="0">
                  <c:v>0.94599</c:v>
                </c:pt>
              </c:numCache>
            </c:numRef>
          </c:val>
          <c:extLst>
            <c:ext xmlns:c16="http://schemas.microsoft.com/office/drawing/2014/chart" uri="{C3380CC4-5D6E-409C-BE32-E72D297353CC}">
              <c16:uniqueId val="{00000004-DE0A-4621-AF6A-184B7D07660E}"/>
            </c:ext>
          </c:extLst>
        </c:ser>
        <c:ser>
          <c:idx val="5"/>
          <c:order val="5"/>
          <c:tx>
            <c:strRef>
              <c:f>різне!$B$30</c:f>
              <c:strCache>
                <c:ptCount val="1"/>
                <c:pt idx="0">
                  <c:v>ДП "Селидіввугілля"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різне!$C$30</c:f>
              <c:numCache>
                <c:formatCode>#\ ##0.00_ ;\-#\ ##0.00\ </c:formatCode>
                <c:ptCount val="1"/>
                <c:pt idx="0">
                  <c:v>0.92984654</c:v>
                </c:pt>
              </c:numCache>
            </c:numRef>
          </c:val>
          <c:extLst>
            <c:ext xmlns:c16="http://schemas.microsoft.com/office/drawing/2014/chart" uri="{C3380CC4-5D6E-409C-BE32-E72D297353CC}">
              <c16:uniqueId val="{00000005-DE0A-4621-AF6A-184B7D07660E}"/>
            </c:ext>
          </c:extLst>
        </c:ser>
        <c:ser>
          <c:idx val="6"/>
          <c:order val="6"/>
          <c:tx>
            <c:strRef>
              <c:f>різне!$B$31</c:f>
              <c:strCache>
                <c:ptCount val="1"/>
                <c:pt idx="0">
                  <c:v>ДП "Шахтоуправління "Південно-донбаське №1"</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різне!$C$31</c:f>
              <c:numCache>
                <c:formatCode>#\ ##0.00_ ;\-#\ ##0.00\ </c:formatCode>
                <c:ptCount val="1"/>
                <c:pt idx="0">
                  <c:v>0.80676000000000003</c:v>
                </c:pt>
              </c:numCache>
            </c:numRef>
          </c:val>
          <c:extLst>
            <c:ext xmlns:c16="http://schemas.microsoft.com/office/drawing/2014/chart" uri="{C3380CC4-5D6E-409C-BE32-E72D297353CC}">
              <c16:uniqueId val="{00000006-DE0A-4621-AF6A-184B7D07660E}"/>
            </c:ext>
          </c:extLst>
        </c:ser>
        <c:ser>
          <c:idx val="7"/>
          <c:order val="7"/>
          <c:tx>
            <c:strRef>
              <c:f>різне!$B$32</c:f>
              <c:strCache>
                <c:ptCount val="1"/>
                <c:pt idx="0">
                  <c:v>ПАТ "Лисичанськвугілля"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різне!$C$32</c:f>
              <c:numCache>
                <c:formatCode>#\ ##0.00_ ;\-#\ ##0.00\ </c:formatCode>
                <c:ptCount val="1"/>
                <c:pt idx="0">
                  <c:v>0.68340999999999996</c:v>
                </c:pt>
              </c:numCache>
            </c:numRef>
          </c:val>
          <c:extLst>
            <c:ext xmlns:c16="http://schemas.microsoft.com/office/drawing/2014/chart" uri="{C3380CC4-5D6E-409C-BE32-E72D297353CC}">
              <c16:uniqueId val="{00000007-DE0A-4621-AF6A-184B7D07660E}"/>
            </c:ext>
          </c:extLst>
        </c:ser>
        <c:ser>
          <c:idx val="8"/>
          <c:order val="8"/>
          <c:tx>
            <c:strRef>
              <c:f>різне!$B$33</c:f>
              <c:strCache>
                <c:ptCount val="1"/>
                <c:pt idx="0">
                  <c:v>ДП "Шахта ім. М.С. Сургая"</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різне!$C$33</c:f>
              <c:numCache>
                <c:formatCode>#\ ##0.00_ ;\-#\ ##0.00\ </c:formatCode>
                <c:ptCount val="1"/>
                <c:pt idx="0">
                  <c:v>0.66805600000000009</c:v>
                </c:pt>
              </c:numCache>
            </c:numRef>
          </c:val>
          <c:extLst>
            <c:ext xmlns:c16="http://schemas.microsoft.com/office/drawing/2014/chart" uri="{C3380CC4-5D6E-409C-BE32-E72D297353CC}">
              <c16:uniqueId val="{00000008-DE0A-4621-AF6A-184B7D07660E}"/>
            </c:ext>
          </c:extLst>
        </c:ser>
        <c:ser>
          <c:idx val="9"/>
          <c:order val="9"/>
          <c:tx>
            <c:strRef>
              <c:f>різне!$B$34</c:f>
              <c:strCache>
                <c:ptCount val="1"/>
                <c:pt idx="0">
                  <c:v>ДП "НАЕК "Енергоатом"</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різне!$C$34</c:f>
              <c:numCache>
                <c:formatCode>#\ ##0.00_ ;\-#\ ##0.00\ </c:formatCode>
                <c:ptCount val="1"/>
                <c:pt idx="0">
                  <c:v>0.60893299999999995</c:v>
                </c:pt>
              </c:numCache>
            </c:numRef>
          </c:val>
          <c:extLst>
            <c:ext xmlns:c16="http://schemas.microsoft.com/office/drawing/2014/chart" uri="{C3380CC4-5D6E-409C-BE32-E72D297353CC}">
              <c16:uniqueId val="{00000009-DE0A-4621-AF6A-184B7D07660E}"/>
            </c:ext>
          </c:extLst>
        </c:ser>
        <c:ser>
          <c:idx val="10"/>
          <c:order val="10"/>
          <c:tx>
            <c:strRef>
              <c:f>різне!$B$35</c:f>
              <c:strCache>
                <c:ptCount val="1"/>
                <c:pt idx="0">
                  <c:v>ДП "НВКГ "Зоря"-"Машпроект"</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різне!$C$35</c:f>
              <c:numCache>
                <c:formatCode>#\ ##0.00_ ;\-#\ ##0.00\ </c:formatCode>
                <c:ptCount val="1"/>
                <c:pt idx="0">
                  <c:v>0.34001073835000001</c:v>
                </c:pt>
              </c:numCache>
            </c:numRef>
          </c:val>
          <c:extLst>
            <c:ext xmlns:c16="http://schemas.microsoft.com/office/drawing/2014/chart" uri="{C3380CC4-5D6E-409C-BE32-E72D297353CC}">
              <c16:uniqueId val="{0000000A-DE0A-4621-AF6A-184B7D07660E}"/>
            </c:ext>
          </c:extLst>
        </c:ser>
        <c:ser>
          <c:idx val="11"/>
          <c:order val="11"/>
          <c:tx>
            <c:strRef>
              <c:f>різне!$B$36</c:f>
              <c:strCache>
                <c:ptCount val="1"/>
                <c:pt idx="0">
                  <c:v>ДП "ВО ПМЗ  ім О.М.Макарова"</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різне!$C$36</c:f>
              <c:numCache>
                <c:formatCode>#\ ##0.00_ ;\-#\ ##0.00\ </c:formatCode>
                <c:ptCount val="1"/>
                <c:pt idx="0">
                  <c:v>0.13672443816999999</c:v>
                </c:pt>
              </c:numCache>
            </c:numRef>
          </c:val>
          <c:extLst>
            <c:ext xmlns:c16="http://schemas.microsoft.com/office/drawing/2014/chart" uri="{C3380CC4-5D6E-409C-BE32-E72D297353CC}">
              <c16:uniqueId val="{0000000B-DE0A-4621-AF6A-184B7D07660E}"/>
            </c:ext>
          </c:extLst>
        </c:ser>
        <c:ser>
          <c:idx val="12"/>
          <c:order val="12"/>
          <c:tx>
            <c:strRef>
              <c:f>різне!$B$37</c:f>
              <c:strCache>
                <c:ptCount val="1"/>
                <c:pt idx="0">
                  <c:v>ДП "Укркосмос"</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різне!$C$37</c:f>
              <c:numCache>
                <c:formatCode>#\ ##0.00_ ;\-#\ ##0.00\ </c:formatCode>
                <c:ptCount val="1"/>
                <c:pt idx="0">
                  <c:v>8.8174240000000001E-2</c:v>
                </c:pt>
              </c:numCache>
            </c:numRef>
          </c:val>
          <c:extLst>
            <c:ext xmlns:c16="http://schemas.microsoft.com/office/drawing/2014/chart" uri="{C3380CC4-5D6E-409C-BE32-E72D297353CC}">
              <c16:uniqueId val="{0000000C-DE0A-4621-AF6A-184B7D07660E}"/>
            </c:ext>
          </c:extLst>
        </c:ser>
        <c:ser>
          <c:idx val="13"/>
          <c:order val="13"/>
          <c:tx>
            <c:strRef>
              <c:f>різне!$B$43</c:f>
              <c:strCache>
                <c:ptCount val="1"/>
                <c:pt idx="0">
                  <c:v>ПАТ "Державна продовольчо-зернова корпорація України"</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різне!$C$43</c:f>
              <c:numCache>
                <c:formatCode>#\ ##0.00_ ;\-#\ ##0.00\ </c:formatCode>
                <c:ptCount val="1"/>
                <c:pt idx="0">
                  <c:v>8.4659999999999999E-2</c:v>
                </c:pt>
              </c:numCache>
            </c:numRef>
          </c:val>
          <c:extLst>
            <c:ext xmlns:c16="http://schemas.microsoft.com/office/drawing/2014/chart" uri="{C3380CC4-5D6E-409C-BE32-E72D297353CC}">
              <c16:uniqueId val="{0000000D-DE0A-4621-AF6A-184B7D07660E}"/>
            </c:ext>
          </c:extLst>
        </c:ser>
        <c:ser>
          <c:idx val="14"/>
          <c:order val="14"/>
          <c:tx>
            <c:strRef>
              <c:f>різне!$B$38</c:f>
              <c:strCache>
                <c:ptCount val="1"/>
                <c:pt idx="0">
                  <c:v>інші </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різне!$C$38</c:f>
              <c:numCache>
                <c:formatCode>#\ ##0.00_ ;\-#\ ##0.00\ </c:formatCode>
                <c:ptCount val="1"/>
                <c:pt idx="0">
                  <c:v>0.11395646</c:v>
                </c:pt>
              </c:numCache>
            </c:numRef>
          </c:val>
          <c:extLst>
            <c:ext xmlns:c16="http://schemas.microsoft.com/office/drawing/2014/chart" uri="{C3380CC4-5D6E-409C-BE32-E72D297353CC}">
              <c16:uniqueId val="{0000000E-DE0A-4621-AF6A-184B7D07660E}"/>
            </c:ext>
          </c:extLst>
        </c:ser>
        <c:dLbls>
          <c:showLegendKey val="0"/>
          <c:showVal val="0"/>
          <c:showCatName val="0"/>
          <c:showSerName val="0"/>
          <c:showPercent val="0"/>
          <c:showBubbleSize val="0"/>
        </c:dLbls>
        <c:gapWidth val="150"/>
        <c:axId val="133160960"/>
        <c:axId val="133162496"/>
      </c:barChart>
      <c:catAx>
        <c:axId val="13316096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162496"/>
        <c:crosses val="autoZero"/>
        <c:auto val="1"/>
        <c:lblAlgn val="ctr"/>
        <c:lblOffset val="100"/>
        <c:noMultiLvlLbl val="0"/>
      </c:catAx>
      <c:valAx>
        <c:axId val="133162496"/>
        <c:scaling>
          <c:orientation val="minMax"/>
        </c:scaling>
        <c:delete val="0"/>
        <c:axPos val="l"/>
        <c:majorGridlines>
          <c:spPr>
            <a:ln w="9525" cap="flat" cmpd="sng" algn="ctr">
              <a:solidFill>
                <a:schemeClr val="tx1">
                  <a:lumMod val="15000"/>
                  <a:lumOff val="85000"/>
                </a:schemeClr>
              </a:solidFill>
              <a:round/>
            </a:ln>
            <a:effectLst/>
          </c:spPr>
        </c:majorGridlines>
        <c:numFmt formatCode="#\ ##0.00_ ;\-#\ ##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3160960"/>
        <c:crossesAt val="1"/>
        <c:crossBetween val="between"/>
      </c:valAx>
      <c:spPr>
        <a:noFill/>
        <a:ln>
          <a:noFill/>
        </a:ln>
        <a:effectLst/>
      </c:spPr>
    </c:plotArea>
    <c:legend>
      <c:legendPos val="l"/>
      <c:layout>
        <c:manualLayout>
          <c:xMode val="edge"/>
          <c:yMode val="edge"/>
          <c:x val="9.8887515451174281E-3"/>
          <c:y val="0.12925396553691659"/>
          <c:w val="0.34635131331775548"/>
          <c:h val="0.85598220144356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6350" cap="flat" cmpd="sng" algn="ctr">
      <a:no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r>
              <a:rPr kumimoji="0" lang="uk-UA" sz="1050" b="1" i="0" u="none" strike="noStrike" kern="1200" cap="none" spc="0" normalizeH="0" baseline="0" noProof="0">
                <a:ln>
                  <a:noFill/>
                </a:ln>
                <a:solidFill>
                  <a:schemeClr val="tx1"/>
                </a:solidFill>
                <a:effectLst/>
                <a:uLnTx/>
                <a:uFillTx/>
                <a:latin typeface="Calibri" panose="020F0502020204030204"/>
              </a:rPr>
              <a:t>Інформація про платежі з погашення та обслуговування гарантованого державою боргу суб’єктами господарювання, з якими можуть бути пов’язані найбільші фіскальні ризики, у 2019 році, млрд грн </a:t>
            </a:r>
            <a:endParaRPr lang="uk-UA" sz="1050" b="1">
              <a:solidFill>
                <a:schemeClr val="tx1"/>
              </a:solidFill>
              <a:effectLst/>
            </a:endParaRPr>
          </a:p>
        </c:rich>
      </c:tx>
      <c:layout>
        <c:manualLayout>
          <c:xMode val="edge"/>
          <c:yMode val="edge"/>
          <c:x val="0.10833246861056348"/>
          <c:y val="7.3135056070209653E-3"/>
        </c:manualLayout>
      </c:layout>
      <c:overlay val="0"/>
      <c:spPr>
        <a:noFill/>
        <a:ln>
          <a:noFill/>
        </a:ln>
        <a:effectLst/>
      </c:spPr>
    </c:title>
    <c:autoTitleDeleted val="0"/>
    <c:plotArea>
      <c:layout>
        <c:manualLayout>
          <c:layoutTarget val="inner"/>
          <c:xMode val="edge"/>
          <c:yMode val="edge"/>
          <c:x val="0.37244511189240287"/>
          <c:y val="0.18710435295164377"/>
          <c:w val="0.61592696782986178"/>
          <c:h val="0.76588942698534379"/>
        </c:manualLayout>
      </c:layout>
      <c:barChart>
        <c:barDir val="col"/>
        <c:grouping val="clustered"/>
        <c:varyColors val="0"/>
        <c:ser>
          <c:idx val="0"/>
          <c:order val="0"/>
          <c:tx>
            <c:strRef>
              <c:f>Графіки!$B$111</c:f>
              <c:strCache>
                <c:ptCount val="1"/>
                <c:pt idx="0">
                  <c:v>АТ "НАК "Нафтогаз України"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Графіки!$C$111</c:f>
              <c:numCache>
                <c:formatCode>#\ ##0.0</c:formatCode>
                <c:ptCount val="1"/>
                <c:pt idx="0">
                  <c:v>12.413069999999999</c:v>
                </c:pt>
              </c:numCache>
            </c:numRef>
          </c:val>
          <c:extLst>
            <c:ext xmlns:c16="http://schemas.microsoft.com/office/drawing/2014/chart" uri="{C3380CC4-5D6E-409C-BE32-E72D297353CC}">
              <c16:uniqueId val="{00000000-3B41-4104-B99E-58F571490626}"/>
            </c:ext>
          </c:extLst>
        </c:ser>
        <c:ser>
          <c:idx val="1"/>
          <c:order val="1"/>
          <c:tx>
            <c:strRef>
              <c:f>Графіки!$B$112</c:f>
              <c:strCache>
                <c:ptCount val="1"/>
                <c:pt idx="0">
                  <c:v>ПАТ "Державна продовольчо-
зернова корпорація України"</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Графіки!$C$112</c:f>
              <c:numCache>
                <c:formatCode>#\ ##0.0</c:formatCode>
                <c:ptCount val="1"/>
                <c:pt idx="0">
                  <c:v>6.6445699999999999</c:v>
                </c:pt>
              </c:numCache>
            </c:numRef>
          </c:val>
          <c:extLst>
            <c:ext xmlns:c16="http://schemas.microsoft.com/office/drawing/2014/chart" uri="{C3380CC4-5D6E-409C-BE32-E72D297353CC}">
              <c16:uniqueId val="{00000001-3B41-4104-B99E-58F571490626}"/>
            </c:ext>
          </c:extLst>
        </c:ser>
        <c:ser>
          <c:idx val="2"/>
          <c:order val="2"/>
          <c:tx>
            <c:strRef>
              <c:f>Графіки!$B$113</c:f>
              <c:strCache>
                <c:ptCount val="1"/>
                <c:pt idx="0">
                  <c:v>ДП "Укркосмос"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Графіки!$C$113</c:f>
              <c:numCache>
                <c:formatCode>#\ ##0.0</c:formatCode>
                <c:ptCount val="1"/>
                <c:pt idx="0">
                  <c:v>1.34385</c:v>
                </c:pt>
              </c:numCache>
            </c:numRef>
          </c:val>
          <c:extLst>
            <c:ext xmlns:c16="http://schemas.microsoft.com/office/drawing/2014/chart" uri="{C3380CC4-5D6E-409C-BE32-E72D297353CC}">
              <c16:uniqueId val="{00000002-3B41-4104-B99E-58F571490626}"/>
            </c:ext>
          </c:extLst>
        </c:ser>
        <c:ser>
          <c:idx val="3"/>
          <c:order val="3"/>
          <c:tx>
            <c:strRef>
              <c:f>Графіки!$B$114</c:f>
              <c:strCache>
                <c:ptCount val="1"/>
                <c:pt idx="0">
                  <c:v>ПАТ "Укрзалізниця"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Графіки!$C$114</c:f>
              <c:numCache>
                <c:formatCode>#\ ##0.0</c:formatCode>
                <c:ptCount val="1"/>
                <c:pt idx="0">
                  <c:v>1.2668600000000001</c:v>
                </c:pt>
              </c:numCache>
            </c:numRef>
          </c:val>
          <c:extLst>
            <c:ext xmlns:c16="http://schemas.microsoft.com/office/drawing/2014/chart" uri="{C3380CC4-5D6E-409C-BE32-E72D297353CC}">
              <c16:uniqueId val="{00000003-3B41-4104-B99E-58F571490626}"/>
            </c:ext>
          </c:extLst>
        </c:ser>
        <c:ser>
          <c:idx val="4"/>
          <c:order val="4"/>
          <c:tx>
            <c:strRef>
              <c:f>Графіки!$B$115</c:f>
              <c:strCache>
                <c:ptCount val="1"/>
                <c:pt idx="0">
                  <c:v>ДП "НАЕК "Енергоатом"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Графіки!$C$115</c:f>
              <c:numCache>
                <c:formatCode>#\ ##0.0</c:formatCode>
                <c:ptCount val="1"/>
                <c:pt idx="0">
                  <c:v>1.0150999999999999</c:v>
                </c:pt>
              </c:numCache>
            </c:numRef>
          </c:val>
          <c:extLst>
            <c:ext xmlns:c16="http://schemas.microsoft.com/office/drawing/2014/chart" uri="{C3380CC4-5D6E-409C-BE32-E72D297353CC}">
              <c16:uniqueId val="{00000004-3B41-4104-B99E-58F571490626}"/>
            </c:ext>
          </c:extLst>
        </c:ser>
        <c:ser>
          <c:idx val="5"/>
          <c:order val="5"/>
          <c:tx>
            <c:strRef>
              <c:f>Графіки!$B$116</c:f>
              <c:strCache>
                <c:ptCount val="1"/>
                <c:pt idx="0">
                  <c:v>ДП " Харківське КБ
з машинобудування ім. О.О.Морозова"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Графіки!$C$116</c:f>
              <c:numCache>
                <c:formatCode>#\ ##0.0</c:formatCode>
                <c:ptCount val="1"/>
                <c:pt idx="0">
                  <c:v>0.44330000000000003</c:v>
                </c:pt>
              </c:numCache>
            </c:numRef>
          </c:val>
          <c:extLst>
            <c:ext xmlns:c16="http://schemas.microsoft.com/office/drawing/2014/chart" uri="{C3380CC4-5D6E-409C-BE32-E72D297353CC}">
              <c16:uniqueId val="{00000005-3B41-4104-B99E-58F571490626}"/>
            </c:ext>
          </c:extLst>
        </c:ser>
        <c:ser>
          <c:idx val="6"/>
          <c:order val="6"/>
          <c:tx>
            <c:strRef>
              <c:f>Графіки!$B$117</c:f>
              <c:strCache>
                <c:ptCount val="1"/>
                <c:pt idx="0">
                  <c:v>ПАТ "Лисичанськвугілля"</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Графіки!$C$117</c:f>
              <c:numCache>
                <c:formatCode>#\ ##0.0</c:formatCode>
                <c:ptCount val="1"/>
                <c:pt idx="0">
                  <c:v>0.38952999999999999</c:v>
                </c:pt>
              </c:numCache>
            </c:numRef>
          </c:val>
          <c:extLst>
            <c:ext xmlns:c16="http://schemas.microsoft.com/office/drawing/2014/chart" uri="{C3380CC4-5D6E-409C-BE32-E72D297353CC}">
              <c16:uniqueId val="{00000006-3B41-4104-B99E-58F571490626}"/>
            </c:ext>
          </c:extLst>
        </c:ser>
        <c:ser>
          <c:idx val="7"/>
          <c:order val="7"/>
          <c:tx>
            <c:strRef>
              <c:f>Графіки!$B$118</c:f>
              <c:strCache>
                <c:ptCount val="1"/>
                <c:pt idx="0">
                  <c:v>АТ  "Укртрансгаз"</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Графіки!$C$118</c:f>
              <c:numCache>
                <c:formatCode>#\ ##0.0</c:formatCode>
                <c:ptCount val="1"/>
                <c:pt idx="0">
                  <c:v>0.11729000000000001</c:v>
                </c:pt>
              </c:numCache>
            </c:numRef>
          </c:val>
          <c:extLst>
            <c:ext xmlns:c16="http://schemas.microsoft.com/office/drawing/2014/chart" uri="{C3380CC4-5D6E-409C-BE32-E72D297353CC}">
              <c16:uniqueId val="{00000007-3B41-4104-B99E-58F571490626}"/>
            </c:ext>
          </c:extLst>
        </c:ser>
        <c:ser>
          <c:idx val="8"/>
          <c:order val="8"/>
          <c:tx>
            <c:strRef>
              <c:f>Графіки!$B$119</c:f>
              <c:strCache>
                <c:ptCount val="1"/>
                <c:pt idx="0">
                  <c:v>ПрАТ Укргідроенерго</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Графіки!$C$110</c:f>
              <c:strCache>
                <c:ptCount val="1"/>
                <c:pt idx="0">
                  <c:v>2019 рік</c:v>
                </c:pt>
              </c:strCache>
            </c:strRef>
          </c:cat>
          <c:val>
            <c:numRef>
              <c:f>Графіки!$C$119</c:f>
              <c:numCache>
                <c:formatCode>#,##0.00</c:formatCode>
                <c:ptCount val="1"/>
                <c:pt idx="0">
                  <c:v>3.1870000000000002E-2</c:v>
                </c:pt>
              </c:numCache>
            </c:numRef>
          </c:val>
          <c:extLst>
            <c:ext xmlns:c16="http://schemas.microsoft.com/office/drawing/2014/chart" uri="{C3380CC4-5D6E-409C-BE32-E72D297353CC}">
              <c16:uniqueId val="{00000008-3B41-4104-B99E-58F571490626}"/>
            </c:ext>
          </c:extLst>
        </c:ser>
        <c:dLbls>
          <c:showLegendKey val="0"/>
          <c:showVal val="0"/>
          <c:showCatName val="0"/>
          <c:showSerName val="0"/>
          <c:showPercent val="0"/>
          <c:showBubbleSize val="0"/>
        </c:dLbls>
        <c:gapWidth val="150"/>
        <c:axId val="133290240"/>
        <c:axId val="132988928"/>
      </c:barChart>
      <c:catAx>
        <c:axId val="1332902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2988928"/>
        <c:crosses val="autoZero"/>
        <c:auto val="1"/>
        <c:lblAlgn val="ctr"/>
        <c:lblOffset val="100"/>
        <c:noMultiLvlLbl val="0"/>
      </c:catAx>
      <c:valAx>
        <c:axId val="13298892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3290240"/>
        <c:crossesAt val="1"/>
        <c:crossBetween val="between"/>
      </c:valAx>
      <c:spPr>
        <a:noFill/>
        <a:ln>
          <a:noFill/>
        </a:ln>
        <a:effectLst/>
      </c:spPr>
    </c:plotArea>
    <c:legend>
      <c:legendPos val="l"/>
      <c:layout>
        <c:manualLayout>
          <c:xMode val="edge"/>
          <c:yMode val="edge"/>
          <c:x val="6.2260039431358306E-3"/>
          <c:y val="0.18787451621513415"/>
          <c:w val="0.33955922833501784"/>
          <c:h val="0.793798631918797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6350" cap="flat" cmpd="sng" algn="ctr">
      <a:no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r>
              <a:rPr kumimoji="0" lang="uk-UA" sz="1050" b="1" i="0" u="none" strike="noStrike" kern="1200" cap="none" spc="0" normalizeH="0" baseline="0" noProof="0">
                <a:ln>
                  <a:noFill/>
                </a:ln>
                <a:solidFill>
                  <a:schemeClr val="tx1"/>
                </a:solidFill>
                <a:effectLst/>
                <a:uLnTx/>
                <a:uFillTx/>
                <a:latin typeface="Calibri" panose="020F0502020204030204"/>
              </a:rPr>
              <a:t>Інформація про платежі з погашення та обслуговування гарантованого державою боргу суб’єктами господарювання, з якими можуть бути пов’язані найбільші фіскальні ризики, у 20</a:t>
            </a:r>
            <a:r>
              <a:rPr kumimoji="0" lang="en-US" sz="1050" b="1" i="0" u="none" strike="noStrike" kern="1200" cap="none" spc="0" normalizeH="0" baseline="0" noProof="0">
                <a:ln>
                  <a:noFill/>
                </a:ln>
                <a:solidFill>
                  <a:schemeClr val="tx1"/>
                </a:solidFill>
                <a:effectLst/>
                <a:uLnTx/>
                <a:uFillTx/>
                <a:latin typeface="Calibri" panose="020F0502020204030204"/>
              </a:rPr>
              <a:t>20</a:t>
            </a:r>
            <a:r>
              <a:rPr kumimoji="0" lang="uk-UA" sz="1050" b="1" i="0" u="none" strike="noStrike" kern="1200" cap="none" spc="0" normalizeH="0" baseline="0" noProof="0">
                <a:ln>
                  <a:noFill/>
                </a:ln>
                <a:solidFill>
                  <a:schemeClr val="tx1"/>
                </a:solidFill>
                <a:effectLst/>
                <a:uLnTx/>
                <a:uFillTx/>
                <a:latin typeface="Calibri" panose="020F0502020204030204"/>
              </a:rPr>
              <a:t> році, млрд грн </a:t>
            </a:r>
            <a:endParaRPr lang="uk-UA" sz="1050" b="1">
              <a:solidFill>
                <a:schemeClr val="tx1"/>
              </a:solidFill>
              <a:effectLst/>
            </a:endParaRPr>
          </a:p>
        </c:rich>
      </c:tx>
      <c:layout>
        <c:manualLayout>
          <c:xMode val="edge"/>
          <c:yMode val="edge"/>
          <c:x val="0.10495387422977359"/>
          <c:y val="0"/>
        </c:manualLayout>
      </c:layout>
      <c:overlay val="0"/>
      <c:spPr>
        <a:noFill/>
        <a:ln>
          <a:noFill/>
        </a:ln>
        <a:effectLst/>
      </c:spPr>
    </c:title>
    <c:autoTitleDeleted val="0"/>
    <c:plotArea>
      <c:layout>
        <c:manualLayout>
          <c:layoutTarget val="inner"/>
          <c:xMode val="edge"/>
          <c:yMode val="edge"/>
          <c:x val="0.37445531726834796"/>
          <c:y val="0.21518218956940005"/>
          <c:w val="0.61391672446172985"/>
          <c:h val="0.76087921018240923"/>
        </c:manualLayout>
      </c:layout>
      <c:barChart>
        <c:barDir val="col"/>
        <c:grouping val="clustered"/>
        <c:varyColors val="0"/>
        <c:ser>
          <c:idx val="0"/>
          <c:order val="0"/>
          <c:tx>
            <c:strRef>
              <c:f>Графіки!$B$122</c:f>
              <c:strCache>
                <c:ptCount val="1"/>
                <c:pt idx="0">
                  <c:v>ПАТ "Державна продовольчо-
зернова корпорація України"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Графіки!$C$122</c:f>
              <c:numCache>
                <c:formatCode>#\ ##0.0</c:formatCode>
                <c:ptCount val="1"/>
                <c:pt idx="0">
                  <c:v>5.7839900000000002</c:v>
                </c:pt>
              </c:numCache>
            </c:numRef>
          </c:val>
          <c:extLst>
            <c:ext xmlns:c16="http://schemas.microsoft.com/office/drawing/2014/chart" uri="{C3380CC4-5D6E-409C-BE32-E72D297353CC}">
              <c16:uniqueId val="{00000000-9B38-44E7-AD4A-DE9ADCFFB270}"/>
            </c:ext>
          </c:extLst>
        </c:ser>
        <c:ser>
          <c:idx val="1"/>
          <c:order val="1"/>
          <c:tx>
            <c:strRef>
              <c:f>Графіки!$B$123</c:f>
              <c:strCache>
                <c:ptCount val="1"/>
                <c:pt idx="0">
                  <c:v>АТ "НАК "Нафтогаз України"</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Графіки!$C$123</c:f>
              <c:numCache>
                <c:formatCode>#\ ##0.0</c:formatCode>
                <c:ptCount val="1"/>
                <c:pt idx="0">
                  <c:v>2.1072405129299998</c:v>
                </c:pt>
              </c:numCache>
            </c:numRef>
          </c:val>
          <c:extLst>
            <c:ext xmlns:c16="http://schemas.microsoft.com/office/drawing/2014/chart" uri="{C3380CC4-5D6E-409C-BE32-E72D297353CC}">
              <c16:uniqueId val="{00000001-9B38-44E7-AD4A-DE9ADCFFB270}"/>
            </c:ext>
          </c:extLst>
        </c:ser>
        <c:ser>
          <c:idx val="2"/>
          <c:order val="2"/>
          <c:tx>
            <c:strRef>
              <c:f>Графіки!$B$124</c:f>
              <c:strCache>
                <c:ptCount val="1"/>
                <c:pt idx="0">
                  <c:v>ДП "НАЕК "Енергоатом"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Графіки!$C$124</c:f>
              <c:numCache>
                <c:formatCode>#\ ##0.0</c:formatCode>
                <c:ptCount val="1"/>
                <c:pt idx="0">
                  <c:v>1.19733</c:v>
                </c:pt>
              </c:numCache>
            </c:numRef>
          </c:val>
          <c:extLst>
            <c:ext xmlns:c16="http://schemas.microsoft.com/office/drawing/2014/chart" uri="{C3380CC4-5D6E-409C-BE32-E72D297353CC}">
              <c16:uniqueId val="{00000002-9B38-44E7-AD4A-DE9ADCFFB270}"/>
            </c:ext>
          </c:extLst>
        </c:ser>
        <c:ser>
          <c:idx val="3"/>
          <c:order val="3"/>
          <c:tx>
            <c:strRef>
              <c:f>Графіки!$B$125</c:f>
              <c:strCache>
                <c:ptCount val="1"/>
                <c:pt idx="0">
                  <c:v>ПАТ "Укрзалізниця"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Графіки!$C$125</c:f>
              <c:numCache>
                <c:formatCode>#\ ##0.0</c:formatCode>
                <c:ptCount val="1"/>
                <c:pt idx="0">
                  <c:v>1.11202</c:v>
                </c:pt>
              </c:numCache>
            </c:numRef>
          </c:val>
          <c:extLst>
            <c:ext xmlns:c16="http://schemas.microsoft.com/office/drawing/2014/chart" uri="{C3380CC4-5D6E-409C-BE32-E72D297353CC}">
              <c16:uniqueId val="{00000003-9B38-44E7-AD4A-DE9ADCFFB270}"/>
            </c:ext>
          </c:extLst>
        </c:ser>
        <c:ser>
          <c:idx val="4"/>
          <c:order val="4"/>
          <c:tx>
            <c:strRef>
              <c:f>Графіки!$B$126</c:f>
              <c:strCache>
                <c:ptCount val="1"/>
                <c:pt idx="0">
                  <c:v>АТ  "Укртрансгаз"</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Графіки!$C$126</c:f>
              <c:numCache>
                <c:formatCode>#\ ##0.0</c:formatCode>
                <c:ptCount val="1"/>
                <c:pt idx="0">
                  <c:v>0.74026000000000003</c:v>
                </c:pt>
              </c:numCache>
            </c:numRef>
          </c:val>
          <c:extLst>
            <c:ext xmlns:c16="http://schemas.microsoft.com/office/drawing/2014/chart" uri="{C3380CC4-5D6E-409C-BE32-E72D297353CC}">
              <c16:uniqueId val="{00000004-9B38-44E7-AD4A-DE9ADCFFB270}"/>
            </c:ext>
          </c:extLst>
        </c:ser>
        <c:ser>
          <c:idx val="5"/>
          <c:order val="5"/>
          <c:tx>
            <c:strRef>
              <c:f>Графіки!$B$127</c:f>
              <c:strCache>
                <c:ptCount val="1"/>
                <c:pt idx="0">
                  <c:v>ДП " Харківське КБ
з машинобудування ім. О.О.Морозова"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Графіки!$C$127</c:f>
              <c:numCache>
                <c:formatCode>#\ ##0.0</c:formatCode>
                <c:ptCount val="1"/>
                <c:pt idx="0">
                  <c:v>0.71291000000000004</c:v>
                </c:pt>
              </c:numCache>
            </c:numRef>
          </c:val>
          <c:extLst>
            <c:ext xmlns:c16="http://schemas.microsoft.com/office/drawing/2014/chart" uri="{C3380CC4-5D6E-409C-BE32-E72D297353CC}">
              <c16:uniqueId val="{00000005-9B38-44E7-AD4A-DE9ADCFFB270}"/>
            </c:ext>
          </c:extLst>
        </c:ser>
        <c:ser>
          <c:idx val="6"/>
          <c:order val="6"/>
          <c:tx>
            <c:strRef>
              <c:f>Графіки!$B$128</c:f>
              <c:strCache>
                <c:ptCount val="1"/>
                <c:pt idx="0">
                  <c:v>ПАТ "Лисичанськвугілля"</c:v>
                </c:pt>
              </c:strCache>
            </c:strRef>
          </c:tx>
          <c:spPr>
            <a:solidFill>
              <a:schemeClr val="accent1">
                <a:lumMod val="60000"/>
              </a:schemeClr>
            </a:solidFill>
            <a:ln>
              <a:noFill/>
            </a:ln>
            <a:effectLst/>
          </c:spPr>
          <c:invertIfNegative val="0"/>
          <c:dLbls>
            <c:dLbl>
              <c:idx val="0"/>
              <c:layout/>
              <c:tx>
                <c:rich>
                  <a:bodyPr/>
                  <a:lstStyle/>
                  <a:p>
                    <a:r>
                      <a:rPr lang="en-US"/>
                      <a:t> 0,6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9C-4499-829B-9B2EDBE22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Графіки!$C$128</c:f>
              <c:numCache>
                <c:formatCode>#\ ##0.0</c:formatCode>
                <c:ptCount val="1"/>
                <c:pt idx="0">
                  <c:v>0.54103999999999997</c:v>
                </c:pt>
              </c:numCache>
            </c:numRef>
          </c:val>
          <c:extLst>
            <c:ext xmlns:c16="http://schemas.microsoft.com/office/drawing/2014/chart" uri="{C3380CC4-5D6E-409C-BE32-E72D297353CC}">
              <c16:uniqueId val="{00000006-9B38-44E7-AD4A-DE9ADCFFB270}"/>
            </c:ext>
          </c:extLst>
        </c:ser>
        <c:ser>
          <c:idx val="7"/>
          <c:order val="7"/>
          <c:tx>
            <c:strRef>
              <c:f>Графіки!$B$129</c:f>
              <c:strCache>
                <c:ptCount val="1"/>
                <c:pt idx="0">
                  <c:v>ПрАТ "Укргідроенерго"</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Графіки!$C$121</c:f>
              <c:strCache>
                <c:ptCount val="1"/>
                <c:pt idx="0">
                  <c:v>2020 рік</c:v>
                </c:pt>
              </c:strCache>
            </c:strRef>
          </c:cat>
          <c:val>
            <c:numRef>
              <c:f>Графіки!$C$129</c:f>
              <c:numCache>
                <c:formatCode>#,##0.00</c:formatCode>
                <c:ptCount val="1"/>
                <c:pt idx="0">
                  <c:v>4.5589999999999999E-2</c:v>
                </c:pt>
              </c:numCache>
            </c:numRef>
          </c:val>
          <c:extLst>
            <c:ext xmlns:c16="http://schemas.microsoft.com/office/drawing/2014/chart" uri="{C3380CC4-5D6E-409C-BE32-E72D297353CC}">
              <c16:uniqueId val="{00000007-9B38-44E7-AD4A-DE9ADCFFB270}"/>
            </c:ext>
          </c:extLst>
        </c:ser>
        <c:dLbls>
          <c:showLegendKey val="0"/>
          <c:showVal val="0"/>
          <c:showCatName val="0"/>
          <c:showSerName val="0"/>
          <c:showPercent val="0"/>
          <c:showBubbleSize val="0"/>
        </c:dLbls>
        <c:gapWidth val="150"/>
        <c:axId val="133452544"/>
        <c:axId val="133454080"/>
      </c:barChart>
      <c:catAx>
        <c:axId val="13345254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3454080"/>
        <c:crosses val="autoZero"/>
        <c:auto val="1"/>
        <c:lblAlgn val="ctr"/>
        <c:lblOffset val="100"/>
        <c:noMultiLvlLbl val="0"/>
      </c:catAx>
      <c:valAx>
        <c:axId val="13345408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3452544"/>
        <c:crossesAt val="1"/>
        <c:crossBetween val="between"/>
      </c:valAx>
      <c:spPr>
        <a:noFill/>
        <a:ln>
          <a:noFill/>
        </a:ln>
        <a:effectLst/>
      </c:spPr>
    </c:plotArea>
    <c:legend>
      <c:legendPos val="l"/>
      <c:layout>
        <c:manualLayout>
          <c:xMode val="edge"/>
          <c:yMode val="edge"/>
          <c:x val="1.6599232285506794E-2"/>
          <c:y val="0.20889835161818163"/>
          <c:w val="0.33955804544039836"/>
          <c:h val="0.724057998847705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6350"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r>
              <a:rPr lang="uk-UA" sz="1050" b="1">
                <a:solidFill>
                  <a:schemeClr val="tx1"/>
                </a:solidFill>
              </a:rPr>
              <a:t>Суб’єкти господарювання, з якими можуть бути пов’язані найбільші фіскальні ризики, що отримали найбільші суми державної підтримки </a:t>
            </a:r>
            <a:br>
              <a:rPr lang="uk-UA" sz="1050" b="1">
                <a:solidFill>
                  <a:schemeClr val="tx1"/>
                </a:solidFill>
              </a:rPr>
            </a:br>
            <a:r>
              <a:rPr lang="uk-UA" sz="1050" b="1">
                <a:solidFill>
                  <a:schemeClr val="tx1"/>
                </a:solidFill>
              </a:rPr>
              <a:t>у 2018 </a:t>
            </a:r>
            <a:r>
              <a:rPr lang="uk-UA" sz="1050" b="1" baseline="0">
                <a:solidFill>
                  <a:schemeClr val="tx1"/>
                </a:solidFill>
              </a:rPr>
              <a:t>-</a:t>
            </a:r>
            <a:r>
              <a:rPr lang="uk-UA" sz="1050" b="1">
                <a:solidFill>
                  <a:schemeClr val="tx1"/>
                </a:solidFill>
              </a:rPr>
              <a:t> І півріччі 2019 року, млрд грн</a:t>
            </a:r>
          </a:p>
        </c:rich>
      </c:tx>
      <c:layout>
        <c:manualLayout>
          <c:xMode val="edge"/>
          <c:yMode val="edge"/>
          <c:x val="0.10044952034697043"/>
          <c:y val="9.4265514532600164E-3"/>
        </c:manualLayout>
      </c:layout>
      <c:overlay val="0"/>
      <c:spPr>
        <a:noFill/>
        <a:ln>
          <a:noFill/>
        </a:ln>
        <a:effectLst/>
      </c:spPr>
    </c:title>
    <c:autoTitleDeleted val="0"/>
    <c:plotArea>
      <c:layout/>
      <c:barChart>
        <c:barDir val="bar"/>
        <c:grouping val="clustered"/>
        <c:varyColors val="0"/>
        <c:ser>
          <c:idx val="0"/>
          <c:order val="0"/>
          <c:tx>
            <c:strRef>
              <c:f>Графіки!$R$159</c:f>
              <c:strCache>
                <c:ptCount val="1"/>
                <c:pt idx="0">
                  <c:v>І півріччя 2019 року</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Графіки!$Q$160:$Q$165</c:f>
              <c:strCache>
                <c:ptCount val="6"/>
                <c:pt idx="0">
                  <c:v>ДП "Укркосмос"</c:v>
                </c:pt>
                <c:pt idx="1">
                  <c:v>ДП "Селидіввугілля"</c:v>
                </c:pt>
                <c:pt idx="2">
                  <c:v>ДП "Мирноградвугілля"</c:v>
                </c:pt>
                <c:pt idx="3">
                  <c:v>ПАТ "Лисичанськвугілля"</c:v>
                </c:pt>
                <c:pt idx="4">
                  <c:v>ДП "Торецьквугілля"</c:v>
                </c:pt>
                <c:pt idx="5">
                  <c:v>ДП "Первомайськвугілля"</c:v>
                </c:pt>
              </c:strCache>
            </c:strRef>
          </c:cat>
          <c:val>
            <c:numRef>
              <c:f>Графіки!$R$160:$R$165</c:f>
              <c:numCache>
                <c:formatCode>#,##0.00</c:formatCode>
                <c:ptCount val="6"/>
                <c:pt idx="0">
                  <c:v>0.74199999999999999</c:v>
                </c:pt>
                <c:pt idx="1">
                  <c:v>0.631104</c:v>
                </c:pt>
                <c:pt idx="2">
                  <c:v>0.27687200000000001</c:v>
                </c:pt>
                <c:pt idx="3">
                  <c:v>0.242067</c:v>
                </c:pt>
                <c:pt idx="4">
                  <c:v>0.23286299999999999</c:v>
                </c:pt>
                <c:pt idx="5">
                  <c:v>0</c:v>
                </c:pt>
              </c:numCache>
            </c:numRef>
          </c:val>
          <c:extLst>
            <c:ext xmlns:c16="http://schemas.microsoft.com/office/drawing/2014/chart" uri="{C3380CC4-5D6E-409C-BE32-E72D297353CC}">
              <c16:uniqueId val="{00000000-C57C-4D52-9154-1F4FB0FB6DB1}"/>
            </c:ext>
          </c:extLst>
        </c:ser>
        <c:ser>
          <c:idx val="1"/>
          <c:order val="1"/>
          <c:tx>
            <c:strRef>
              <c:f>Графіки!$S$159</c:f>
              <c:strCache>
                <c:ptCount val="1"/>
                <c:pt idx="0">
                  <c:v>2018 рік</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Графіки!$Q$160:$Q$165</c:f>
              <c:strCache>
                <c:ptCount val="6"/>
                <c:pt idx="0">
                  <c:v>ДП "Укркосмос"</c:v>
                </c:pt>
                <c:pt idx="1">
                  <c:v>ДП "Селидіввугілля"</c:v>
                </c:pt>
                <c:pt idx="2">
                  <c:v>ДП "Мирноградвугілля"</c:v>
                </c:pt>
                <c:pt idx="3">
                  <c:v>ПАТ "Лисичанськвугілля"</c:v>
                </c:pt>
                <c:pt idx="4">
                  <c:v>ДП "Торецьквугілля"</c:v>
                </c:pt>
                <c:pt idx="5">
                  <c:v>ДП "Первомайськвугілля"</c:v>
                </c:pt>
              </c:strCache>
            </c:strRef>
          </c:cat>
          <c:val>
            <c:numRef>
              <c:f>Графіки!$S$160:$S$165</c:f>
              <c:numCache>
                <c:formatCode>#,##0.00</c:formatCode>
                <c:ptCount val="6"/>
                <c:pt idx="0">
                  <c:v>1.574819</c:v>
                </c:pt>
                <c:pt idx="1">
                  <c:v>0.7722</c:v>
                </c:pt>
                <c:pt idx="2">
                  <c:v>0.63079999999999992</c:v>
                </c:pt>
                <c:pt idx="3">
                  <c:v>0.40720000000000001</c:v>
                </c:pt>
                <c:pt idx="4">
                  <c:v>0.2233</c:v>
                </c:pt>
                <c:pt idx="5">
                  <c:v>0.55673000000000006</c:v>
                </c:pt>
              </c:numCache>
            </c:numRef>
          </c:val>
          <c:extLst>
            <c:ext xmlns:c16="http://schemas.microsoft.com/office/drawing/2014/chart" uri="{C3380CC4-5D6E-409C-BE32-E72D297353CC}">
              <c16:uniqueId val="{00000001-C57C-4D52-9154-1F4FB0FB6DB1}"/>
            </c:ext>
          </c:extLst>
        </c:ser>
        <c:dLbls>
          <c:showLegendKey val="0"/>
          <c:showVal val="0"/>
          <c:showCatName val="0"/>
          <c:showSerName val="0"/>
          <c:showPercent val="0"/>
          <c:showBubbleSize val="0"/>
        </c:dLbls>
        <c:gapWidth val="150"/>
        <c:axId val="133484928"/>
        <c:axId val="133486464"/>
        <c:extLst/>
      </c:barChart>
      <c:catAx>
        <c:axId val="13348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33486464"/>
        <c:crosses val="autoZero"/>
        <c:auto val="1"/>
        <c:lblAlgn val="ctr"/>
        <c:lblOffset val="100"/>
        <c:noMultiLvlLbl val="0"/>
      </c:catAx>
      <c:valAx>
        <c:axId val="133486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33484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6350" cap="flat" cmpd="sng" algn="ctr">
      <a:no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cedc1b3-a6a6-4744-bb8f-c9b717f8a9c9">MFWF-331-52741</_dlc_DocId>
    <_dlc_DocIdUrl xmlns="acedc1b3-a6a6-4744-bb8f-c9b717f8a9c9">
      <Url>http://workflow/04000/04110/_layouts/DocIdRedir.aspx?ID=MFWF-331-52741</Url>
      <Description>MFWF-331-52741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A10C-8941-4F43-AAD1-2A620A23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212EE-DC13-4C90-8CEA-343A85F360FF}">
  <ds:schemaRefs>
    <ds:schemaRef ds:uri="http://schemas.microsoft.com/sharepoint/events"/>
  </ds:schemaRefs>
</ds:datastoreItem>
</file>

<file path=customXml/itemProps3.xml><?xml version="1.0" encoding="utf-8"?>
<ds:datastoreItem xmlns:ds="http://schemas.openxmlformats.org/officeDocument/2006/customXml" ds:itemID="{6EAAE166-16E0-4D66-8958-842D8925DDE4}">
  <ds:schemaRefs>
    <ds:schemaRef ds:uri="http://schemas.microsoft.com/sharepoint/v3/contenttype/forms"/>
  </ds:schemaRefs>
</ds:datastoreItem>
</file>

<file path=customXml/itemProps4.xml><?xml version="1.0" encoding="utf-8"?>
<ds:datastoreItem xmlns:ds="http://schemas.openxmlformats.org/officeDocument/2006/customXml" ds:itemID="{AD3D50D7-99F7-4962-9F0C-F286B53089B6}">
  <ds:schemaRefs>
    <ds:schemaRef ds:uri="http://schemas.microsoft.com/office/2006/documentManagement/types"/>
    <ds:schemaRef ds:uri="http://purl.org/dc/terms/"/>
    <ds:schemaRef ds:uri="acedc1b3-a6a6-4744-bb8f-c9b717f8a9c9"/>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94B19CA-CE67-457C-A90C-651C58FC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B98D1284</Template>
  <TotalTime>2</TotalTime>
  <Pages>28</Pages>
  <Words>37514</Words>
  <Characters>21383</Characters>
  <Application>Microsoft Office Word</Application>
  <DocSecurity>4</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Вітель Мілан Самвелівна</cp:lastModifiedBy>
  <cp:revision>2</cp:revision>
  <cp:lastPrinted>2019-09-17T07:22:00Z</cp:lastPrinted>
  <dcterms:created xsi:type="dcterms:W3CDTF">2019-09-17T07:24:00Z</dcterms:created>
  <dcterms:modified xsi:type="dcterms:W3CDTF">2019-09-17T07:24:00Z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54ce476a-c59c-4218-aace-66c3db7a2f33</vt:lpwstr>
  </property>
  <property fmtid="{D5CDD505-2E9C-101B-9397-08002B2CF9AE}" pid="3" name="ContentTypeId">
    <vt:lpwstr>0x01010051DC89FFDAC4684DB262DCE45F8F3961</vt:lpwstr>
  </property>
</Properties>
</file>