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78" w:rsidRPr="002F004A" w:rsidRDefault="00D91878" w:rsidP="00D91878">
      <w:pPr>
        <w:pStyle w:val="Style2"/>
        <w:keepNext/>
        <w:keepLines/>
        <w:shd w:val="clear" w:color="auto" w:fill="auto"/>
        <w:spacing w:after="0" w:line="260" w:lineRule="exact"/>
        <w:ind w:left="444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2F004A">
        <w:rPr>
          <w:rStyle w:val="CharStyle3"/>
          <w:rFonts w:ascii="Times New Roman" w:eastAsia="Times New Roman" w:hAnsi="Times New Roman" w:cs="Times New Roman"/>
          <w:b/>
          <w:color w:val="000000"/>
          <w:sz w:val="28"/>
          <w:szCs w:val="28"/>
        </w:rPr>
        <w:t>Звіт</w:t>
      </w:r>
      <w:bookmarkEnd w:id="0"/>
    </w:p>
    <w:p w:rsidR="00D91878" w:rsidRPr="002F004A" w:rsidRDefault="00D91878" w:rsidP="00D91878">
      <w:pPr>
        <w:pStyle w:val="Style2"/>
        <w:keepNext/>
        <w:keepLines/>
        <w:shd w:val="clear" w:color="auto" w:fill="auto"/>
        <w:spacing w:after="303" w:line="260" w:lineRule="exact"/>
        <w:ind w:left="194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2F004A">
        <w:rPr>
          <w:rStyle w:val="CharStyle3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</w:t>
      </w:r>
      <w:r w:rsidRPr="002F004A">
        <w:rPr>
          <w:rStyle w:val="CharStyle3"/>
          <w:rFonts w:ascii="Times New Roman" w:hAnsi="Times New Roman" w:cs="Times New Roman"/>
          <w:b/>
          <w:sz w:val="28"/>
          <w:szCs w:val="28"/>
        </w:rPr>
        <w:t>періодичне від</w:t>
      </w:r>
      <w:r w:rsidRPr="002F004A">
        <w:rPr>
          <w:rStyle w:val="CharStyle3"/>
          <w:rFonts w:ascii="Times New Roman" w:eastAsia="Times New Roman" w:hAnsi="Times New Roman" w:cs="Times New Roman"/>
          <w:b/>
          <w:color w:val="000000"/>
          <w:sz w:val="28"/>
          <w:szCs w:val="28"/>
        </w:rPr>
        <w:t>стеження результативності</w:t>
      </w:r>
      <w:bookmarkEnd w:id="1"/>
    </w:p>
    <w:p w:rsidR="00D91878" w:rsidRPr="002F004A" w:rsidRDefault="00D91878" w:rsidP="00D91878">
      <w:pPr>
        <w:pStyle w:val="Style4"/>
        <w:shd w:val="clear" w:color="auto" w:fill="auto"/>
        <w:spacing w:before="0"/>
        <w:ind w:left="60" w:right="40"/>
        <w:rPr>
          <w:rFonts w:ascii="Times New Roman" w:hAnsi="Times New Roman" w:cs="Times New Roman"/>
          <w:i/>
          <w:sz w:val="28"/>
          <w:szCs w:val="28"/>
        </w:rPr>
      </w:pPr>
      <w:r w:rsidRPr="002F004A">
        <w:rPr>
          <w:rStyle w:val="CharStyle5"/>
          <w:rFonts w:ascii="Times New Roman" w:eastAsia="Times New Roman" w:hAnsi="Times New Roman" w:cs="Times New Roman"/>
          <w:i/>
          <w:color w:val="000000"/>
          <w:sz w:val="28"/>
          <w:szCs w:val="28"/>
        </w:rPr>
        <w:t>Вид та назва регуляторного акта, відстеження результативності якого здійснюється:</w:t>
      </w:r>
    </w:p>
    <w:p w:rsidR="00D91878" w:rsidRPr="002F004A" w:rsidRDefault="00D91878" w:rsidP="00D91878">
      <w:pPr>
        <w:pStyle w:val="Style6"/>
        <w:shd w:val="clear" w:color="auto" w:fill="auto"/>
        <w:spacing w:after="304"/>
        <w:ind w:left="60" w:right="40"/>
        <w:rPr>
          <w:rFonts w:ascii="Times New Roman" w:hAnsi="Times New Roman" w:cs="Times New Roman"/>
          <w:sz w:val="28"/>
          <w:szCs w:val="28"/>
        </w:rPr>
      </w:pPr>
      <w:r w:rsidRPr="002F004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>Постанова Кабінету Міністрів України від 30.11.2011 № 1223 «Про внесення змін до Порядку подання фінансової звітності».</w:t>
      </w:r>
    </w:p>
    <w:p w:rsidR="00D91878" w:rsidRPr="002F004A" w:rsidRDefault="00D91878" w:rsidP="00D91878">
      <w:pPr>
        <w:pStyle w:val="Style4"/>
        <w:shd w:val="clear" w:color="auto" w:fill="auto"/>
        <w:spacing w:before="0" w:line="317" w:lineRule="exact"/>
        <w:ind w:left="60"/>
        <w:rPr>
          <w:rFonts w:ascii="Times New Roman" w:hAnsi="Times New Roman" w:cs="Times New Roman"/>
          <w:i/>
          <w:sz w:val="28"/>
          <w:szCs w:val="28"/>
        </w:rPr>
      </w:pPr>
      <w:r w:rsidRPr="002F004A">
        <w:rPr>
          <w:rStyle w:val="CharStyle5"/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Назва виконавця заходів з </w:t>
      </w:r>
      <w:r w:rsidR="002F004A">
        <w:rPr>
          <w:rStyle w:val="CharStyle5"/>
          <w:rFonts w:ascii="Times New Roman" w:eastAsia="Times New Roman" w:hAnsi="Times New Roman" w:cs="Times New Roman"/>
          <w:i/>
          <w:color w:val="000000"/>
          <w:sz w:val="28"/>
          <w:szCs w:val="28"/>
        </w:rPr>
        <w:t>періодичного</w:t>
      </w:r>
      <w:r w:rsidRPr="002F004A">
        <w:rPr>
          <w:rStyle w:val="CharStyle5"/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відстеження результативності:</w:t>
      </w:r>
    </w:p>
    <w:p w:rsidR="00D91878" w:rsidRPr="002F004A" w:rsidRDefault="00D91878" w:rsidP="00D91878">
      <w:pPr>
        <w:pStyle w:val="Style6"/>
        <w:shd w:val="clear" w:color="auto" w:fill="auto"/>
        <w:spacing w:after="296" w:line="317" w:lineRule="exact"/>
        <w:ind w:left="60" w:right="40"/>
        <w:rPr>
          <w:rFonts w:ascii="Times New Roman" w:hAnsi="Times New Roman" w:cs="Times New Roman"/>
          <w:sz w:val="28"/>
          <w:szCs w:val="28"/>
        </w:rPr>
      </w:pPr>
      <w:r w:rsidRPr="002F004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>Департамент податкової, митної політики та методології бухгалтерського обліку Міністерства фінансів України.</w:t>
      </w:r>
    </w:p>
    <w:p w:rsidR="00D91878" w:rsidRPr="002F004A" w:rsidRDefault="00D91878" w:rsidP="00D91878">
      <w:pPr>
        <w:pStyle w:val="Style4"/>
        <w:shd w:val="clear" w:color="auto" w:fill="auto"/>
        <w:spacing w:before="0"/>
        <w:ind w:left="60"/>
        <w:rPr>
          <w:rFonts w:ascii="Times New Roman" w:hAnsi="Times New Roman" w:cs="Times New Roman"/>
          <w:i/>
          <w:sz w:val="28"/>
          <w:szCs w:val="28"/>
        </w:rPr>
      </w:pPr>
      <w:r w:rsidRPr="002F004A">
        <w:rPr>
          <w:rStyle w:val="CharStyle5"/>
          <w:rFonts w:ascii="Times New Roman" w:eastAsia="Times New Roman" w:hAnsi="Times New Roman" w:cs="Times New Roman"/>
          <w:i/>
          <w:color w:val="000000"/>
          <w:sz w:val="28"/>
          <w:szCs w:val="28"/>
        </w:rPr>
        <w:t>Цілі прийняття акта:</w:t>
      </w:r>
    </w:p>
    <w:p w:rsidR="00D91878" w:rsidRPr="002F004A" w:rsidRDefault="00D91878" w:rsidP="00D91878">
      <w:pPr>
        <w:pStyle w:val="Style6"/>
        <w:shd w:val="clear" w:color="auto" w:fill="auto"/>
        <w:spacing w:after="349"/>
        <w:ind w:left="60" w:right="40"/>
        <w:rPr>
          <w:rFonts w:ascii="Times New Roman" w:hAnsi="Times New Roman" w:cs="Times New Roman"/>
          <w:sz w:val="28"/>
          <w:szCs w:val="28"/>
        </w:rPr>
      </w:pPr>
      <w:r w:rsidRPr="002F004A">
        <w:rPr>
          <w:rStyle w:val="CharStyle7"/>
          <w:rFonts w:ascii="Times New Roman" w:hAnsi="Times New Roman" w:cs="Times New Roman"/>
          <w:sz w:val="28"/>
          <w:szCs w:val="28"/>
        </w:rPr>
        <w:t>Поступове розширення сфери обов’язкового</w:t>
      </w:r>
      <w:r w:rsidRPr="002F004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застосування міжнародних стандартів фінансової звітності шляхом встановлення переліку видів господарської діяль</w:t>
      </w:r>
      <w:r w:rsidRPr="002F004A">
        <w:rPr>
          <w:rStyle w:val="CharStyle7"/>
          <w:rFonts w:ascii="Times New Roman" w:hAnsi="Times New Roman" w:cs="Times New Roman"/>
          <w:sz w:val="28"/>
          <w:szCs w:val="28"/>
        </w:rPr>
        <w:t>ності, при провадженні яких суб’єкти господарювання обов’язково</w:t>
      </w:r>
      <w:r w:rsidRPr="002F004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повинні складати фінансову звітність та консолідовану фінансову звітність за міжнародними стандартами фінансової звітності.</w:t>
      </w:r>
    </w:p>
    <w:p w:rsidR="00D91878" w:rsidRPr="002F004A" w:rsidRDefault="00D91878" w:rsidP="00D91878">
      <w:pPr>
        <w:pStyle w:val="Style4"/>
        <w:shd w:val="clear" w:color="auto" w:fill="auto"/>
        <w:spacing w:before="0" w:line="260" w:lineRule="exact"/>
        <w:ind w:left="60"/>
        <w:rPr>
          <w:rFonts w:ascii="Times New Roman" w:hAnsi="Times New Roman" w:cs="Times New Roman"/>
          <w:i/>
          <w:sz w:val="28"/>
          <w:szCs w:val="28"/>
        </w:rPr>
      </w:pPr>
      <w:r w:rsidRPr="002F004A">
        <w:rPr>
          <w:rStyle w:val="CharStyle5"/>
          <w:rFonts w:ascii="Times New Roman" w:eastAsia="Times New Roman" w:hAnsi="Times New Roman" w:cs="Times New Roman"/>
          <w:i/>
          <w:color w:val="000000"/>
          <w:sz w:val="28"/>
          <w:szCs w:val="28"/>
        </w:rPr>
        <w:t>Строк виконання заходів з відстеження:</w:t>
      </w:r>
    </w:p>
    <w:p w:rsidR="00D91878" w:rsidRPr="002F004A" w:rsidRDefault="00D91878" w:rsidP="00D91878">
      <w:pPr>
        <w:pStyle w:val="Style6"/>
        <w:shd w:val="clear" w:color="auto" w:fill="auto"/>
        <w:spacing w:after="352" w:line="260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2F004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2F004A">
        <w:rPr>
          <w:rStyle w:val="CharStyle7"/>
          <w:rFonts w:ascii="Times New Roman" w:hAnsi="Times New Roman" w:cs="Times New Roman"/>
          <w:sz w:val="28"/>
          <w:szCs w:val="28"/>
        </w:rPr>
        <w:t>1 по 30 листопада</w:t>
      </w:r>
      <w:r w:rsidRPr="002F004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004A">
        <w:rPr>
          <w:rStyle w:val="CharStyle7"/>
          <w:rFonts w:ascii="Times New Roman" w:hAnsi="Times New Roman" w:cs="Times New Roman"/>
          <w:sz w:val="28"/>
          <w:szCs w:val="28"/>
        </w:rPr>
        <w:t>2015</w:t>
      </w:r>
      <w:r w:rsidRPr="002F004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року.</w:t>
      </w:r>
    </w:p>
    <w:p w:rsidR="00D91878" w:rsidRPr="002F004A" w:rsidRDefault="00D91878" w:rsidP="00D91878">
      <w:pPr>
        <w:pStyle w:val="Style4"/>
        <w:shd w:val="clear" w:color="auto" w:fill="auto"/>
        <w:spacing w:before="0" w:line="260" w:lineRule="exact"/>
        <w:ind w:left="60"/>
        <w:rPr>
          <w:rFonts w:ascii="Times New Roman" w:hAnsi="Times New Roman" w:cs="Times New Roman"/>
          <w:i/>
          <w:sz w:val="28"/>
          <w:szCs w:val="28"/>
        </w:rPr>
      </w:pPr>
      <w:r w:rsidRPr="002F004A">
        <w:rPr>
          <w:rStyle w:val="CharStyle5"/>
          <w:rFonts w:ascii="Times New Roman" w:eastAsia="Times New Roman" w:hAnsi="Times New Roman" w:cs="Times New Roman"/>
          <w:i/>
          <w:color w:val="000000"/>
          <w:sz w:val="28"/>
          <w:szCs w:val="28"/>
        </w:rPr>
        <w:t>Тип відстеження:</w:t>
      </w:r>
    </w:p>
    <w:p w:rsidR="00D91878" w:rsidRPr="002F004A" w:rsidRDefault="00D91878" w:rsidP="00D91878">
      <w:pPr>
        <w:pStyle w:val="Style6"/>
        <w:shd w:val="clear" w:color="auto" w:fill="auto"/>
        <w:spacing w:after="357" w:line="260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2F004A">
        <w:rPr>
          <w:rStyle w:val="CharStyle7"/>
          <w:rFonts w:ascii="Times New Roman" w:hAnsi="Times New Roman" w:cs="Times New Roman"/>
          <w:sz w:val="28"/>
          <w:szCs w:val="28"/>
        </w:rPr>
        <w:t>Періодичне</w:t>
      </w:r>
      <w:r w:rsidRPr="002F004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відстеження.</w:t>
      </w:r>
    </w:p>
    <w:p w:rsidR="00D91878" w:rsidRPr="002F004A" w:rsidRDefault="00D91878" w:rsidP="00D91878">
      <w:pPr>
        <w:pStyle w:val="Style4"/>
        <w:shd w:val="clear" w:color="auto" w:fill="auto"/>
        <w:spacing w:before="0" w:line="260" w:lineRule="exact"/>
        <w:ind w:left="60"/>
        <w:rPr>
          <w:rFonts w:ascii="Times New Roman" w:hAnsi="Times New Roman" w:cs="Times New Roman"/>
          <w:i/>
          <w:sz w:val="28"/>
          <w:szCs w:val="28"/>
        </w:rPr>
      </w:pPr>
      <w:r w:rsidRPr="002F004A">
        <w:rPr>
          <w:rStyle w:val="CharStyle5"/>
          <w:rFonts w:ascii="Times New Roman" w:eastAsia="Times New Roman" w:hAnsi="Times New Roman" w:cs="Times New Roman"/>
          <w:i/>
          <w:color w:val="000000"/>
          <w:sz w:val="28"/>
          <w:szCs w:val="28"/>
        </w:rPr>
        <w:t>Методи одержання результатів відстеження:</w:t>
      </w:r>
    </w:p>
    <w:p w:rsidR="00D91878" w:rsidRPr="002F004A" w:rsidRDefault="00D91878" w:rsidP="00D91878">
      <w:pPr>
        <w:pStyle w:val="Style6"/>
        <w:shd w:val="clear" w:color="auto" w:fill="auto"/>
        <w:ind w:left="60" w:right="40"/>
        <w:rPr>
          <w:rFonts w:ascii="Times New Roman" w:hAnsi="Times New Roman" w:cs="Times New Roman"/>
          <w:sz w:val="28"/>
          <w:szCs w:val="28"/>
        </w:rPr>
      </w:pPr>
      <w:r w:rsidRPr="002F004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>Соціологічний (шляхом збору та анал</w:t>
      </w:r>
      <w:r w:rsidRPr="002F004A">
        <w:rPr>
          <w:rStyle w:val="CharStyle7"/>
          <w:rFonts w:ascii="Times New Roman" w:hAnsi="Times New Roman" w:cs="Times New Roman"/>
          <w:sz w:val="28"/>
          <w:szCs w:val="28"/>
        </w:rPr>
        <w:t>ізу пропозицій та зауважень суб’єктів</w:t>
      </w:r>
      <w:r w:rsidRPr="002F004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господарювання).</w:t>
      </w:r>
    </w:p>
    <w:p w:rsidR="00D91878" w:rsidRPr="002F004A" w:rsidRDefault="00D91878" w:rsidP="00D91878">
      <w:pPr>
        <w:pStyle w:val="Style4"/>
        <w:shd w:val="clear" w:color="auto" w:fill="auto"/>
        <w:spacing w:before="0"/>
        <w:ind w:left="60" w:right="40"/>
        <w:rPr>
          <w:rFonts w:ascii="Times New Roman" w:hAnsi="Times New Roman" w:cs="Times New Roman"/>
          <w:i/>
          <w:sz w:val="28"/>
          <w:szCs w:val="28"/>
        </w:rPr>
      </w:pPr>
      <w:r w:rsidRPr="002F004A">
        <w:rPr>
          <w:rStyle w:val="CharStyle5"/>
          <w:rFonts w:ascii="Times New Roman" w:eastAsia="Times New Roman" w:hAnsi="Times New Roman" w:cs="Times New Roman"/>
          <w:i/>
          <w:color w:val="000000"/>
          <w:sz w:val="28"/>
          <w:szCs w:val="28"/>
        </w:rPr>
        <w:t>Дані та припущення, на основі яких відстежувалась результативність, а також способи одержання даних:</w:t>
      </w:r>
    </w:p>
    <w:p w:rsidR="00D91878" w:rsidRPr="002F004A" w:rsidRDefault="00D91878" w:rsidP="00D91878">
      <w:pPr>
        <w:ind w:firstLine="708"/>
        <w:jc w:val="both"/>
        <w:rPr>
          <w:i/>
          <w:color w:val="auto"/>
          <w:sz w:val="28"/>
          <w:szCs w:val="28"/>
          <w:lang w:val="uk-UA" w:eastAsia="ru-RU"/>
        </w:rPr>
      </w:pPr>
      <w:r w:rsidRPr="002F004A">
        <w:rPr>
          <w:rStyle w:val="CharStyle7"/>
          <w:sz w:val="28"/>
          <w:szCs w:val="28"/>
          <w:lang w:val="uk-UA"/>
        </w:rPr>
        <w:t>Цей регуляторний акт офіційно опубліковано в Офіційному віснику України, 2011 p., № 93 (09.12.2011), ст. 3376.</w:t>
      </w:r>
      <w:r w:rsidRPr="002F004A">
        <w:rPr>
          <w:color w:val="auto"/>
          <w:sz w:val="28"/>
          <w:szCs w:val="28"/>
          <w:lang w:val="uk-UA" w:eastAsia="ru-RU"/>
        </w:rPr>
        <w:t xml:space="preserve"> За даний період пропозицій щодо внесення змін до акту не надходило.  </w:t>
      </w:r>
    </w:p>
    <w:p w:rsidR="00D91878" w:rsidRPr="002F004A" w:rsidRDefault="00D91878" w:rsidP="00D91878">
      <w:pPr>
        <w:pStyle w:val="Style4"/>
        <w:shd w:val="clear" w:color="auto" w:fill="auto"/>
        <w:spacing w:before="0"/>
        <w:ind w:left="60"/>
        <w:rPr>
          <w:rStyle w:val="CharStyle5"/>
          <w:rFonts w:ascii="Times New Roman" w:hAnsi="Times New Roman" w:cs="Times New Roman"/>
          <w:sz w:val="28"/>
          <w:szCs w:val="28"/>
        </w:rPr>
      </w:pPr>
    </w:p>
    <w:p w:rsidR="00D91878" w:rsidRPr="002F004A" w:rsidRDefault="00D91878" w:rsidP="00D91878">
      <w:pPr>
        <w:pStyle w:val="Style4"/>
        <w:shd w:val="clear" w:color="auto" w:fill="auto"/>
        <w:spacing w:before="0"/>
        <w:ind w:left="60"/>
        <w:rPr>
          <w:rFonts w:ascii="Times New Roman" w:hAnsi="Times New Roman" w:cs="Times New Roman"/>
          <w:i/>
          <w:sz w:val="28"/>
          <w:szCs w:val="28"/>
        </w:rPr>
      </w:pPr>
      <w:r w:rsidRPr="002F004A">
        <w:rPr>
          <w:rStyle w:val="CharStyle5"/>
          <w:rFonts w:ascii="Times New Roman" w:eastAsia="Times New Roman" w:hAnsi="Times New Roman" w:cs="Times New Roman"/>
          <w:i/>
          <w:color w:val="000000"/>
          <w:sz w:val="28"/>
          <w:szCs w:val="28"/>
        </w:rPr>
        <w:t>Кількісні та якісні значення показників результативності акта:</w:t>
      </w:r>
    </w:p>
    <w:p w:rsidR="00D91878" w:rsidRPr="002F004A" w:rsidRDefault="00D91878" w:rsidP="00D91878">
      <w:pPr>
        <w:pStyle w:val="Style6"/>
        <w:shd w:val="clear" w:color="auto" w:fill="auto"/>
        <w:spacing w:after="0"/>
        <w:ind w:left="60" w:right="40"/>
        <w:rPr>
          <w:rFonts w:ascii="Times New Roman" w:hAnsi="Times New Roman" w:cs="Times New Roman"/>
          <w:sz w:val="28"/>
          <w:szCs w:val="28"/>
        </w:rPr>
      </w:pPr>
      <w:r w:rsidRPr="002F004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якісних показників результативності регуляторного акта, відносно якого здійснювалось </w:t>
      </w:r>
      <w:r w:rsidRPr="002F004A">
        <w:rPr>
          <w:rStyle w:val="CharStyle7"/>
          <w:rFonts w:ascii="Times New Roman" w:hAnsi="Times New Roman" w:cs="Times New Roman"/>
          <w:sz w:val="28"/>
          <w:szCs w:val="28"/>
        </w:rPr>
        <w:t xml:space="preserve">періодичне </w:t>
      </w:r>
      <w:r w:rsidRPr="002F004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>відстеження, можна віднести:</w:t>
      </w:r>
    </w:p>
    <w:p w:rsidR="00D91878" w:rsidRPr="002F004A" w:rsidRDefault="00D91878" w:rsidP="00D91878">
      <w:pPr>
        <w:pStyle w:val="Style6"/>
        <w:numPr>
          <w:ilvl w:val="0"/>
          <w:numId w:val="1"/>
        </w:numPr>
        <w:shd w:val="clear" w:color="auto" w:fill="auto"/>
        <w:tabs>
          <w:tab w:val="left" w:pos="1039"/>
        </w:tabs>
        <w:spacing w:after="0"/>
        <w:ind w:left="60" w:right="40"/>
        <w:rPr>
          <w:rFonts w:ascii="Times New Roman" w:hAnsi="Times New Roman" w:cs="Times New Roman"/>
          <w:sz w:val="28"/>
          <w:szCs w:val="28"/>
        </w:rPr>
      </w:pPr>
      <w:r w:rsidRPr="002F004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>встановлено перелік видів господарської діяльності, провадження яких передбачає складання підприємствами фінансової звітності та консолідованої фінансової звітності за міжнародними стандартами фінансової звітності;</w:t>
      </w:r>
    </w:p>
    <w:p w:rsidR="00D91878" w:rsidRPr="002F004A" w:rsidRDefault="00D91878" w:rsidP="00D91878">
      <w:pPr>
        <w:pStyle w:val="Style6"/>
        <w:numPr>
          <w:ilvl w:val="0"/>
          <w:numId w:val="1"/>
        </w:numPr>
        <w:shd w:val="clear" w:color="auto" w:fill="auto"/>
        <w:tabs>
          <w:tab w:val="left" w:pos="958"/>
        </w:tabs>
        <w:spacing w:after="0"/>
        <w:ind w:left="60" w:right="40"/>
        <w:rPr>
          <w:rFonts w:ascii="Times New Roman" w:hAnsi="Times New Roman" w:cs="Times New Roman"/>
          <w:sz w:val="28"/>
          <w:szCs w:val="28"/>
        </w:rPr>
      </w:pPr>
      <w:r w:rsidRPr="002F004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>забезпечено поступовий перехід всіх установ фінансового сектору на безпосереднє застосування міжнародних стандартів для складення фінансової звітності.</w:t>
      </w:r>
      <w:r w:rsidRPr="002F004A">
        <w:rPr>
          <w:rFonts w:ascii="Times New Roman" w:hAnsi="Times New Roman" w:cs="Times New Roman"/>
          <w:sz w:val="28"/>
          <w:szCs w:val="28"/>
        </w:rPr>
        <w:br w:type="page"/>
      </w:r>
    </w:p>
    <w:p w:rsidR="00D91878" w:rsidRPr="002F004A" w:rsidRDefault="00D91878" w:rsidP="00D91878">
      <w:pPr>
        <w:pStyle w:val="Style6"/>
        <w:shd w:val="clear" w:color="auto" w:fill="auto"/>
        <w:spacing w:after="0" w:line="317" w:lineRule="exact"/>
        <w:ind w:right="20" w:firstLine="720"/>
        <w:rPr>
          <w:rFonts w:ascii="Times New Roman" w:hAnsi="Times New Roman" w:cs="Times New Roman"/>
          <w:sz w:val="28"/>
          <w:szCs w:val="28"/>
        </w:rPr>
      </w:pPr>
      <w:r w:rsidRPr="002F004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 кількісних показників результативності регуляторного акта можна віднести:</w:t>
      </w:r>
    </w:p>
    <w:p w:rsidR="00D91878" w:rsidRPr="002F004A" w:rsidRDefault="00D91878" w:rsidP="00D91878">
      <w:pPr>
        <w:pStyle w:val="Style6"/>
        <w:shd w:val="clear" w:color="auto" w:fill="auto"/>
        <w:ind w:right="20" w:firstLine="720"/>
        <w:rPr>
          <w:rFonts w:ascii="Times New Roman" w:hAnsi="Times New Roman" w:cs="Times New Roman"/>
          <w:sz w:val="28"/>
          <w:szCs w:val="28"/>
        </w:rPr>
      </w:pPr>
      <w:r w:rsidRPr="002F004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F004A">
        <w:rPr>
          <w:rStyle w:val="CharStyle7"/>
          <w:rFonts w:ascii="Times New Roman" w:hAnsi="Times New Roman" w:cs="Times New Roman"/>
          <w:sz w:val="28"/>
          <w:szCs w:val="28"/>
        </w:rPr>
        <w:t xml:space="preserve">постанова поширюється на </w:t>
      </w:r>
      <w:r w:rsidRPr="002F004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>всіх юридичних осіб незалежно від організаційно-правової форми господарювання і форми власності, а також на представництва інозем</w:t>
      </w:r>
      <w:r w:rsidRPr="002F004A">
        <w:rPr>
          <w:rStyle w:val="CharStyle7"/>
          <w:rFonts w:ascii="Times New Roman" w:hAnsi="Times New Roman" w:cs="Times New Roman"/>
          <w:sz w:val="28"/>
          <w:szCs w:val="28"/>
        </w:rPr>
        <w:t>них суб’єктів</w:t>
      </w:r>
      <w:r w:rsidRPr="002F004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госп</w:t>
      </w:r>
      <w:r w:rsidRPr="002F004A">
        <w:rPr>
          <w:rStyle w:val="CharStyle7"/>
          <w:rFonts w:ascii="Times New Roman" w:hAnsi="Times New Roman" w:cs="Times New Roman"/>
          <w:sz w:val="28"/>
          <w:szCs w:val="28"/>
        </w:rPr>
        <w:t>одарської діяльності, які зобов’язані</w:t>
      </w:r>
      <w:r w:rsidRPr="002F004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вести бухгалтерський облік та подавати фінансову звітність згідно із законодавством.</w:t>
      </w:r>
    </w:p>
    <w:p w:rsidR="00D91878" w:rsidRPr="002F004A" w:rsidRDefault="00D91878" w:rsidP="00D91878">
      <w:pPr>
        <w:pStyle w:val="Style4"/>
        <w:shd w:val="clear" w:color="auto" w:fill="auto"/>
        <w:spacing w:before="0"/>
        <w:ind w:right="20" w:firstLine="720"/>
        <w:rPr>
          <w:rFonts w:ascii="Times New Roman" w:hAnsi="Times New Roman" w:cs="Times New Roman"/>
          <w:i/>
          <w:sz w:val="28"/>
          <w:szCs w:val="28"/>
        </w:rPr>
      </w:pPr>
      <w:r w:rsidRPr="002F004A">
        <w:rPr>
          <w:rStyle w:val="CharStyle5"/>
          <w:rFonts w:ascii="Times New Roman" w:eastAsia="Times New Roman" w:hAnsi="Times New Roman" w:cs="Times New Roman"/>
          <w:i/>
          <w:color w:val="000000"/>
          <w:sz w:val="28"/>
          <w:szCs w:val="28"/>
        </w:rPr>
        <w:t>Оцінка результатів реалізації регуляторного акта та ступеня досягнення визначених цілей:</w:t>
      </w:r>
    </w:p>
    <w:p w:rsidR="00D91878" w:rsidRPr="002F004A" w:rsidRDefault="00D91878" w:rsidP="00D91878">
      <w:pPr>
        <w:pStyle w:val="Style6"/>
        <w:shd w:val="clear" w:color="auto" w:fill="auto"/>
        <w:spacing w:after="709"/>
        <w:ind w:right="20" w:firstLine="720"/>
        <w:rPr>
          <w:rFonts w:ascii="Times New Roman" w:hAnsi="Times New Roman" w:cs="Times New Roman"/>
          <w:sz w:val="28"/>
          <w:szCs w:val="28"/>
        </w:rPr>
      </w:pPr>
      <w:r w:rsidRPr="002F004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підставі результатів </w:t>
      </w:r>
      <w:r w:rsidRPr="002F004A">
        <w:rPr>
          <w:rStyle w:val="CharStyle7"/>
          <w:rFonts w:ascii="Times New Roman" w:hAnsi="Times New Roman" w:cs="Times New Roman"/>
          <w:sz w:val="28"/>
          <w:szCs w:val="28"/>
        </w:rPr>
        <w:t>періодичного</w:t>
      </w:r>
      <w:r w:rsidRPr="002F004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відстеження резу</w:t>
      </w:r>
      <w:r w:rsidRPr="002F004A">
        <w:rPr>
          <w:rStyle w:val="CharStyle7"/>
          <w:rFonts w:ascii="Times New Roman" w:hAnsi="Times New Roman" w:cs="Times New Roman"/>
          <w:sz w:val="28"/>
          <w:szCs w:val="28"/>
        </w:rPr>
        <w:t xml:space="preserve">льтативності регуляторного акта – </w:t>
      </w:r>
      <w:r w:rsidRPr="002F004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постанови Кабінету Міністрів України від 30.11.2011 </w:t>
      </w:r>
      <w:r w:rsidR="002F004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bookmarkStart w:id="2" w:name="_GoBack"/>
      <w:bookmarkEnd w:id="2"/>
      <w:r w:rsidRPr="002F004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>№ 1223 «Про внесення змін до Порядку подання фінансової звітності» можна зробити висновок про те, що в цілому шляхом впровадження цього нормативного акта вдалося досягти визначених цілей, зокрема п</w:t>
      </w:r>
      <w:r w:rsidRPr="002F004A">
        <w:rPr>
          <w:rStyle w:val="CharStyle7"/>
          <w:rFonts w:ascii="Times New Roman" w:hAnsi="Times New Roman" w:cs="Times New Roman"/>
          <w:sz w:val="28"/>
          <w:szCs w:val="28"/>
        </w:rPr>
        <w:t>оступово розширювати сферу обов’язкового</w:t>
      </w:r>
      <w:r w:rsidRPr="002F004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застосування міжнародних стандартів фінансової звітності.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0"/>
        <w:gridCol w:w="3917"/>
      </w:tblGrid>
      <w:tr w:rsidR="00D91878" w:rsidRPr="002F004A" w:rsidTr="007D090E">
        <w:trPr>
          <w:trHeight w:val="406"/>
        </w:trPr>
        <w:tc>
          <w:tcPr>
            <w:tcW w:w="5830" w:type="dxa"/>
          </w:tcPr>
          <w:p w:rsidR="00D91878" w:rsidRPr="002F004A" w:rsidRDefault="00D91878" w:rsidP="007D090E">
            <w:pPr>
              <w:widowControl/>
              <w:tabs>
                <w:tab w:val="center" w:pos="4819"/>
                <w:tab w:val="right" w:pos="9639"/>
              </w:tabs>
              <w:jc w:val="both"/>
              <w:rPr>
                <w:rFonts w:eastAsia="Calibri"/>
                <w:b/>
                <w:color w:val="auto"/>
                <w:sz w:val="28"/>
                <w:szCs w:val="28"/>
                <w:lang w:val="uk-UA" w:eastAsia="en-US"/>
              </w:rPr>
            </w:pPr>
            <w:r w:rsidRPr="002F004A">
              <w:rPr>
                <w:rFonts w:eastAsia="Calibri"/>
                <w:b/>
                <w:color w:val="auto"/>
                <w:sz w:val="28"/>
                <w:szCs w:val="28"/>
                <w:lang w:val="uk-UA" w:eastAsia="en-US"/>
              </w:rPr>
              <w:t xml:space="preserve">Заступник Міністра                     </w:t>
            </w:r>
          </w:p>
        </w:tc>
        <w:tc>
          <w:tcPr>
            <w:tcW w:w="3917" w:type="dxa"/>
          </w:tcPr>
          <w:p w:rsidR="00D91878" w:rsidRPr="002F004A" w:rsidRDefault="00D91878" w:rsidP="007D090E">
            <w:pPr>
              <w:widowControl/>
              <w:tabs>
                <w:tab w:val="center" w:pos="4819"/>
                <w:tab w:val="right" w:pos="9639"/>
              </w:tabs>
              <w:ind w:right="-108"/>
              <w:jc w:val="right"/>
              <w:rPr>
                <w:rFonts w:eastAsia="Calibri"/>
                <w:b/>
                <w:color w:val="auto"/>
                <w:sz w:val="28"/>
                <w:szCs w:val="28"/>
                <w:lang w:val="uk-UA" w:eastAsia="en-US"/>
              </w:rPr>
            </w:pPr>
            <w:r w:rsidRPr="002F004A">
              <w:rPr>
                <w:rFonts w:eastAsia="Calibri"/>
                <w:b/>
                <w:color w:val="auto"/>
                <w:sz w:val="28"/>
                <w:szCs w:val="28"/>
                <w:lang w:val="uk-UA" w:eastAsia="en-US"/>
              </w:rPr>
              <w:t>О. МАКЕЄВА</w:t>
            </w:r>
          </w:p>
        </w:tc>
      </w:tr>
    </w:tbl>
    <w:p w:rsidR="00F17173" w:rsidRPr="002F004A" w:rsidRDefault="00F17173">
      <w:pPr>
        <w:rPr>
          <w:lang w:val="uk-UA"/>
        </w:rPr>
      </w:pPr>
    </w:p>
    <w:sectPr w:rsidR="00F17173" w:rsidRPr="002F004A" w:rsidSect="00D91878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AD" w:rsidRDefault="00B807AD" w:rsidP="00D91878">
      <w:r>
        <w:separator/>
      </w:r>
    </w:p>
  </w:endnote>
  <w:endnote w:type="continuationSeparator" w:id="0">
    <w:p w:rsidR="00B807AD" w:rsidRDefault="00B807AD" w:rsidP="00D9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AD" w:rsidRDefault="00B807AD" w:rsidP="00D91878">
      <w:r>
        <w:separator/>
      </w:r>
    </w:p>
  </w:footnote>
  <w:footnote w:type="continuationSeparator" w:id="0">
    <w:p w:rsidR="00B807AD" w:rsidRDefault="00B807AD" w:rsidP="00D91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0798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91878" w:rsidRDefault="00D9187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0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878" w:rsidRDefault="00D918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16DFF"/>
    <w:multiLevelType w:val="multilevel"/>
    <w:tmpl w:val="487650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78"/>
    <w:rsid w:val="00010A90"/>
    <w:rsid w:val="000765D0"/>
    <w:rsid w:val="00130C1C"/>
    <w:rsid w:val="00141ED0"/>
    <w:rsid w:val="00201F08"/>
    <w:rsid w:val="0021068A"/>
    <w:rsid w:val="002F004A"/>
    <w:rsid w:val="002F6049"/>
    <w:rsid w:val="004C0479"/>
    <w:rsid w:val="004E5356"/>
    <w:rsid w:val="006036CF"/>
    <w:rsid w:val="00736D4D"/>
    <w:rsid w:val="007C7B02"/>
    <w:rsid w:val="008300B7"/>
    <w:rsid w:val="00876A38"/>
    <w:rsid w:val="009126BD"/>
    <w:rsid w:val="00924AD3"/>
    <w:rsid w:val="009347C3"/>
    <w:rsid w:val="0095346C"/>
    <w:rsid w:val="00AA1E4C"/>
    <w:rsid w:val="00AA3B24"/>
    <w:rsid w:val="00B23D12"/>
    <w:rsid w:val="00B807AD"/>
    <w:rsid w:val="00B8149F"/>
    <w:rsid w:val="00BA32A0"/>
    <w:rsid w:val="00BC70AC"/>
    <w:rsid w:val="00C93404"/>
    <w:rsid w:val="00C96FEA"/>
    <w:rsid w:val="00CB4E0F"/>
    <w:rsid w:val="00D301C9"/>
    <w:rsid w:val="00D91878"/>
    <w:rsid w:val="00DE48B8"/>
    <w:rsid w:val="00E12909"/>
    <w:rsid w:val="00F1286F"/>
    <w:rsid w:val="00F17173"/>
    <w:rsid w:val="00F36995"/>
    <w:rsid w:val="00FC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187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sid w:val="00D91878"/>
    <w:rPr>
      <w:sz w:val="26"/>
      <w:szCs w:val="26"/>
      <w:shd w:val="clear" w:color="auto" w:fill="FFFFFF"/>
    </w:rPr>
  </w:style>
  <w:style w:type="character" w:customStyle="1" w:styleId="CharStyle5">
    <w:name w:val="Char Style 5"/>
    <w:basedOn w:val="a0"/>
    <w:link w:val="Style4"/>
    <w:rsid w:val="00D91878"/>
    <w:rPr>
      <w:sz w:val="26"/>
      <w:szCs w:val="26"/>
      <w:shd w:val="clear" w:color="auto" w:fill="FFFFFF"/>
    </w:rPr>
  </w:style>
  <w:style w:type="character" w:customStyle="1" w:styleId="CharStyle7">
    <w:name w:val="Char Style 7"/>
    <w:basedOn w:val="a0"/>
    <w:link w:val="Style6"/>
    <w:rsid w:val="00D91878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D91878"/>
    <w:pPr>
      <w:shd w:val="clear" w:color="auto" w:fill="FFFFFF"/>
      <w:spacing w:after="60" w:line="0" w:lineRule="atLeast"/>
      <w:outlineLvl w:val="1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Style4">
    <w:name w:val="Style 4"/>
    <w:basedOn w:val="a"/>
    <w:link w:val="CharStyle5"/>
    <w:rsid w:val="00D91878"/>
    <w:pPr>
      <w:shd w:val="clear" w:color="auto" w:fill="FFFFFF"/>
      <w:spacing w:before="420" w:line="322" w:lineRule="exact"/>
      <w:ind w:firstLine="700"/>
      <w:jc w:val="both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Style6">
    <w:name w:val="Style 6"/>
    <w:basedOn w:val="a"/>
    <w:link w:val="CharStyle7"/>
    <w:rsid w:val="00D91878"/>
    <w:pPr>
      <w:shd w:val="clear" w:color="auto" w:fill="FFFFFF"/>
      <w:spacing w:after="300" w:line="322" w:lineRule="exact"/>
      <w:ind w:firstLine="700"/>
      <w:jc w:val="both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table" w:styleId="a3">
    <w:name w:val="Table Grid"/>
    <w:basedOn w:val="a1"/>
    <w:uiPriority w:val="59"/>
    <w:rsid w:val="00D91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187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91878"/>
    <w:rPr>
      <w:rFonts w:ascii="Times New Roman" w:eastAsia="Times New Roman" w:hAnsi="Times New Roman" w:cs="Times New Roman"/>
      <w:color w:val="000000"/>
      <w:sz w:val="24"/>
      <w:szCs w:val="24"/>
      <w:lang w:val="uk" w:eastAsia="uk-UA"/>
    </w:rPr>
  </w:style>
  <w:style w:type="paragraph" w:styleId="a6">
    <w:name w:val="footer"/>
    <w:basedOn w:val="a"/>
    <w:link w:val="a7"/>
    <w:uiPriority w:val="99"/>
    <w:unhideWhenUsed/>
    <w:rsid w:val="00D9187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91878"/>
    <w:rPr>
      <w:rFonts w:ascii="Times New Roman" w:eastAsia="Times New Roman" w:hAnsi="Times New Roman" w:cs="Times New Roman"/>
      <w:color w:val="000000"/>
      <w:sz w:val="24"/>
      <w:szCs w:val="24"/>
      <w:lang w:val="uk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187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sid w:val="00D91878"/>
    <w:rPr>
      <w:sz w:val="26"/>
      <w:szCs w:val="26"/>
      <w:shd w:val="clear" w:color="auto" w:fill="FFFFFF"/>
    </w:rPr>
  </w:style>
  <w:style w:type="character" w:customStyle="1" w:styleId="CharStyle5">
    <w:name w:val="Char Style 5"/>
    <w:basedOn w:val="a0"/>
    <w:link w:val="Style4"/>
    <w:rsid w:val="00D91878"/>
    <w:rPr>
      <w:sz w:val="26"/>
      <w:szCs w:val="26"/>
      <w:shd w:val="clear" w:color="auto" w:fill="FFFFFF"/>
    </w:rPr>
  </w:style>
  <w:style w:type="character" w:customStyle="1" w:styleId="CharStyle7">
    <w:name w:val="Char Style 7"/>
    <w:basedOn w:val="a0"/>
    <w:link w:val="Style6"/>
    <w:rsid w:val="00D91878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D91878"/>
    <w:pPr>
      <w:shd w:val="clear" w:color="auto" w:fill="FFFFFF"/>
      <w:spacing w:after="60" w:line="0" w:lineRule="atLeast"/>
      <w:outlineLvl w:val="1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Style4">
    <w:name w:val="Style 4"/>
    <w:basedOn w:val="a"/>
    <w:link w:val="CharStyle5"/>
    <w:rsid w:val="00D91878"/>
    <w:pPr>
      <w:shd w:val="clear" w:color="auto" w:fill="FFFFFF"/>
      <w:spacing w:before="420" w:line="322" w:lineRule="exact"/>
      <w:ind w:firstLine="700"/>
      <w:jc w:val="both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Style6">
    <w:name w:val="Style 6"/>
    <w:basedOn w:val="a"/>
    <w:link w:val="CharStyle7"/>
    <w:rsid w:val="00D91878"/>
    <w:pPr>
      <w:shd w:val="clear" w:color="auto" w:fill="FFFFFF"/>
      <w:spacing w:after="300" w:line="322" w:lineRule="exact"/>
      <w:ind w:firstLine="700"/>
      <w:jc w:val="both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table" w:styleId="a3">
    <w:name w:val="Table Grid"/>
    <w:basedOn w:val="a1"/>
    <w:uiPriority w:val="59"/>
    <w:rsid w:val="00D91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187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91878"/>
    <w:rPr>
      <w:rFonts w:ascii="Times New Roman" w:eastAsia="Times New Roman" w:hAnsi="Times New Roman" w:cs="Times New Roman"/>
      <w:color w:val="000000"/>
      <w:sz w:val="24"/>
      <w:szCs w:val="24"/>
      <w:lang w:val="uk" w:eastAsia="uk-UA"/>
    </w:rPr>
  </w:style>
  <w:style w:type="paragraph" w:styleId="a6">
    <w:name w:val="footer"/>
    <w:basedOn w:val="a"/>
    <w:link w:val="a7"/>
    <w:uiPriority w:val="99"/>
    <w:unhideWhenUsed/>
    <w:rsid w:val="00D9187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91878"/>
    <w:rPr>
      <w:rFonts w:ascii="Times New Roman" w:eastAsia="Times New Roman" w:hAnsi="Times New Roman" w:cs="Times New Roman"/>
      <w:color w:val="000000"/>
      <w:sz w:val="24"/>
      <w:szCs w:val="24"/>
      <w:lang w:val="uk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105E-BE43-4BFE-8868-8CAC4C53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1808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2015-11-26T08:29:00Z</dcterms:created>
  <dcterms:modified xsi:type="dcterms:W3CDTF">2015-11-26T09:14:00Z</dcterms:modified>
</cp:coreProperties>
</file>