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78" w:rsidRPr="00F10C21" w:rsidRDefault="00786F78" w:rsidP="00786F78">
      <w:pPr>
        <w:jc w:val="center"/>
        <w:rPr>
          <w:b/>
          <w:sz w:val="28"/>
          <w:szCs w:val="28"/>
        </w:rPr>
      </w:pPr>
      <w:r w:rsidRPr="00F10C21">
        <w:rPr>
          <w:b/>
          <w:sz w:val="28"/>
          <w:szCs w:val="28"/>
        </w:rPr>
        <w:t>Звіт</w:t>
      </w:r>
    </w:p>
    <w:p w:rsidR="0057640E" w:rsidRDefault="00786F78" w:rsidP="00F10C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10C21">
        <w:rPr>
          <w:b/>
          <w:sz w:val="28"/>
          <w:szCs w:val="28"/>
        </w:rPr>
        <w:t xml:space="preserve">про </w:t>
      </w:r>
      <w:r w:rsidR="00BE34EA">
        <w:rPr>
          <w:b/>
          <w:sz w:val="28"/>
          <w:szCs w:val="28"/>
        </w:rPr>
        <w:t>повторне</w:t>
      </w:r>
      <w:r w:rsidRPr="00F10C21">
        <w:rPr>
          <w:b/>
          <w:sz w:val="28"/>
          <w:szCs w:val="28"/>
        </w:rPr>
        <w:t xml:space="preserve"> відстеження результативності </w:t>
      </w:r>
      <w:r w:rsidRPr="00F10C21">
        <w:rPr>
          <w:b/>
          <w:iCs/>
          <w:sz w:val="28"/>
          <w:szCs w:val="28"/>
        </w:rPr>
        <w:t xml:space="preserve">наказу Міністерства фінансів України </w:t>
      </w:r>
      <w:r w:rsidR="00F10C21" w:rsidRPr="00F10C21">
        <w:rPr>
          <w:rFonts w:eastAsia="Calibri"/>
          <w:b/>
          <w:sz w:val="28"/>
          <w:szCs w:val="28"/>
          <w:lang w:eastAsia="en-US"/>
        </w:rPr>
        <w:t xml:space="preserve">від </w:t>
      </w:r>
      <w:r w:rsidR="0057640E" w:rsidRPr="0057640E">
        <w:rPr>
          <w:rFonts w:eastAsia="Calibri"/>
          <w:b/>
          <w:sz w:val="28"/>
          <w:szCs w:val="28"/>
          <w:lang w:eastAsia="en-US"/>
        </w:rPr>
        <w:t>0</w:t>
      </w:r>
      <w:r w:rsidR="007510DA">
        <w:rPr>
          <w:rFonts w:eastAsia="Calibri"/>
          <w:b/>
          <w:sz w:val="28"/>
          <w:szCs w:val="28"/>
          <w:lang w:eastAsia="en-US"/>
        </w:rPr>
        <w:t>8</w:t>
      </w:r>
      <w:r w:rsidR="00F10C21" w:rsidRPr="00F10C21">
        <w:rPr>
          <w:rFonts w:eastAsia="Calibri"/>
          <w:b/>
          <w:sz w:val="28"/>
          <w:szCs w:val="28"/>
          <w:lang w:eastAsia="en-US"/>
        </w:rPr>
        <w:t>.0</w:t>
      </w:r>
      <w:r w:rsidR="007510DA">
        <w:rPr>
          <w:rFonts w:eastAsia="Calibri"/>
          <w:b/>
          <w:sz w:val="28"/>
          <w:szCs w:val="28"/>
          <w:lang w:eastAsia="en-US"/>
        </w:rPr>
        <w:t>4</w:t>
      </w:r>
      <w:r w:rsidR="00F10C21" w:rsidRPr="00F10C21">
        <w:rPr>
          <w:rFonts w:eastAsia="Calibri"/>
          <w:b/>
          <w:sz w:val="28"/>
          <w:szCs w:val="28"/>
          <w:lang w:eastAsia="en-US"/>
        </w:rPr>
        <w:t xml:space="preserve">.2013 № </w:t>
      </w:r>
      <w:r w:rsidR="007510DA">
        <w:rPr>
          <w:rFonts w:eastAsia="Calibri"/>
          <w:b/>
          <w:sz w:val="28"/>
          <w:szCs w:val="28"/>
          <w:lang w:eastAsia="en-US"/>
        </w:rPr>
        <w:t>465</w:t>
      </w:r>
      <w:r w:rsidR="00F10C21" w:rsidRPr="00F10C21">
        <w:rPr>
          <w:rFonts w:eastAsia="Calibri"/>
          <w:b/>
          <w:sz w:val="28"/>
          <w:szCs w:val="28"/>
          <w:lang w:eastAsia="en-US"/>
        </w:rPr>
        <w:t xml:space="preserve"> </w:t>
      </w:r>
      <w:r w:rsidR="007510DA" w:rsidRPr="007510DA">
        <w:rPr>
          <w:rFonts w:eastAsia="Calibri"/>
          <w:b/>
          <w:sz w:val="28"/>
          <w:szCs w:val="28"/>
          <w:lang w:eastAsia="en-US"/>
        </w:rPr>
        <w:t>«Про затвердження Порядку обліку, створення та ведення реєстру суб'єктів господарювання, які здійснюють операції з дорогоцінними металами і дорогоцінним камінням»</w:t>
      </w:r>
    </w:p>
    <w:p w:rsidR="007510DA" w:rsidRPr="007510DA" w:rsidRDefault="007510DA" w:rsidP="00F10C21">
      <w:pPr>
        <w:jc w:val="center"/>
        <w:rPr>
          <w:b/>
          <w:i/>
          <w:iCs/>
          <w:sz w:val="28"/>
          <w:szCs w:val="28"/>
        </w:rPr>
      </w:pPr>
    </w:p>
    <w:p w:rsidR="00786F78" w:rsidRPr="0057640E" w:rsidRDefault="00786F78" w:rsidP="0057640E">
      <w:pPr>
        <w:pStyle w:val="a6"/>
        <w:ind w:firstLine="720"/>
        <w:rPr>
          <w:bCs w:val="0"/>
          <w:iCs w:val="0"/>
          <w:szCs w:val="28"/>
        </w:rPr>
      </w:pPr>
      <w:r w:rsidRPr="0057640E">
        <w:rPr>
          <w:bCs w:val="0"/>
          <w:iCs w:val="0"/>
          <w:szCs w:val="28"/>
        </w:rPr>
        <w:t>Вид та назва регуляторного акта, результативність якого відстежується</w:t>
      </w:r>
    </w:p>
    <w:p w:rsidR="00786F78" w:rsidRPr="00786F78" w:rsidRDefault="00786F78" w:rsidP="00786F78">
      <w:pPr>
        <w:pStyle w:val="a6"/>
        <w:rPr>
          <w:b w:val="0"/>
          <w:bCs w:val="0"/>
          <w:i w:val="0"/>
          <w:iCs w:val="0"/>
          <w:sz w:val="10"/>
        </w:rPr>
      </w:pPr>
    </w:p>
    <w:p w:rsidR="007510DA" w:rsidRPr="007510DA" w:rsidRDefault="00F10C21" w:rsidP="007510DA">
      <w:pPr>
        <w:pStyle w:val="a6"/>
        <w:ind w:firstLine="708"/>
        <w:rPr>
          <w:b w:val="0"/>
          <w:i w:val="0"/>
        </w:rPr>
      </w:pPr>
      <w:r>
        <w:rPr>
          <w:b w:val="0"/>
          <w:i w:val="0"/>
        </w:rPr>
        <w:t>наказ</w:t>
      </w:r>
      <w:r w:rsidRPr="00F10C21">
        <w:rPr>
          <w:b w:val="0"/>
          <w:i w:val="0"/>
        </w:rPr>
        <w:t xml:space="preserve"> Міністерства фінансів України </w:t>
      </w:r>
      <w:r w:rsidRPr="00F10C21">
        <w:rPr>
          <w:rFonts w:eastAsia="Calibri"/>
          <w:b w:val="0"/>
          <w:i w:val="0"/>
          <w:szCs w:val="28"/>
          <w:lang w:eastAsia="en-US"/>
        </w:rPr>
        <w:t xml:space="preserve">від </w:t>
      </w:r>
      <w:r w:rsidR="0057640E" w:rsidRPr="0057640E">
        <w:rPr>
          <w:rFonts w:eastAsia="Calibri"/>
          <w:b w:val="0"/>
          <w:i w:val="0"/>
          <w:szCs w:val="28"/>
          <w:lang w:eastAsia="en-US"/>
        </w:rPr>
        <w:t>0</w:t>
      </w:r>
      <w:r w:rsidR="007510DA">
        <w:rPr>
          <w:rFonts w:eastAsia="Calibri"/>
          <w:b w:val="0"/>
          <w:i w:val="0"/>
          <w:szCs w:val="28"/>
          <w:lang w:eastAsia="en-US"/>
        </w:rPr>
        <w:t>7</w:t>
      </w:r>
      <w:r w:rsidR="0057640E">
        <w:rPr>
          <w:rFonts w:eastAsia="Calibri"/>
          <w:b w:val="0"/>
          <w:i w:val="0"/>
          <w:szCs w:val="28"/>
          <w:lang w:eastAsia="en-US"/>
        </w:rPr>
        <w:t xml:space="preserve"> </w:t>
      </w:r>
      <w:r w:rsidR="007510DA">
        <w:rPr>
          <w:rFonts w:eastAsia="Calibri"/>
          <w:b w:val="0"/>
          <w:i w:val="0"/>
          <w:szCs w:val="28"/>
          <w:lang w:eastAsia="en-US"/>
        </w:rPr>
        <w:t>квітн</w:t>
      </w:r>
      <w:r w:rsidR="0057640E">
        <w:rPr>
          <w:rFonts w:eastAsia="Calibri"/>
          <w:b w:val="0"/>
          <w:i w:val="0"/>
          <w:szCs w:val="28"/>
          <w:lang w:eastAsia="en-US"/>
        </w:rPr>
        <w:t xml:space="preserve">я </w:t>
      </w:r>
      <w:r w:rsidR="0057640E" w:rsidRPr="0057640E">
        <w:rPr>
          <w:rFonts w:eastAsia="Calibri"/>
          <w:b w:val="0"/>
          <w:i w:val="0"/>
          <w:szCs w:val="28"/>
          <w:lang w:eastAsia="en-US"/>
        </w:rPr>
        <w:t>2013</w:t>
      </w:r>
      <w:r w:rsidR="0057640E">
        <w:rPr>
          <w:rFonts w:eastAsia="Calibri"/>
          <w:b w:val="0"/>
          <w:i w:val="0"/>
          <w:szCs w:val="28"/>
          <w:lang w:eastAsia="en-US"/>
        </w:rPr>
        <w:t xml:space="preserve"> року</w:t>
      </w:r>
      <w:r w:rsidR="0057640E" w:rsidRPr="0057640E">
        <w:rPr>
          <w:rFonts w:eastAsia="Calibri"/>
          <w:b w:val="0"/>
          <w:i w:val="0"/>
          <w:szCs w:val="28"/>
          <w:lang w:eastAsia="en-US"/>
        </w:rPr>
        <w:t xml:space="preserve"> № </w:t>
      </w:r>
      <w:r w:rsidR="007510DA">
        <w:rPr>
          <w:rFonts w:eastAsia="Calibri"/>
          <w:b w:val="0"/>
          <w:i w:val="0"/>
          <w:szCs w:val="28"/>
          <w:lang w:eastAsia="en-US"/>
        </w:rPr>
        <w:t>465</w:t>
      </w:r>
      <w:r w:rsidR="0057640E" w:rsidRPr="0057640E">
        <w:rPr>
          <w:rFonts w:eastAsia="Calibri"/>
          <w:b w:val="0"/>
          <w:i w:val="0"/>
          <w:szCs w:val="28"/>
          <w:lang w:eastAsia="en-US"/>
        </w:rPr>
        <w:t xml:space="preserve"> </w:t>
      </w:r>
      <w:r w:rsidR="007510DA" w:rsidRPr="007510DA">
        <w:rPr>
          <w:rFonts w:eastAsia="Calibri"/>
          <w:b w:val="0"/>
          <w:i w:val="0"/>
          <w:szCs w:val="28"/>
          <w:lang w:eastAsia="en-US"/>
        </w:rPr>
        <w:t>«Про затвердження Порядку обліку, створення та ведення реєстру суб'єктів господарювання, які здійснюють операції з дорогоцінними металами і дорогоцінним камінням»</w:t>
      </w:r>
      <w:r w:rsidR="00BE53B4">
        <w:rPr>
          <w:rFonts w:eastAsia="Calibri"/>
          <w:b w:val="0"/>
          <w:i w:val="0"/>
          <w:szCs w:val="28"/>
          <w:lang w:eastAsia="en-US"/>
        </w:rPr>
        <w:t>, зареєстрован</w:t>
      </w:r>
      <w:r w:rsidR="007510DA">
        <w:rPr>
          <w:rFonts w:eastAsia="Calibri"/>
          <w:b w:val="0"/>
          <w:i w:val="0"/>
          <w:szCs w:val="28"/>
          <w:lang w:eastAsia="en-US"/>
        </w:rPr>
        <w:t>ий</w:t>
      </w:r>
      <w:r w:rsidR="00BE53B4">
        <w:rPr>
          <w:rFonts w:eastAsia="Calibri"/>
          <w:b w:val="0"/>
          <w:i w:val="0"/>
          <w:szCs w:val="28"/>
          <w:lang w:eastAsia="en-US"/>
        </w:rPr>
        <w:t xml:space="preserve"> в Міністерстві юстиції України </w:t>
      </w:r>
      <w:r w:rsidR="007510DA">
        <w:rPr>
          <w:rFonts w:eastAsia="Calibri"/>
          <w:b w:val="0"/>
          <w:i w:val="0"/>
          <w:szCs w:val="28"/>
          <w:lang w:eastAsia="en-US"/>
        </w:rPr>
        <w:t xml:space="preserve">                </w:t>
      </w:r>
      <w:r w:rsidR="007510DA" w:rsidRPr="007510DA">
        <w:rPr>
          <w:b w:val="0"/>
          <w:i w:val="0"/>
        </w:rPr>
        <w:t>27 червня 2013 р</w:t>
      </w:r>
      <w:r w:rsidR="007510DA">
        <w:rPr>
          <w:b w:val="0"/>
          <w:i w:val="0"/>
        </w:rPr>
        <w:t>оку</w:t>
      </w:r>
      <w:r w:rsidR="007510DA" w:rsidRPr="007510DA">
        <w:rPr>
          <w:b w:val="0"/>
          <w:i w:val="0"/>
        </w:rPr>
        <w:t xml:space="preserve"> за № 1087/23619</w:t>
      </w:r>
    </w:p>
    <w:p w:rsidR="00786F78" w:rsidRPr="00786F78" w:rsidRDefault="00786F78" w:rsidP="00786F78">
      <w:pPr>
        <w:pStyle w:val="a6"/>
        <w:rPr>
          <w:b w:val="0"/>
          <w:bCs w:val="0"/>
          <w:i w:val="0"/>
          <w:sz w:val="16"/>
          <w:szCs w:val="16"/>
        </w:rPr>
      </w:pPr>
    </w:p>
    <w:p w:rsidR="00786F78" w:rsidRPr="0057640E" w:rsidRDefault="00786F78" w:rsidP="00786F78">
      <w:pPr>
        <w:pStyle w:val="a6"/>
        <w:ind w:firstLine="708"/>
      </w:pPr>
      <w:r w:rsidRPr="0057640E">
        <w:t xml:space="preserve">Назва виконавця заходів з </w:t>
      </w:r>
      <w:r w:rsidR="004168C0">
        <w:t>повторн</w:t>
      </w:r>
      <w:r w:rsidR="00F10C21" w:rsidRPr="0057640E">
        <w:t xml:space="preserve">ого </w:t>
      </w:r>
      <w:r w:rsidRPr="0057640E">
        <w:t>відстеження</w:t>
      </w:r>
    </w:p>
    <w:p w:rsidR="00786F78" w:rsidRPr="00786F78" w:rsidRDefault="00BE34EA" w:rsidP="0093777D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державної політики у сфері пробірного нагляду та документів суворої звітності</w:t>
      </w:r>
      <w:r w:rsidR="00786F78" w:rsidRPr="00786F78">
        <w:rPr>
          <w:sz w:val="28"/>
          <w:szCs w:val="28"/>
        </w:rPr>
        <w:t xml:space="preserve"> Міністерства фінансів України.</w:t>
      </w:r>
    </w:p>
    <w:p w:rsidR="00786F78" w:rsidRPr="00BE34EA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Цілі прийняття акта</w:t>
      </w:r>
    </w:p>
    <w:p w:rsidR="00012B22" w:rsidRPr="00012B22" w:rsidRDefault="00F71A14" w:rsidP="00012B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12B22" w:rsidRPr="00012B22">
        <w:rPr>
          <w:sz w:val="28"/>
          <w:szCs w:val="28"/>
        </w:rPr>
        <w:t>аказ Міністерства фінансів України «Про затвердження Порядку обліку, створення та ведення реєстру суб'єктів господарювання, які здійснюють операції з дорогоцінними металами і дорогоцінним камінням» п</w:t>
      </w:r>
      <w:r>
        <w:rPr>
          <w:sz w:val="28"/>
          <w:szCs w:val="28"/>
        </w:rPr>
        <w:t>рийнят</w:t>
      </w:r>
      <w:r w:rsidR="00012B22" w:rsidRPr="00012B22">
        <w:rPr>
          <w:sz w:val="28"/>
          <w:szCs w:val="28"/>
        </w:rPr>
        <w:t xml:space="preserve">о з метою </w:t>
      </w:r>
      <w:r w:rsidR="00C51E32" w:rsidRPr="00C51E32">
        <w:rPr>
          <w:sz w:val="28"/>
          <w:szCs w:val="28"/>
        </w:rPr>
        <w:t>виконання норм статті 1 Закону України «Про державне регулювання видобутку, виробництва і використання дорогоцінних металів і дорогоцінного каміння та</w:t>
      </w:r>
      <w:r w:rsidR="00C51E32">
        <w:rPr>
          <w:sz w:val="28"/>
          <w:szCs w:val="28"/>
        </w:rPr>
        <w:t xml:space="preserve"> контроль за операціями з ними» </w:t>
      </w:r>
      <w:r w:rsidR="00131F30">
        <w:rPr>
          <w:sz w:val="28"/>
          <w:szCs w:val="28"/>
        </w:rPr>
        <w:t>та</w:t>
      </w:r>
      <w:r w:rsidR="00C51E32">
        <w:rPr>
          <w:sz w:val="28"/>
          <w:szCs w:val="28"/>
        </w:rPr>
        <w:t xml:space="preserve"> </w:t>
      </w:r>
      <w:r w:rsidR="00012B22" w:rsidRPr="00012B22">
        <w:rPr>
          <w:sz w:val="28"/>
          <w:szCs w:val="28"/>
        </w:rPr>
        <w:t>створення реєстру суб’єктів господарювання</w:t>
      </w:r>
      <w:r w:rsidR="002B641C" w:rsidRPr="002B641C">
        <w:t xml:space="preserve"> </w:t>
      </w:r>
      <w:r w:rsidR="002B641C" w:rsidRPr="002B641C">
        <w:rPr>
          <w:sz w:val="28"/>
          <w:szCs w:val="28"/>
        </w:rPr>
        <w:t>незалежно від форм</w:t>
      </w:r>
      <w:r w:rsidR="002B641C">
        <w:rPr>
          <w:sz w:val="28"/>
          <w:szCs w:val="28"/>
        </w:rPr>
        <w:t>и</w:t>
      </w:r>
      <w:r w:rsidR="002B641C" w:rsidRPr="002B641C">
        <w:rPr>
          <w:sz w:val="28"/>
          <w:szCs w:val="28"/>
        </w:rPr>
        <w:t xml:space="preserve"> власності</w:t>
      </w:r>
      <w:r w:rsidR="00012B22" w:rsidRPr="00012B22">
        <w:rPr>
          <w:sz w:val="28"/>
          <w:szCs w:val="28"/>
        </w:rPr>
        <w:t>, які здійснюють операції з дорогоцінними металами і дорогоцінним камінням</w:t>
      </w:r>
      <w:r w:rsidR="00C51E32">
        <w:rPr>
          <w:sz w:val="28"/>
          <w:szCs w:val="28"/>
        </w:rPr>
        <w:t>,</w:t>
      </w:r>
      <w:r w:rsidR="007510DA">
        <w:rPr>
          <w:sz w:val="28"/>
          <w:szCs w:val="28"/>
        </w:rPr>
        <w:t xml:space="preserve"> </w:t>
      </w:r>
      <w:r w:rsidR="00131F30">
        <w:rPr>
          <w:sz w:val="28"/>
          <w:szCs w:val="28"/>
        </w:rPr>
        <w:t xml:space="preserve">а </w:t>
      </w:r>
      <w:r w:rsidR="007510DA">
        <w:rPr>
          <w:sz w:val="28"/>
          <w:szCs w:val="28"/>
        </w:rPr>
        <w:t>та</w:t>
      </w:r>
      <w:r w:rsidR="00131F30">
        <w:rPr>
          <w:sz w:val="28"/>
          <w:szCs w:val="28"/>
        </w:rPr>
        <w:t>кож</w:t>
      </w:r>
      <w:r w:rsidR="00012B22" w:rsidRPr="00012B22">
        <w:rPr>
          <w:sz w:val="28"/>
          <w:szCs w:val="28"/>
        </w:rPr>
        <w:t xml:space="preserve"> </w:t>
      </w:r>
      <w:r w:rsidR="007510DA" w:rsidRPr="00012B22">
        <w:rPr>
          <w:sz w:val="28"/>
          <w:szCs w:val="28"/>
        </w:rPr>
        <w:t xml:space="preserve">забезпечення функціонування </w:t>
      </w:r>
      <w:r w:rsidR="00012B22" w:rsidRPr="00012B22">
        <w:rPr>
          <w:sz w:val="28"/>
          <w:szCs w:val="28"/>
        </w:rPr>
        <w:t xml:space="preserve">єдиної інформаційної системи </w:t>
      </w:r>
      <w:r w:rsidR="008C7F06">
        <w:rPr>
          <w:sz w:val="28"/>
          <w:szCs w:val="28"/>
        </w:rPr>
        <w:t xml:space="preserve">обліку </w:t>
      </w:r>
      <w:r w:rsidR="00C51E32">
        <w:rPr>
          <w:sz w:val="28"/>
          <w:szCs w:val="28"/>
        </w:rPr>
        <w:t xml:space="preserve">зазначених </w:t>
      </w:r>
      <w:r w:rsidR="00012B22" w:rsidRPr="00012B22">
        <w:rPr>
          <w:sz w:val="28"/>
          <w:szCs w:val="28"/>
        </w:rPr>
        <w:t>суб’єктів господарювання.</w:t>
      </w:r>
    </w:p>
    <w:p w:rsidR="00E828D5" w:rsidRPr="00E828D5" w:rsidRDefault="00241A1E" w:rsidP="00E828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8D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12B22" w:rsidRPr="00E828D5">
        <w:rPr>
          <w:rFonts w:ascii="Times New Roman" w:hAnsi="Times New Roman" w:cs="Times New Roman"/>
          <w:sz w:val="28"/>
          <w:szCs w:val="28"/>
          <w:lang w:val="uk-UA"/>
        </w:rPr>
        <w:t xml:space="preserve">ормативний акт </w:t>
      </w:r>
      <w:r w:rsidR="00E828D5" w:rsidRPr="00E828D5">
        <w:rPr>
          <w:rFonts w:ascii="Times New Roman" w:hAnsi="Times New Roman" w:cs="Times New Roman"/>
          <w:sz w:val="28"/>
          <w:szCs w:val="28"/>
          <w:lang w:val="uk-UA"/>
        </w:rPr>
        <w:t xml:space="preserve">визначає порядок реєстрації суб’єктів </w:t>
      </w:r>
      <w:r w:rsidR="008C7F06">
        <w:rPr>
          <w:rFonts w:ascii="Times New Roman" w:hAnsi="Times New Roman" w:cs="Times New Roman"/>
          <w:sz w:val="28"/>
          <w:szCs w:val="28"/>
          <w:lang w:val="uk-UA"/>
        </w:rPr>
        <w:t xml:space="preserve">господарювання, </w:t>
      </w:r>
      <w:r w:rsidR="002B641C" w:rsidRPr="002B641C">
        <w:rPr>
          <w:rFonts w:ascii="Times New Roman" w:hAnsi="Times New Roman" w:cs="Times New Roman"/>
          <w:sz w:val="28"/>
          <w:szCs w:val="28"/>
          <w:lang w:val="uk-UA"/>
        </w:rPr>
        <w:t xml:space="preserve">які здійснюють операції з дорогоцінними металами і дорогоцінним камінням, </w:t>
      </w:r>
      <w:r w:rsidR="00E828D5" w:rsidRPr="00E828D5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 конкретний перелік документів, що подаються суб’єктами для внесення їх до реєстру</w:t>
      </w:r>
      <w:r w:rsidR="008C7F06">
        <w:rPr>
          <w:rFonts w:ascii="Times New Roman" w:hAnsi="Times New Roman" w:cs="Times New Roman"/>
          <w:sz w:val="28"/>
          <w:szCs w:val="28"/>
          <w:lang w:val="uk-UA"/>
        </w:rPr>
        <w:t>, та визначає підстави для їх виключення з реєстру.</w:t>
      </w:r>
    </w:p>
    <w:p w:rsidR="00E828D5" w:rsidRPr="002B43B1" w:rsidRDefault="00E828D5" w:rsidP="00786F78">
      <w:pPr>
        <w:ind w:firstLine="720"/>
        <w:rPr>
          <w:b/>
          <w:i/>
          <w:sz w:val="16"/>
          <w:szCs w:val="16"/>
        </w:rPr>
      </w:pPr>
    </w:p>
    <w:p w:rsidR="00786F78" w:rsidRPr="0057640E" w:rsidRDefault="00786F78" w:rsidP="00786F78">
      <w:pPr>
        <w:ind w:firstLine="720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Строк виконання заходів з відстеження</w:t>
      </w:r>
    </w:p>
    <w:p w:rsidR="00786F78" w:rsidRPr="00786F78" w:rsidRDefault="00786F78" w:rsidP="00F17F61">
      <w:pPr>
        <w:ind w:firstLine="720"/>
        <w:jc w:val="both"/>
        <w:rPr>
          <w:sz w:val="28"/>
          <w:szCs w:val="28"/>
        </w:rPr>
      </w:pPr>
      <w:r w:rsidRPr="00786F78">
        <w:rPr>
          <w:sz w:val="28"/>
          <w:szCs w:val="28"/>
        </w:rPr>
        <w:t xml:space="preserve">з </w:t>
      </w:r>
      <w:r w:rsidR="00BE34EA">
        <w:rPr>
          <w:sz w:val="28"/>
          <w:szCs w:val="28"/>
        </w:rPr>
        <w:t>0</w:t>
      </w:r>
      <w:r w:rsidR="00406305">
        <w:rPr>
          <w:sz w:val="28"/>
          <w:szCs w:val="28"/>
        </w:rPr>
        <w:t>1</w:t>
      </w:r>
      <w:r w:rsidRPr="00786F78">
        <w:rPr>
          <w:sz w:val="28"/>
          <w:szCs w:val="28"/>
        </w:rPr>
        <w:t xml:space="preserve"> </w:t>
      </w:r>
      <w:r w:rsidR="00406305">
        <w:rPr>
          <w:sz w:val="28"/>
          <w:szCs w:val="28"/>
        </w:rPr>
        <w:t>вересн</w:t>
      </w:r>
      <w:r w:rsidR="00BE34EA">
        <w:rPr>
          <w:sz w:val="28"/>
          <w:szCs w:val="28"/>
        </w:rPr>
        <w:t>я</w:t>
      </w:r>
      <w:r w:rsidR="00F17F61">
        <w:rPr>
          <w:sz w:val="28"/>
          <w:szCs w:val="28"/>
        </w:rPr>
        <w:t xml:space="preserve"> по </w:t>
      </w:r>
      <w:r w:rsidR="008C7F06">
        <w:rPr>
          <w:sz w:val="28"/>
          <w:szCs w:val="28"/>
        </w:rPr>
        <w:t>12</w:t>
      </w:r>
      <w:r w:rsidRPr="00786F78">
        <w:rPr>
          <w:sz w:val="28"/>
          <w:szCs w:val="28"/>
        </w:rPr>
        <w:t xml:space="preserve"> </w:t>
      </w:r>
      <w:r w:rsidR="00406305">
        <w:rPr>
          <w:sz w:val="28"/>
          <w:szCs w:val="28"/>
        </w:rPr>
        <w:t>жовт</w:t>
      </w:r>
      <w:r w:rsidR="00BE34EA">
        <w:rPr>
          <w:sz w:val="28"/>
          <w:szCs w:val="28"/>
        </w:rPr>
        <w:t>ня 2015</w:t>
      </w:r>
      <w:r w:rsidRPr="00786F78">
        <w:rPr>
          <w:sz w:val="28"/>
          <w:szCs w:val="28"/>
        </w:rPr>
        <w:t xml:space="preserve"> року</w:t>
      </w:r>
    </w:p>
    <w:p w:rsidR="00786F78" w:rsidRPr="00BE34EA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Тип відстеження</w:t>
      </w:r>
    </w:p>
    <w:p w:rsidR="00786F78" w:rsidRPr="00786F78" w:rsidRDefault="00BE34EA" w:rsidP="00786F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Повторне</w:t>
      </w:r>
      <w:r w:rsidR="00786F78" w:rsidRPr="00786F78">
        <w:rPr>
          <w:sz w:val="28"/>
          <w:szCs w:val="28"/>
        </w:rPr>
        <w:t xml:space="preserve"> </w:t>
      </w:r>
      <w:r w:rsidR="00786F78" w:rsidRPr="00786F78">
        <w:rPr>
          <w:i/>
          <w:sz w:val="28"/>
          <w:szCs w:val="28"/>
        </w:rPr>
        <w:t xml:space="preserve"> </w:t>
      </w:r>
      <w:r w:rsidR="00786F78" w:rsidRPr="00786F78">
        <w:rPr>
          <w:sz w:val="28"/>
          <w:szCs w:val="28"/>
        </w:rPr>
        <w:t>відстеження</w:t>
      </w:r>
    </w:p>
    <w:p w:rsidR="00786F78" w:rsidRPr="00BE34EA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Методи одержання результатів відстеження</w:t>
      </w:r>
    </w:p>
    <w:p w:rsidR="00786F78" w:rsidRPr="00786F78" w:rsidRDefault="00786F78" w:rsidP="00786F78">
      <w:pPr>
        <w:ind w:firstLine="720"/>
        <w:jc w:val="both"/>
        <w:rPr>
          <w:i/>
          <w:sz w:val="6"/>
          <w:szCs w:val="28"/>
        </w:rPr>
      </w:pPr>
    </w:p>
    <w:p w:rsidR="00241A1E" w:rsidRDefault="00786F78" w:rsidP="002376B2">
      <w:pPr>
        <w:tabs>
          <w:tab w:val="left" w:pos="-1260"/>
        </w:tabs>
        <w:jc w:val="both"/>
        <w:rPr>
          <w:sz w:val="28"/>
          <w:szCs w:val="28"/>
        </w:rPr>
      </w:pPr>
      <w:r w:rsidRPr="00786F78">
        <w:rPr>
          <w:sz w:val="28"/>
          <w:szCs w:val="28"/>
        </w:rPr>
        <w:tab/>
        <w:t xml:space="preserve">Результати </w:t>
      </w:r>
      <w:r w:rsidR="00BE34EA">
        <w:rPr>
          <w:sz w:val="28"/>
          <w:szCs w:val="28"/>
        </w:rPr>
        <w:t>повторного</w:t>
      </w:r>
      <w:r w:rsidR="008B53FC">
        <w:rPr>
          <w:sz w:val="28"/>
          <w:szCs w:val="28"/>
        </w:rPr>
        <w:t xml:space="preserve"> відстеження результативності н</w:t>
      </w:r>
      <w:r w:rsidRPr="00786F78">
        <w:rPr>
          <w:sz w:val="28"/>
          <w:szCs w:val="28"/>
        </w:rPr>
        <w:t xml:space="preserve">аказу </w:t>
      </w:r>
      <w:r w:rsidR="00BE53B4" w:rsidRPr="00BE53B4">
        <w:rPr>
          <w:sz w:val="28"/>
          <w:szCs w:val="28"/>
        </w:rPr>
        <w:t>Міністерства фінансів України від 0</w:t>
      </w:r>
      <w:r w:rsidR="00241A1E">
        <w:rPr>
          <w:sz w:val="28"/>
          <w:szCs w:val="28"/>
        </w:rPr>
        <w:t>8</w:t>
      </w:r>
      <w:r w:rsidR="00BE53B4">
        <w:rPr>
          <w:sz w:val="28"/>
          <w:szCs w:val="28"/>
        </w:rPr>
        <w:t>.0</w:t>
      </w:r>
      <w:r w:rsidR="00241A1E">
        <w:rPr>
          <w:sz w:val="28"/>
          <w:szCs w:val="28"/>
        </w:rPr>
        <w:t>4</w:t>
      </w:r>
      <w:r w:rsidR="00BE53B4">
        <w:rPr>
          <w:sz w:val="28"/>
          <w:szCs w:val="28"/>
        </w:rPr>
        <w:t>.</w:t>
      </w:r>
      <w:r w:rsidR="00BE53B4" w:rsidRPr="00BE53B4">
        <w:rPr>
          <w:sz w:val="28"/>
          <w:szCs w:val="28"/>
        </w:rPr>
        <w:t>2013</w:t>
      </w:r>
      <w:r w:rsidR="00BE53B4">
        <w:rPr>
          <w:sz w:val="28"/>
          <w:szCs w:val="28"/>
        </w:rPr>
        <w:t xml:space="preserve"> </w:t>
      </w:r>
      <w:r w:rsidR="00BE53B4" w:rsidRPr="00BE53B4">
        <w:rPr>
          <w:sz w:val="28"/>
          <w:szCs w:val="28"/>
        </w:rPr>
        <w:t xml:space="preserve">№ </w:t>
      </w:r>
      <w:r w:rsidR="00241A1E">
        <w:rPr>
          <w:sz w:val="28"/>
          <w:szCs w:val="28"/>
        </w:rPr>
        <w:t xml:space="preserve">465 одержані на підставі аналізу даних реєстру </w:t>
      </w:r>
      <w:r w:rsidR="004A06FB" w:rsidRPr="004A06FB">
        <w:rPr>
          <w:sz w:val="28"/>
          <w:szCs w:val="28"/>
        </w:rPr>
        <w:t>суб'єктів господарювання, які здійснюють операції з дорогоцінними металами і дорогоцінним камінням</w:t>
      </w:r>
      <w:r w:rsidR="004A06FB">
        <w:rPr>
          <w:sz w:val="28"/>
          <w:szCs w:val="28"/>
        </w:rPr>
        <w:t>, створено</w:t>
      </w:r>
      <w:r w:rsidR="00207055">
        <w:rPr>
          <w:sz w:val="28"/>
          <w:szCs w:val="28"/>
        </w:rPr>
        <w:t xml:space="preserve">го </w:t>
      </w:r>
      <w:r w:rsidR="004A06FB">
        <w:rPr>
          <w:sz w:val="28"/>
          <w:szCs w:val="28"/>
        </w:rPr>
        <w:t>Державною пробірною службою України.</w:t>
      </w:r>
    </w:p>
    <w:p w:rsidR="00241A1E" w:rsidRDefault="00241A1E" w:rsidP="00E828D5">
      <w:pPr>
        <w:tabs>
          <w:tab w:val="left" w:pos="-1260"/>
        </w:tabs>
        <w:ind w:firstLine="709"/>
        <w:jc w:val="both"/>
        <w:rPr>
          <w:sz w:val="28"/>
          <w:szCs w:val="28"/>
        </w:rPr>
      </w:pPr>
      <w:r w:rsidRPr="00241A1E">
        <w:rPr>
          <w:sz w:val="28"/>
          <w:szCs w:val="28"/>
        </w:rPr>
        <w:t>Внаслідок видання наказу на нормативному рівні визнач</w:t>
      </w:r>
      <w:r w:rsidR="004A06FB">
        <w:rPr>
          <w:sz w:val="28"/>
          <w:szCs w:val="28"/>
        </w:rPr>
        <w:t>ена</w:t>
      </w:r>
      <w:r w:rsidRPr="00241A1E">
        <w:rPr>
          <w:sz w:val="28"/>
          <w:szCs w:val="28"/>
        </w:rPr>
        <w:t xml:space="preserve"> система створення та ведення реєстру суб’єктів господарювання, які здійснюють операції з дорогоцінними металами і дорогоцінним камінням, визначено</w:t>
      </w:r>
      <w:r w:rsidR="004A06FB">
        <w:rPr>
          <w:sz w:val="28"/>
          <w:szCs w:val="28"/>
        </w:rPr>
        <w:t xml:space="preserve"> </w:t>
      </w:r>
      <w:r w:rsidRPr="00241A1E">
        <w:rPr>
          <w:sz w:val="28"/>
          <w:szCs w:val="28"/>
        </w:rPr>
        <w:t xml:space="preserve">вичерпний </w:t>
      </w:r>
      <w:r w:rsidRPr="00241A1E">
        <w:rPr>
          <w:sz w:val="28"/>
          <w:szCs w:val="28"/>
        </w:rPr>
        <w:lastRenderedPageBreak/>
        <w:t>перелік</w:t>
      </w:r>
      <w:r w:rsidR="000335CA">
        <w:rPr>
          <w:sz w:val="28"/>
          <w:szCs w:val="28"/>
        </w:rPr>
        <w:t xml:space="preserve"> видів</w:t>
      </w:r>
      <w:r w:rsidRPr="00241A1E">
        <w:rPr>
          <w:sz w:val="28"/>
          <w:szCs w:val="28"/>
        </w:rPr>
        <w:t xml:space="preserve"> господар</w:t>
      </w:r>
      <w:r w:rsidR="000335CA">
        <w:rPr>
          <w:sz w:val="28"/>
          <w:szCs w:val="28"/>
        </w:rPr>
        <w:t>ської діяльності</w:t>
      </w:r>
      <w:r w:rsidRPr="00241A1E">
        <w:rPr>
          <w:sz w:val="28"/>
          <w:szCs w:val="28"/>
        </w:rPr>
        <w:t xml:space="preserve">, </w:t>
      </w:r>
      <w:r w:rsidR="000335CA">
        <w:rPr>
          <w:sz w:val="28"/>
          <w:szCs w:val="28"/>
        </w:rPr>
        <w:t xml:space="preserve">суб’єкти провадження якої </w:t>
      </w:r>
      <w:r w:rsidRPr="00241A1E">
        <w:rPr>
          <w:sz w:val="28"/>
          <w:szCs w:val="28"/>
        </w:rPr>
        <w:t>вносяться до реєстру</w:t>
      </w:r>
      <w:r w:rsidR="004A06FB">
        <w:rPr>
          <w:sz w:val="28"/>
          <w:szCs w:val="28"/>
        </w:rPr>
        <w:t>,</w:t>
      </w:r>
      <w:r w:rsidRPr="00241A1E">
        <w:rPr>
          <w:sz w:val="28"/>
          <w:szCs w:val="28"/>
        </w:rPr>
        <w:t xml:space="preserve"> перелік документів, які подаються суб’єктами господа</w:t>
      </w:r>
      <w:r w:rsidR="00E828D5">
        <w:rPr>
          <w:sz w:val="28"/>
          <w:szCs w:val="28"/>
        </w:rPr>
        <w:t xml:space="preserve">рювання для внесення до реєстру, </w:t>
      </w:r>
      <w:r w:rsidRPr="00241A1E">
        <w:rPr>
          <w:sz w:val="28"/>
          <w:szCs w:val="28"/>
        </w:rPr>
        <w:t>форми облікових документів</w:t>
      </w:r>
      <w:r w:rsidR="00E828D5">
        <w:rPr>
          <w:sz w:val="28"/>
          <w:szCs w:val="28"/>
        </w:rPr>
        <w:t>.</w:t>
      </w:r>
    </w:p>
    <w:p w:rsidR="00786F78" w:rsidRPr="003529C5" w:rsidRDefault="00786F78" w:rsidP="00786F78">
      <w:pPr>
        <w:tabs>
          <w:tab w:val="left" w:pos="-1260"/>
        </w:tabs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Дан</w:t>
      </w:r>
      <w:r w:rsidR="0068473B" w:rsidRPr="0057640E">
        <w:rPr>
          <w:b/>
          <w:i/>
          <w:sz w:val="28"/>
          <w:szCs w:val="28"/>
        </w:rPr>
        <w:t>і та припущення, на основі яких відстежувалась</w:t>
      </w:r>
      <w:r w:rsidRPr="0057640E">
        <w:rPr>
          <w:b/>
          <w:i/>
          <w:sz w:val="28"/>
          <w:szCs w:val="28"/>
        </w:rPr>
        <w:t xml:space="preserve"> результативність, а також способи одержання даних</w:t>
      </w:r>
    </w:p>
    <w:p w:rsidR="00472BBF" w:rsidRDefault="00924EAD" w:rsidP="00924EAD">
      <w:pPr>
        <w:spacing w:before="60"/>
        <w:ind w:firstLine="709"/>
        <w:jc w:val="both"/>
        <w:rPr>
          <w:bCs/>
          <w:sz w:val="28"/>
          <w:szCs w:val="28"/>
        </w:rPr>
      </w:pPr>
      <w:r w:rsidRPr="00924EAD">
        <w:rPr>
          <w:bCs/>
          <w:sz w:val="28"/>
          <w:szCs w:val="28"/>
        </w:rPr>
        <w:t xml:space="preserve">Дія цього </w:t>
      </w:r>
      <w:r w:rsidR="005231AD">
        <w:rPr>
          <w:bCs/>
          <w:sz w:val="28"/>
          <w:szCs w:val="28"/>
        </w:rPr>
        <w:t>регуляторного</w:t>
      </w:r>
      <w:r w:rsidRPr="00924EAD">
        <w:rPr>
          <w:bCs/>
          <w:sz w:val="28"/>
          <w:szCs w:val="28"/>
        </w:rPr>
        <w:t xml:space="preserve"> акта поширюється на </w:t>
      </w:r>
      <w:r>
        <w:rPr>
          <w:bCs/>
          <w:sz w:val="28"/>
          <w:szCs w:val="28"/>
        </w:rPr>
        <w:t>всіх</w:t>
      </w:r>
      <w:r w:rsidRPr="00924EAD">
        <w:rPr>
          <w:bCs/>
          <w:sz w:val="28"/>
          <w:szCs w:val="28"/>
        </w:rPr>
        <w:t xml:space="preserve"> суб'єктів господарювання, які </w:t>
      </w:r>
      <w:r>
        <w:rPr>
          <w:bCs/>
          <w:sz w:val="28"/>
          <w:szCs w:val="28"/>
        </w:rPr>
        <w:t>здійснюють операції з дорогоцінними металами і дорогоцінним камінням</w:t>
      </w:r>
      <w:r w:rsidR="00472BB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8C7F06" w:rsidRDefault="00924EAD" w:rsidP="00F72E4D">
      <w:pPr>
        <w:ind w:firstLine="709"/>
        <w:jc w:val="both"/>
        <w:rPr>
          <w:bCs/>
          <w:sz w:val="28"/>
          <w:szCs w:val="28"/>
        </w:rPr>
      </w:pPr>
      <w:r w:rsidRPr="00924EAD">
        <w:rPr>
          <w:bCs/>
          <w:sz w:val="28"/>
          <w:szCs w:val="28"/>
        </w:rPr>
        <w:t>Повторне відстеження результативності регуляторного акта здійснювалос</w:t>
      </w:r>
      <w:r w:rsidR="00472BBF">
        <w:rPr>
          <w:bCs/>
          <w:sz w:val="28"/>
          <w:szCs w:val="28"/>
        </w:rPr>
        <w:t xml:space="preserve">я на основі даних </w:t>
      </w:r>
      <w:r w:rsidR="008C7F06">
        <w:rPr>
          <w:bCs/>
          <w:sz w:val="28"/>
          <w:szCs w:val="28"/>
        </w:rPr>
        <w:t xml:space="preserve">реєстру </w:t>
      </w:r>
      <w:r w:rsidR="008C7F06" w:rsidRPr="008C7F06">
        <w:rPr>
          <w:bCs/>
          <w:sz w:val="28"/>
          <w:szCs w:val="28"/>
        </w:rPr>
        <w:t>суб'єктів господарювання, які здійснюють операції з дорогоцінними металами і дорогоцінним камінням</w:t>
      </w:r>
      <w:r w:rsidR="008C7F06">
        <w:rPr>
          <w:bCs/>
          <w:sz w:val="28"/>
          <w:szCs w:val="28"/>
        </w:rPr>
        <w:t>. У реєстрі протягом 2013</w:t>
      </w:r>
      <w:r w:rsidR="00E94F8D">
        <w:rPr>
          <w:bCs/>
          <w:sz w:val="28"/>
          <w:szCs w:val="28"/>
        </w:rPr>
        <w:t xml:space="preserve"> – </w:t>
      </w:r>
      <w:r w:rsidR="008C7F06">
        <w:rPr>
          <w:bCs/>
          <w:sz w:val="28"/>
          <w:szCs w:val="28"/>
        </w:rPr>
        <w:t>201</w:t>
      </w:r>
      <w:r w:rsidR="00207055">
        <w:rPr>
          <w:bCs/>
          <w:sz w:val="28"/>
          <w:szCs w:val="28"/>
        </w:rPr>
        <w:t>4</w:t>
      </w:r>
      <w:r w:rsidR="00E94F8D">
        <w:rPr>
          <w:bCs/>
          <w:sz w:val="28"/>
          <w:szCs w:val="28"/>
        </w:rPr>
        <w:t xml:space="preserve"> </w:t>
      </w:r>
      <w:r w:rsidR="008C7F06">
        <w:rPr>
          <w:bCs/>
          <w:sz w:val="28"/>
          <w:szCs w:val="28"/>
        </w:rPr>
        <w:t xml:space="preserve">років </w:t>
      </w:r>
      <w:r w:rsidR="004A1305">
        <w:rPr>
          <w:bCs/>
          <w:sz w:val="28"/>
          <w:szCs w:val="28"/>
        </w:rPr>
        <w:t xml:space="preserve">Державною пробірною службою </w:t>
      </w:r>
      <w:r w:rsidR="008C7F06">
        <w:rPr>
          <w:bCs/>
          <w:sz w:val="28"/>
          <w:szCs w:val="28"/>
        </w:rPr>
        <w:t xml:space="preserve">зареєстровано близько </w:t>
      </w:r>
      <w:r w:rsidR="00207055">
        <w:rPr>
          <w:bCs/>
          <w:sz w:val="28"/>
          <w:szCs w:val="28"/>
        </w:rPr>
        <w:t xml:space="preserve">                      </w:t>
      </w:r>
      <w:r w:rsidR="008C7F06">
        <w:rPr>
          <w:bCs/>
          <w:sz w:val="28"/>
          <w:szCs w:val="28"/>
        </w:rPr>
        <w:t>3</w:t>
      </w:r>
      <w:r w:rsidR="00207055">
        <w:rPr>
          <w:bCs/>
          <w:sz w:val="28"/>
          <w:szCs w:val="28"/>
        </w:rPr>
        <w:t>,</w:t>
      </w:r>
      <w:r w:rsidR="008C7F06">
        <w:rPr>
          <w:bCs/>
          <w:sz w:val="28"/>
          <w:szCs w:val="28"/>
        </w:rPr>
        <w:t>5</w:t>
      </w:r>
      <w:r w:rsidR="00207055">
        <w:rPr>
          <w:bCs/>
          <w:sz w:val="28"/>
          <w:szCs w:val="28"/>
        </w:rPr>
        <w:t xml:space="preserve"> тис.</w:t>
      </w:r>
      <w:r w:rsidR="008C7F06">
        <w:rPr>
          <w:bCs/>
          <w:sz w:val="28"/>
          <w:szCs w:val="28"/>
        </w:rPr>
        <w:t xml:space="preserve"> суб’єктів господарювання</w:t>
      </w:r>
      <w:r w:rsidR="004A1305">
        <w:rPr>
          <w:bCs/>
          <w:sz w:val="28"/>
          <w:szCs w:val="28"/>
        </w:rPr>
        <w:t xml:space="preserve">, які здійснюють операції з дорогоцінними металами і дорогоцінним камінням. </w:t>
      </w:r>
    </w:p>
    <w:p w:rsidR="0057640E" w:rsidRPr="0057640E" w:rsidRDefault="00786F78" w:rsidP="00207055">
      <w:pPr>
        <w:spacing w:before="120"/>
        <w:ind w:right="181" w:firstLine="851"/>
        <w:rPr>
          <w:b/>
          <w:i/>
          <w:sz w:val="28"/>
          <w:szCs w:val="28"/>
          <w:lang w:val="ru-RU"/>
        </w:rPr>
      </w:pPr>
      <w:r w:rsidRPr="0057640E">
        <w:rPr>
          <w:b/>
          <w:i/>
          <w:sz w:val="28"/>
          <w:szCs w:val="28"/>
        </w:rPr>
        <w:t>Кількісні та якісні значення п</w:t>
      </w:r>
      <w:r w:rsidR="0057640E" w:rsidRPr="0057640E">
        <w:rPr>
          <w:b/>
          <w:i/>
          <w:sz w:val="28"/>
          <w:szCs w:val="28"/>
        </w:rPr>
        <w:t>оказників результативності акта</w:t>
      </w:r>
    </w:p>
    <w:p w:rsidR="00E640F7" w:rsidRPr="00E640F7" w:rsidRDefault="00E640F7" w:rsidP="00E640F7">
      <w:pPr>
        <w:ind w:firstLine="708"/>
        <w:jc w:val="both"/>
        <w:rPr>
          <w:sz w:val="28"/>
          <w:szCs w:val="28"/>
        </w:rPr>
      </w:pPr>
      <w:r w:rsidRPr="00E640F7">
        <w:rPr>
          <w:sz w:val="28"/>
          <w:szCs w:val="28"/>
        </w:rPr>
        <w:t>До якісних показників результативності регуляторного акта, відносно якого здійснювалось повторне відстеження, можна віднести:</w:t>
      </w:r>
    </w:p>
    <w:p w:rsidR="00E640F7" w:rsidRDefault="00E640F7" w:rsidP="00E640F7">
      <w:pPr>
        <w:ind w:firstLine="708"/>
        <w:jc w:val="both"/>
        <w:rPr>
          <w:sz w:val="28"/>
          <w:szCs w:val="28"/>
        </w:rPr>
      </w:pPr>
      <w:r w:rsidRPr="00E640F7">
        <w:rPr>
          <w:sz w:val="28"/>
          <w:szCs w:val="28"/>
        </w:rPr>
        <w:t>виконання норм статті 1 Закону України «Про державне регулювання видобутку, виробництва і використання дорогоцінних металів і дорогоцінного каміння та контроль за операціями з ними»</w:t>
      </w:r>
      <w:r>
        <w:rPr>
          <w:sz w:val="28"/>
          <w:szCs w:val="28"/>
        </w:rPr>
        <w:t>;</w:t>
      </w:r>
    </w:p>
    <w:p w:rsidR="00E640F7" w:rsidRDefault="00E640F7" w:rsidP="00E640F7">
      <w:pPr>
        <w:ind w:firstLine="708"/>
        <w:jc w:val="both"/>
        <w:rPr>
          <w:sz w:val="28"/>
          <w:szCs w:val="28"/>
        </w:rPr>
      </w:pPr>
      <w:r w:rsidRPr="00E640F7">
        <w:rPr>
          <w:sz w:val="28"/>
          <w:szCs w:val="28"/>
        </w:rPr>
        <w:t>створення реєстру суб’єктів господарювання, які здійснюють операції з дорогоцінними металами і дорогоцінним камінням</w:t>
      </w:r>
      <w:r w:rsidR="00E94F8D">
        <w:rPr>
          <w:sz w:val="28"/>
          <w:szCs w:val="28"/>
        </w:rPr>
        <w:t>;</w:t>
      </w:r>
      <w:r w:rsidRPr="00E640F7">
        <w:rPr>
          <w:sz w:val="28"/>
          <w:szCs w:val="28"/>
        </w:rPr>
        <w:t xml:space="preserve"> </w:t>
      </w:r>
    </w:p>
    <w:p w:rsidR="00E640F7" w:rsidRDefault="00E640F7" w:rsidP="00E640F7">
      <w:pPr>
        <w:ind w:firstLine="708"/>
        <w:jc w:val="both"/>
        <w:rPr>
          <w:sz w:val="28"/>
          <w:szCs w:val="28"/>
        </w:rPr>
      </w:pPr>
      <w:r w:rsidRPr="00E640F7">
        <w:rPr>
          <w:sz w:val="28"/>
          <w:szCs w:val="28"/>
        </w:rPr>
        <w:t>забезпечення функціонування єдиної інформаційної системи з обліку суб’єктів господарювання</w:t>
      </w:r>
      <w:r w:rsidR="00E94F8D">
        <w:rPr>
          <w:sz w:val="28"/>
          <w:szCs w:val="28"/>
        </w:rPr>
        <w:t>,</w:t>
      </w:r>
      <w:r w:rsidR="00E94F8D" w:rsidRPr="00E94F8D">
        <w:t xml:space="preserve"> </w:t>
      </w:r>
      <w:r w:rsidR="00E94F8D" w:rsidRPr="00E94F8D">
        <w:rPr>
          <w:sz w:val="28"/>
          <w:szCs w:val="28"/>
        </w:rPr>
        <w:t>які здійснюють операції з дорогоцінними металами і дорогоцінним камінням</w:t>
      </w:r>
      <w:r w:rsidRPr="00E640F7">
        <w:rPr>
          <w:sz w:val="28"/>
          <w:szCs w:val="28"/>
        </w:rPr>
        <w:t>.</w:t>
      </w:r>
    </w:p>
    <w:p w:rsidR="008E69D0" w:rsidRPr="00A47C21" w:rsidRDefault="008E69D0" w:rsidP="008E69D0">
      <w:pPr>
        <w:ind w:firstLine="708"/>
        <w:jc w:val="both"/>
        <w:rPr>
          <w:b/>
          <w:i/>
          <w:sz w:val="16"/>
          <w:szCs w:val="16"/>
        </w:rPr>
      </w:pPr>
    </w:p>
    <w:p w:rsidR="00786F78" w:rsidRPr="0057640E" w:rsidRDefault="00786F78" w:rsidP="00C747AE">
      <w:pPr>
        <w:ind w:firstLine="851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Оцінка результатів реалізації регуляторного акта та ступеня досягнення визначених цілей</w:t>
      </w:r>
    </w:p>
    <w:p w:rsidR="00C747AE" w:rsidRPr="00C747AE" w:rsidRDefault="00C747AE" w:rsidP="008B53FC">
      <w:pPr>
        <w:ind w:firstLine="540"/>
        <w:jc w:val="both"/>
        <w:rPr>
          <w:sz w:val="10"/>
          <w:szCs w:val="10"/>
        </w:rPr>
      </w:pPr>
    </w:p>
    <w:p w:rsidR="00C747AE" w:rsidRDefault="00786F78" w:rsidP="00C747A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747AE">
        <w:rPr>
          <w:sz w:val="28"/>
          <w:szCs w:val="28"/>
        </w:rPr>
        <w:t xml:space="preserve">На підставі результатів </w:t>
      </w:r>
      <w:r w:rsidR="00DF717D" w:rsidRPr="00C747AE">
        <w:rPr>
          <w:sz w:val="28"/>
          <w:szCs w:val="28"/>
        </w:rPr>
        <w:t>повторного</w:t>
      </w:r>
      <w:r w:rsidR="008B53FC" w:rsidRPr="00C747AE">
        <w:rPr>
          <w:sz w:val="28"/>
          <w:szCs w:val="28"/>
        </w:rPr>
        <w:t xml:space="preserve"> відстеження результативності н</w:t>
      </w:r>
      <w:r w:rsidRPr="00C747AE">
        <w:rPr>
          <w:sz w:val="28"/>
          <w:szCs w:val="28"/>
        </w:rPr>
        <w:t xml:space="preserve">аказу </w:t>
      </w:r>
      <w:r w:rsidR="00194A55" w:rsidRPr="00194A55">
        <w:rPr>
          <w:iCs/>
          <w:sz w:val="28"/>
          <w:szCs w:val="28"/>
        </w:rPr>
        <w:t xml:space="preserve">Міністерства фінансів України </w:t>
      </w:r>
      <w:r w:rsidR="002B43B1" w:rsidRPr="002B43B1">
        <w:rPr>
          <w:iCs/>
          <w:sz w:val="28"/>
          <w:szCs w:val="28"/>
        </w:rPr>
        <w:t xml:space="preserve">від 08.04.2013 № 465 «Про затвердження Порядку обліку, створення та ведення реєстру суб'єктів господарювання, які здійснюють операції з дорогоцінними металами і дорогоцінним камінням» </w:t>
      </w:r>
      <w:r w:rsidRPr="00C747AE">
        <w:rPr>
          <w:sz w:val="28"/>
          <w:szCs w:val="28"/>
        </w:rPr>
        <w:t>зроб</w:t>
      </w:r>
      <w:r w:rsidR="002376B2">
        <w:rPr>
          <w:sz w:val="28"/>
          <w:szCs w:val="28"/>
        </w:rPr>
        <w:t>лено</w:t>
      </w:r>
      <w:r w:rsidRPr="00C747AE">
        <w:rPr>
          <w:sz w:val="28"/>
          <w:szCs w:val="28"/>
        </w:rPr>
        <w:t xml:space="preserve"> </w:t>
      </w:r>
      <w:r w:rsidR="00DF717D" w:rsidRPr="00C747AE">
        <w:rPr>
          <w:sz w:val="28"/>
          <w:szCs w:val="28"/>
        </w:rPr>
        <w:t xml:space="preserve">висновок, що </w:t>
      </w:r>
      <w:r w:rsidR="00194A55">
        <w:rPr>
          <w:sz w:val="28"/>
          <w:szCs w:val="28"/>
        </w:rPr>
        <w:t xml:space="preserve">шляхом видання цього регуляторного акта </w:t>
      </w:r>
      <w:r w:rsidR="00194A55" w:rsidRPr="00194A55">
        <w:rPr>
          <w:sz w:val="28"/>
          <w:szCs w:val="28"/>
        </w:rPr>
        <w:t>вдалося досягти визначених цілей. Остаточний висновок щодо ступеня досягнення визначених цілей можна буде зробити за результатами періодичних відстежень його результативності, які проводяться раз на три роки починаючи з дня закінчення заходів повторного відстеження результативності цього акта.</w:t>
      </w:r>
    </w:p>
    <w:p w:rsidR="00786F78" w:rsidRDefault="00786F78" w:rsidP="00C747AE">
      <w:pPr>
        <w:ind w:firstLine="567"/>
        <w:jc w:val="both"/>
        <w:rPr>
          <w:b/>
          <w:sz w:val="28"/>
          <w:szCs w:val="28"/>
        </w:rPr>
      </w:pPr>
    </w:p>
    <w:p w:rsidR="00CF7C30" w:rsidRPr="00A41A02" w:rsidRDefault="00CF7C30" w:rsidP="00C747AE">
      <w:pPr>
        <w:ind w:firstLine="567"/>
        <w:jc w:val="both"/>
        <w:rPr>
          <w:b/>
          <w:sz w:val="28"/>
          <w:szCs w:val="28"/>
        </w:rPr>
      </w:pPr>
    </w:p>
    <w:tbl>
      <w:tblPr>
        <w:tblStyle w:val="af"/>
        <w:tblW w:w="11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927"/>
      </w:tblGrid>
      <w:tr w:rsidR="00513315" w:rsidTr="00194A55">
        <w:tc>
          <w:tcPr>
            <w:tcW w:w="6629" w:type="dxa"/>
          </w:tcPr>
          <w:p w:rsidR="00513315" w:rsidRDefault="00EE09E4" w:rsidP="00194A55">
            <w:r w:rsidRPr="00786F78">
              <w:rPr>
                <w:b/>
                <w:sz w:val="28"/>
                <w:szCs w:val="28"/>
              </w:rPr>
              <w:t>Заступник Міністра фінансів України</w:t>
            </w:r>
            <w:bookmarkStart w:id="0" w:name="_GoBack"/>
            <w:bookmarkEnd w:id="0"/>
          </w:p>
        </w:tc>
        <w:tc>
          <w:tcPr>
            <w:tcW w:w="4927" w:type="dxa"/>
          </w:tcPr>
          <w:p w:rsidR="00513315" w:rsidRPr="002A66CA" w:rsidRDefault="00194A55" w:rsidP="005764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591993">
              <w:rPr>
                <w:b/>
                <w:sz w:val="28"/>
                <w:szCs w:val="28"/>
              </w:rPr>
              <w:t xml:space="preserve">       </w:t>
            </w:r>
            <w:r w:rsidR="0057640E">
              <w:rPr>
                <w:b/>
                <w:sz w:val="28"/>
                <w:szCs w:val="28"/>
              </w:rPr>
              <w:t>О</w:t>
            </w:r>
            <w:r w:rsidR="002A66CA" w:rsidRPr="002A66CA">
              <w:rPr>
                <w:b/>
                <w:sz w:val="28"/>
                <w:szCs w:val="28"/>
              </w:rPr>
              <w:t xml:space="preserve">. </w:t>
            </w:r>
            <w:r w:rsidR="0057640E">
              <w:rPr>
                <w:b/>
                <w:sz w:val="28"/>
                <w:szCs w:val="28"/>
              </w:rPr>
              <w:t>МАКЕЄВА</w:t>
            </w:r>
          </w:p>
        </w:tc>
      </w:tr>
    </w:tbl>
    <w:p w:rsidR="00EE09E4" w:rsidRDefault="00EE09E4" w:rsidP="00591993"/>
    <w:sectPr w:rsidR="00EE09E4" w:rsidSect="00F72E4D">
      <w:headerReference w:type="even" r:id="rId8"/>
      <w:headerReference w:type="default" r:id="rId9"/>
      <w:pgSz w:w="11906" w:h="16838"/>
      <w:pgMar w:top="851" w:right="56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BA" w:rsidRDefault="00C578BA" w:rsidP="00FB7BD3">
      <w:r>
        <w:separator/>
      </w:r>
    </w:p>
  </w:endnote>
  <w:endnote w:type="continuationSeparator" w:id="0">
    <w:p w:rsidR="00C578BA" w:rsidRDefault="00C578BA" w:rsidP="00FB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BA" w:rsidRDefault="00C578BA" w:rsidP="00FB7BD3">
      <w:r>
        <w:separator/>
      </w:r>
    </w:p>
  </w:footnote>
  <w:footnote w:type="continuationSeparator" w:id="0">
    <w:p w:rsidR="00C578BA" w:rsidRDefault="00C578BA" w:rsidP="00FB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Default="007059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6F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937" w:rsidRDefault="00C578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Pr="00426CBF" w:rsidRDefault="007059F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26CBF">
      <w:rPr>
        <w:rStyle w:val="a5"/>
        <w:sz w:val="28"/>
        <w:szCs w:val="28"/>
      </w:rPr>
      <w:fldChar w:fldCharType="begin"/>
    </w:r>
    <w:r w:rsidR="00AC6F8B" w:rsidRPr="00426CBF">
      <w:rPr>
        <w:rStyle w:val="a5"/>
        <w:sz w:val="28"/>
        <w:szCs w:val="28"/>
      </w:rPr>
      <w:instrText xml:space="preserve">PAGE  </w:instrText>
    </w:r>
    <w:r w:rsidRPr="00426CBF">
      <w:rPr>
        <w:rStyle w:val="a5"/>
        <w:sz w:val="28"/>
        <w:szCs w:val="28"/>
      </w:rPr>
      <w:fldChar w:fldCharType="separate"/>
    </w:r>
    <w:r w:rsidR="000335CA">
      <w:rPr>
        <w:rStyle w:val="a5"/>
        <w:noProof/>
        <w:sz w:val="28"/>
        <w:szCs w:val="28"/>
      </w:rPr>
      <w:t>2</w:t>
    </w:r>
    <w:r w:rsidRPr="00426CBF">
      <w:rPr>
        <w:rStyle w:val="a5"/>
        <w:sz w:val="28"/>
        <w:szCs w:val="28"/>
      </w:rPr>
      <w:fldChar w:fldCharType="end"/>
    </w:r>
  </w:p>
  <w:p w:rsidR="003C7937" w:rsidRDefault="00C578BA">
    <w:pPr>
      <w:pStyle w:val="a3"/>
    </w:pPr>
  </w:p>
  <w:p w:rsidR="004B2CB2" w:rsidRDefault="004B2C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0CF5"/>
    <w:multiLevelType w:val="hybridMultilevel"/>
    <w:tmpl w:val="AD7E3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76F9D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3A"/>
    <w:rsid w:val="000075DF"/>
    <w:rsid w:val="00012B22"/>
    <w:rsid w:val="00017650"/>
    <w:rsid w:val="000302C4"/>
    <w:rsid w:val="000335CA"/>
    <w:rsid w:val="0006514B"/>
    <w:rsid w:val="0007153A"/>
    <w:rsid w:val="000C4445"/>
    <w:rsid w:val="000C7853"/>
    <w:rsid w:val="000D2EF6"/>
    <w:rsid w:val="001146BC"/>
    <w:rsid w:val="00123039"/>
    <w:rsid w:val="00131F30"/>
    <w:rsid w:val="001645A8"/>
    <w:rsid w:val="00166183"/>
    <w:rsid w:val="00194A55"/>
    <w:rsid w:val="001E1BE0"/>
    <w:rsid w:val="00207055"/>
    <w:rsid w:val="002376B2"/>
    <w:rsid w:val="00241A1E"/>
    <w:rsid w:val="00244ECC"/>
    <w:rsid w:val="00253B47"/>
    <w:rsid w:val="00284257"/>
    <w:rsid w:val="00285C2F"/>
    <w:rsid w:val="002A0F17"/>
    <w:rsid w:val="002A66CA"/>
    <w:rsid w:val="002B43B1"/>
    <w:rsid w:val="002B641C"/>
    <w:rsid w:val="003009FE"/>
    <w:rsid w:val="003529C5"/>
    <w:rsid w:val="00356137"/>
    <w:rsid w:val="003E71D0"/>
    <w:rsid w:val="00406305"/>
    <w:rsid w:val="004168C0"/>
    <w:rsid w:val="00421D98"/>
    <w:rsid w:val="00426CBF"/>
    <w:rsid w:val="00472BBF"/>
    <w:rsid w:val="004825C6"/>
    <w:rsid w:val="00486D6B"/>
    <w:rsid w:val="004A06FB"/>
    <w:rsid w:val="004A1305"/>
    <w:rsid w:val="004B2CB2"/>
    <w:rsid w:val="00513315"/>
    <w:rsid w:val="005231AD"/>
    <w:rsid w:val="0057640E"/>
    <w:rsid w:val="00585145"/>
    <w:rsid w:val="00591993"/>
    <w:rsid w:val="005C7970"/>
    <w:rsid w:val="006059C6"/>
    <w:rsid w:val="0068473B"/>
    <w:rsid w:val="006B0941"/>
    <w:rsid w:val="006B5231"/>
    <w:rsid w:val="006E5717"/>
    <w:rsid w:val="007059FE"/>
    <w:rsid w:val="00733762"/>
    <w:rsid w:val="007510DA"/>
    <w:rsid w:val="007511D4"/>
    <w:rsid w:val="00765C4E"/>
    <w:rsid w:val="00786F78"/>
    <w:rsid w:val="007B1026"/>
    <w:rsid w:val="007E668D"/>
    <w:rsid w:val="007F5757"/>
    <w:rsid w:val="008025C0"/>
    <w:rsid w:val="00852087"/>
    <w:rsid w:val="008A0FBD"/>
    <w:rsid w:val="008B53FC"/>
    <w:rsid w:val="008C7F06"/>
    <w:rsid w:val="008C7FB4"/>
    <w:rsid w:val="008D130E"/>
    <w:rsid w:val="008E69D0"/>
    <w:rsid w:val="00906EF2"/>
    <w:rsid w:val="00924EAD"/>
    <w:rsid w:val="00933EB1"/>
    <w:rsid w:val="0093777D"/>
    <w:rsid w:val="00940446"/>
    <w:rsid w:val="009701AC"/>
    <w:rsid w:val="009B133B"/>
    <w:rsid w:val="009D4B3D"/>
    <w:rsid w:val="00A41A02"/>
    <w:rsid w:val="00A454E9"/>
    <w:rsid w:val="00A47C21"/>
    <w:rsid w:val="00AB7606"/>
    <w:rsid w:val="00AC6F8B"/>
    <w:rsid w:val="00B2626E"/>
    <w:rsid w:val="00B5204E"/>
    <w:rsid w:val="00B95F7A"/>
    <w:rsid w:val="00BB7BCB"/>
    <w:rsid w:val="00BC132A"/>
    <w:rsid w:val="00BE34EA"/>
    <w:rsid w:val="00BE53B4"/>
    <w:rsid w:val="00C04D8C"/>
    <w:rsid w:val="00C51E32"/>
    <w:rsid w:val="00C578BA"/>
    <w:rsid w:val="00C747AE"/>
    <w:rsid w:val="00C772BC"/>
    <w:rsid w:val="00CC0BB6"/>
    <w:rsid w:val="00CD28A3"/>
    <w:rsid w:val="00CF7C30"/>
    <w:rsid w:val="00D30AFD"/>
    <w:rsid w:val="00D55889"/>
    <w:rsid w:val="00D569B8"/>
    <w:rsid w:val="00D60C44"/>
    <w:rsid w:val="00DA75E5"/>
    <w:rsid w:val="00DD5FB7"/>
    <w:rsid w:val="00DE4A11"/>
    <w:rsid w:val="00DF717D"/>
    <w:rsid w:val="00E32578"/>
    <w:rsid w:val="00E34107"/>
    <w:rsid w:val="00E640F7"/>
    <w:rsid w:val="00E828D5"/>
    <w:rsid w:val="00E94F8D"/>
    <w:rsid w:val="00E97575"/>
    <w:rsid w:val="00EC3659"/>
    <w:rsid w:val="00EE09E4"/>
    <w:rsid w:val="00EF43BD"/>
    <w:rsid w:val="00F02E7A"/>
    <w:rsid w:val="00F10C21"/>
    <w:rsid w:val="00F17F61"/>
    <w:rsid w:val="00F67143"/>
    <w:rsid w:val="00F71A14"/>
    <w:rsid w:val="00F72E4D"/>
    <w:rsid w:val="00F84C02"/>
    <w:rsid w:val="00F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53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07153A"/>
  </w:style>
  <w:style w:type="paragraph" w:styleId="a6">
    <w:name w:val="Body Text"/>
    <w:basedOn w:val="a"/>
    <w:link w:val="a7"/>
    <w:rsid w:val="0007153A"/>
    <w:pPr>
      <w:jc w:val="both"/>
    </w:pPr>
    <w:rPr>
      <w:b/>
      <w:bCs/>
      <w:i/>
      <w:iCs/>
      <w:sz w:val="28"/>
      <w:lang w:eastAsia="ru-RU"/>
    </w:rPr>
  </w:style>
  <w:style w:type="character" w:customStyle="1" w:styleId="a7">
    <w:name w:val="Основний текст Знак"/>
    <w:basedOn w:val="a0"/>
    <w:link w:val="a6"/>
    <w:rsid w:val="0007153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 Indent"/>
    <w:basedOn w:val="a"/>
    <w:link w:val="a9"/>
    <w:rsid w:val="000715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C0BB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0BB6"/>
    <w:rPr>
      <w:rFonts w:ascii="Tahoma" w:eastAsia="Times New Roman" w:hAnsi="Tahoma" w:cs="Tahoma"/>
      <w:sz w:val="16"/>
      <w:szCs w:val="16"/>
      <w:lang w:eastAsia="uk-UA"/>
    </w:rPr>
  </w:style>
  <w:style w:type="paragraph" w:styleId="HTML">
    <w:name w:val="HTML Preformatted"/>
    <w:basedOn w:val="a"/>
    <w:link w:val="HTML0"/>
    <w:rsid w:val="00F10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10C21"/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paragraph" w:styleId="ac">
    <w:name w:val="List Paragraph"/>
    <w:basedOn w:val="a"/>
    <w:uiPriority w:val="34"/>
    <w:qFormat/>
    <w:rsid w:val="0068473B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426CBF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26CB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51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53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07153A"/>
  </w:style>
  <w:style w:type="paragraph" w:styleId="a6">
    <w:name w:val="Body Text"/>
    <w:basedOn w:val="a"/>
    <w:link w:val="a7"/>
    <w:rsid w:val="0007153A"/>
    <w:pPr>
      <w:jc w:val="both"/>
    </w:pPr>
    <w:rPr>
      <w:b/>
      <w:bCs/>
      <w:i/>
      <w:iCs/>
      <w:sz w:val="28"/>
      <w:lang w:eastAsia="ru-RU"/>
    </w:rPr>
  </w:style>
  <w:style w:type="character" w:customStyle="1" w:styleId="a7">
    <w:name w:val="Основний текст Знак"/>
    <w:basedOn w:val="a0"/>
    <w:link w:val="a6"/>
    <w:rsid w:val="0007153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 Indent"/>
    <w:basedOn w:val="a"/>
    <w:link w:val="a9"/>
    <w:rsid w:val="000715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C0BB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0BB6"/>
    <w:rPr>
      <w:rFonts w:ascii="Tahoma" w:eastAsia="Times New Roman" w:hAnsi="Tahoma" w:cs="Tahoma"/>
      <w:sz w:val="16"/>
      <w:szCs w:val="16"/>
      <w:lang w:eastAsia="uk-UA"/>
    </w:rPr>
  </w:style>
  <w:style w:type="paragraph" w:styleId="HTML">
    <w:name w:val="HTML Preformatted"/>
    <w:basedOn w:val="a"/>
    <w:link w:val="HTML0"/>
    <w:rsid w:val="00F10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10C21"/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paragraph" w:styleId="ac">
    <w:name w:val="List Paragraph"/>
    <w:basedOn w:val="a"/>
    <w:uiPriority w:val="34"/>
    <w:qFormat/>
    <w:rsid w:val="0068473B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426CBF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26CB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51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3056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8</cp:revision>
  <cp:lastPrinted>2015-10-06T15:00:00Z</cp:lastPrinted>
  <dcterms:created xsi:type="dcterms:W3CDTF">2015-10-06T15:06:00Z</dcterms:created>
  <dcterms:modified xsi:type="dcterms:W3CDTF">2015-10-15T14:10:00Z</dcterms:modified>
</cp:coreProperties>
</file>