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8" w:rsidRPr="00F10C21" w:rsidRDefault="00786F78" w:rsidP="00786F78">
      <w:pPr>
        <w:jc w:val="center"/>
        <w:rPr>
          <w:b/>
          <w:sz w:val="28"/>
          <w:szCs w:val="28"/>
        </w:rPr>
      </w:pPr>
      <w:r w:rsidRPr="00F10C21">
        <w:rPr>
          <w:b/>
          <w:sz w:val="28"/>
          <w:szCs w:val="28"/>
        </w:rPr>
        <w:t>Звіт</w:t>
      </w:r>
    </w:p>
    <w:p w:rsidR="00F10C21" w:rsidRPr="009B7F7F" w:rsidRDefault="00786F78" w:rsidP="00F10C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10C21">
        <w:rPr>
          <w:b/>
          <w:sz w:val="28"/>
          <w:szCs w:val="28"/>
        </w:rPr>
        <w:t xml:space="preserve">про </w:t>
      </w:r>
      <w:r w:rsidR="00BE34EA">
        <w:rPr>
          <w:b/>
          <w:sz w:val="28"/>
          <w:szCs w:val="28"/>
        </w:rPr>
        <w:t>повторне</w:t>
      </w:r>
      <w:r w:rsidRPr="00F10C21">
        <w:rPr>
          <w:b/>
          <w:sz w:val="28"/>
          <w:szCs w:val="28"/>
        </w:rPr>
        <w:t xml:space="preserve"> відстеження результативності </w:t>
      </w:r>
      <w:r w:rsidRPr="00F10C21">
        <w:rPr>
          <w:b/>
          <w:iCs/>
          <w:sz w:val="28"/>
          <w:szCs w:val="28"/>
        </w:rPr>
        <w:t xml:space="preserve">наказу Міністерства фінансів України 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від </w:t>
      </w:r>
      <w:r w:rsidR="0057640E" w:rsidRPr="0057640E">
        <w:rPr>
          <w:rFonts w:eastAsia="Calibri"/>
          <w:b/>
          <w:sz w:val="28"/>
          <w:szCs w:val="28"/>
          <w:lang w:eastAsia="en-US"/>
        </w:rPr>
        <w:t>06</w:t>
      </w:r>
      <w:r w:rsidR="00F10C21" w:rsidRPr="00F10C21">
        <w:rPr>
          <w:rFonts w:eastAsia="Calibri"/>
          <w:b/>
          <w:sz w:val="28"/>
          <w:szCs w:val="28"/>
          <w:lang w:eastAsia="en-US"/>
        </w:rPr>
        <w:t>.0</w:t>
      </w:r>
      <w:r w:rsidR="0057640E" w:rsidRPr="0057640E">
        <w:rPr>
          <w:rFonts w:eastAsia="Calibri"/>
          <w:b/>
          <w:sz w:val="28"/>
          <w:szCs w:val="28"/>
          <w:lang w:eastAsia="en-US"/>
        </w:rPr>
        <w:t>3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.2013 № </w:t>
      </w:r>
      <w:r w:rsidR="0057640E" w:rsidRPr="0057640E">
        <w:rPr>
          <w:rFonts w:eastAsia="Calibri"/>
          <w:b/>
          <w:sz w:val="28"/>
          <w:szCs w:val="28"/>
          <w:lang w:eastAsia="en-US"/>
        </w:rPr>
        <w:t>373</w:t>
      </w:r>
      <w:r w:rsidR="00F10C21" w:rsidRPr="00F10C21">
        <w:rPr>
          <w:rFonts w:eastAsia="Calibri"/>
          <w:b/>
          <w:sz w:val="28"/>
          <w:szCs w:val="28"/>
          <w:lang w:eastAsia="en-US"/>
        </w:rPr>
        <w:t xml:space="preserve"> </w:t>
      </w:r>
      <w:r w:rsidR="0057640E" w:rsidRPr="0057640E">
        <w:rPr>
          <w:rFonts w:eastAsia="Calibri"/>
          <w:b/>
          <w:sz w:val="28"/>
          <w:szCs w:val="28"/>
          <w:lang w:eastAsia="en-US"/>
        </w:rPr>
        <w:t>«Про внесення змін до наказу Міністерства фінансів України від 16 жовтня 2001 року № 466»</w:t>
      </w:r>
    </w:p>
    <w:p w:rsidR="0057640E" w:rsidRPr="009B7F7F" w:rsidRDefault="0057640E" w:rsidP="00F10C21">
      <w:pPr>
        <w:jc w:val="center"/>
        <w:rPr>
          <w:b/>
          <w:i/>
          <w:iCs/>
          <w:sz w:val="28"/>
          <w:szCs w:val="28"/>
        </w:rPr>
      </w:pPr>
    </w:p>
    <w:p w:rsidR="00786F78" w:rsidRPr="0057640E" w:rsidRDefault="00786F78" w:rsidP="0057640E">
      <w:pPr>
        <w:pStyle w:val="a6"/>
        <w:ind w:firstLine="720"/>
        <w:rPr>
          <w:bCs w:val="0"/>
          <w:iCs w:val="0"/>
          <w:szCs w:val="28"/>
        </w:rPr>
      </w:pPr>
      <w:r w:rsidRPr="0057640E">
        <w:rPr>
          <w:bCs w:val="0"/>
          <w:iCs w:val="0"/>
          <w:szCs w:val="28"/>
        </w:rPr>
        <w:t>Вид та назва регуляторного акта, результативність якого відстежується</w:t>
      </w:r>
    </w:p>
    <w:p w:rsidR="00786F78" w:rsidRPr="00786F78" w:rsidRDefault="00786F78" w:rsidP="00786F78">
      <w:pPr>
        <w:pStyle w:val="a6"/>
        <w:rPr>
          <w:b w:val="0"/>
          <w:bCs w:val="0"/>
          <w:i w:val="0"/>
          <w:iCs w:val="0"/>
          <w:sz w:val="10"/>
        </w:rPr>
      </w:pPr>
    </w:p>
    <w:p w:rsidR="00786F78" w:rsidRPr="00F10C21" w:rsidRDefault="00F10C21" w:rsidP="00786F78">
      <w:pPr>
        <w:pStyle w:val="a6"/>
        <w:ind w:firstLine="708"/>
        <w:rPr>
          <w:b w:val="0"/>
          <w:i w:val="0"/>
        </w:rPr>
      </w:pPr>
      <w:r>
        <w:rPr>
          <w:b w:val="0"/>
          <w:i w:val="0"/>
        </w:rPr>
        <w:t>наказ</w:t>
      </w:r>
      <w:r w:rsidRPr="00F10C21">
        <w:rPr>
          <w:b w:val="0"/>
          <w:i w:val="0"/>
        </w:rPr>
        <w:t xml:space="preserve"> Міністерства фінансів України </w:t>
      </w:r>
      <w:r w:rsidRPr="00F10C21">
        <w:rPr>
          <w:rFonts w:eastAsia="Calibri"/>
          <w:b w:val="0"/>
          <w:i w:val="0"/>
          <w:szCs w:val="28"/>
          <w:lang w:eastAsia="en-US"/>
        </w:rPr>
        <w:t xml:space="preserve">від 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>06</w:t>
      </w:r>
      <w:r w:rsidR="0057640E">
        <w:rPr>
          <w:rFonts w:eastAsia="Calibri"/>
          <w:b w:val="0"/>
          <w:i w:val="0"/>
          <w:szCs w:val="28"/>
          <w:lang w:eastAsia="en-US"/>
        </w:rPr>
        <w:t xml:space="preserve"> березня 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>2013</w:t>
      </w:r>
      <w:r w:rsidR="0057640E">
        <w:rPr>
          <w:rFonts w:eastAsia="Calibri"/>
          <w:b w:val="0"/>
          <w:i w:val="0"/>
          <w:szCs w:val="28"/>
          <w:lang w:eastAsia="en-US"/>
        </w:rPr>
        <w:t xml:space="preserve"> року</w:t>
      </w:r>
      <w:r w:rsidR="0057640E" w:rsidRPr="0057640E">
        <w:rPr>
          <w:rFonts w:eastAsia="Calibri"/>
          <w:b w:val="0"/>
          <w:i w:val="0"/>
          <w:szCs w:val="28"/>
          <w:lang w:eastAsia="en-US"/>
        </w:rPr>
        <w:t xml:space="preserve"> № 373 «Про внесення змін до наказу Міністерства фінансів України від 16 жовтня 2001 року № 466»</w:t>
      </w:r>
      <w:r w:rsidR="00BE53B4">
        <w:rPr>
          <w:rFonts w:eastAsia="Calibri"/>
          <w:b w:val="0"/>
          <w:i w:val="0"/>
          <w:szCs w:val="28"/>
          <w:lang w:eastAsia="en-US"/>
        </w:rPr>
        <w:t>, зареєстрован</w:t>
      </w:r>
      <w:r w:rsidR="009B7F7F">
        <w:rPr>
          <w:rFonts w:eastAsia="Calibri"/>
          <w:b w:val="0"/>
          <w:i w:val="0"/>
          <w:szCs w:val="28"/>
          <w:lang w:eastAsia="en-US"/>
        </w:rPr>
        <w:t>ий</w:t>
      </w:r>
      <w:r w:rsidR="00BE53B4">
        <w:rPr>
          <w:rFonts w:eastAsia="Calibri"/>
          <w:b w:val="0"/>
          <w:i w:val="0"/>
          <w:szCs w:val="28"/>
          <w:lang w:eastAsia="en-US"/>
        </w:rPr>
        <w:t xml:space="preserve"> в Міністерстві юстиції України 08 квітня 2013 року за № 527/23052</w:t>
      </w:r>
      <w:r w:rsidR="00BC132A">
        <w:rPr>
          <w:b w:val="0"/>
          <w:i w:val="0"/>
        </w:rPr>
        <w:t>.</w:t>
      </w:r>
    </w:p>
    <w:p w:rsidR="00786F78" w:rsidRPr="00786F78" w:rsidRDefault="00786F78" w:rsidP="00786F78">
      <w:pPr>
        <w:pStyle w:val="a6"/>
        <w:rPr>
          <w:b w:val="0"/>
          <w:bCs w:val="0"/>
          <w:i w:val="0"/>
          <w:sz w:val="16"/>
          <w:szCs w:val="16"/>
        </w:rPr>
      </w:pPr>
    </w:p>
    <w:p w:rsidR="00786F78" w:rsidRPr="0057640E" w:rsidRDefault="00786F78" w:rsidP="00786F78">
      <w:pPr>
        <w:pStyle w:val="a6"/>
        <w:ind w:firstLine="708"/>
      </w:pPr>
      <w:r w:rsidRPr="0057640E">
        <w:t xml:space="preserve">Назва виконавця заходів з </w:t>
      </w:r>
      <w:r w:rsidR="004168C0">
        <w:t>повторн</w:t>
      </w:r>
      <w:r w:rsidR="00F10C21" w:rsidRPr="0057640E">
        <w:t xml:space="preserve">ого </w:t>
      </w:r>
      <w:r w:rsidRPr="0057640E">
        <w:t>відстеження</w:t>
      </w:r>
    </w:p>
    <w:p w:rsidR="00786F78" w:rsidRPr="00786F78" w:rsidRDefault="00BE34EA" w:rsidP="0093777D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державної політики у сфері пробірного нагляду та документів суворої звітності</w:t>
      </w:r>
      <w:r w:rsidR="00786F78" w:rsidRPr="00786F78">
        <w:rPr>
          <w:sz w:val="28"/>
          <w:szCs w:val="28"/>
        </w:rPr>
        <w:t xml:space="preserve"> Міністерства фінансів України.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Цілі прийняття акта</w:t>
      </w:r>
    </w:p>
    <w:p w:rsidR="00F10C21" w:rsidRPr="00933EB1" w:rsidRDefault="00F10C21" w:rsidP="00A41A02">
      <w:pPr>
        <w:ind w:firstLine="720"/>
        <w:jc w:val="both"/>
        <w:rPr>
          <w:bCs/>
          <w:sz w:val="28"/>
        </w:rPr>
      </w:pPr>
      <w:r w:rsidRPr="00F10C21">
        <w:rPr>
          <w:sz w:val="28"/>
          <w:szCs w:val="28"/>
        </w:rPr>
        <w:t>Цілями прийняття акта є</w:t>
      </w:r>
      <w:r w:rsidR="008B53FC" w:rsidRPr="008B53FC">
        <w:rPr>
          <w:bCs/>
          <w:sz w:val="28"/>
        </w:rPr>
        <w:t xml:space="preserve"> </w:t>
      </w:r>
      <w:r w:rsidR="00A41A02">
        <w:rPr>
          <w:bCs/>
          <w:sz w:val="28"/>
        </w:rPr>
        <w:t xml:space="preserve">приведення </w:t>
      </w:r>
      <w:r w:rsidR="00A41A02" w:rsidRPr="00A41A02">
        <w:rPr>
          <w:bCs/>
          <w:sz w:val="28"/>
        </w:rPr>
        <w:t xml:space="preserve">наказу Міністерства фінансів України від </w:t>
      </w:r>
      <w:r w:rsidR="0057640E" w:rsidRPr="0057640E">
        <w:rPr>
          <w:bCs/>
          <w:sz w:val="28"/>
        </w:rPr>
        <w:t>16 жовтня 2001 року № 466 «Про затвердження Інструкції про порядок реєстрації в Державній пробірній службі відбитків іменників - спеціальних знаків, що засвідчують виготовлювачів ювелірних та побутових виробів з дорогоцінних металів»</w:t>
      </w:r>
      <w:r w:rsidR="0057640E">
        <w:rPr>
          <w:bCs/>
          <w:sz w:val="28"/>
        </w:rPr>
        <w:t xml:space="preserve"> </w:t>
      </w:r>
      <w:r w:rsidR="00A41A02">
        <w:rPr>
          <w:bCs/>
          <w:sz w:val="28"/>
        </w:rPr>
        <w:t xml:space="preserve">у відповідність із </w:t>
      </w:r>
      <w:r w:rsidR="0093777D">
        <w:rPr>
          <w:bCs/>
          <w:sz w:val="28"/>
        </w:rPr>
        <w:t>положення</w:t>
      </w:r>
      <w:r w:rsidR="00A41A02">
        <w:rPr>
          <w:bCs/>
          <w:sz w:val="28"/>
        </w:rPr>
        <w:t xml:space="preserve">ми </w:t>
      </w:r>
      <w:r w:rsidR="00406305" w:rsidRPr="00406305">
        <w:rPr>
          <w:sz w:val="28"/>
        </w:rPr>
        <w:t xml:space="preserve">Закону України </w:t>
      </w:r>
      <w:r w:rsidR="00BE53B4" w:rsidRPr="00406305">
        <w:rPr>
          <w:sz w:val="28"/>
        </w:rPr>
        <w:t xml:space="preserve">від 19.10.2010 № 2608-VI </w:t>
      </w:r>
      <w:r w:rsidR="00406305" w:rsidRPr="00406305">
        <w:rPr>
          <w:sz w:val="28"/>
        </w:rPr>
        <w:t xml:space="preserve">«Про внесення змін до деяких законодавчих актів України щодо обмеження державного регулювання господарської діяльності» </w:t>
      </w:r>
      <w:r w:rsidR="00A41A02" w:rsidRPr="00933EB1">
        <w:rPr>
          <w:sz w:val="28"/>
          <w:szCs w:val="28"/>
        </w:rPr>
        <w:t xml:space="preserve">та </w:t>
      </w:r>
      <w:r w:rsidRPr="00933EB1">
        <w:rPr>
          <w:sz w:val="28"/>
          <w:szCs w:val="28"/>
        </w:rPr>
        <w:t>Указ</w:t>
      </w:r>
      <w:r w:rsidR="00AB7606" w:rsidRPr="00933EB1">
        <w:rPr>
          <w:sz w:val="28"/>
          <w:szCs w:val="28"/>
        </w:rPr>
        <w:t>у</w:t>
      </w:r>
      <w:r w:rsidRPr="00933EB1">
        <w:rPr>
          <w:sz w:val="28"/>
          <w:szCs w:val="28"/>
        </w:rPr>
        <w:t xml:space="preserve"> Президента України від 13</w:t>
      </w:r>
      <w:r w:rsidR="00765C4E" w:rsidRPr="00933EB1">
        <w:rPr>
          <w:sz w:val="28"/>
          <w:szCs w:val="28"/>
        </w:rPr>
        <w:t xml:space="preserve">.04.2011 </w:t>
      </w:r>
      <w:r w:rsidRPr="00933EB1">
        <w:rPr>
          <w:sz w:val="28"/>
          <w:szCs w:val="28"/>
        </w:rPr>
        <w:t>№ 461</w:t>
      </w:r>
      <w:r w:rsidR="00765C4E" w:rsidRPr="00933EB1">
        <w:rPr>
          <w:sz w:val="28"/>
          <w:szCs w:val="28"/>
        </w:rPr>
        <w:t xml:space="preserve"> </w:t>
      </w:r>
      <w:r w:rsidRPr="00933EB1">
        <w:rPr>
          <w:sz w:val="28"/>
          <w:szCs w:val="28"/>
        </w:rPr>
        <w:t>«Про Положення про Державну пробірну службу України».</w:t>
      </w:r>
    </w:p>
    <w:p w:rsidR="00F10C21" w:rsidRPr="00BE34EA" w:rsidRDefault="00F10C21" w:rsidP="00F10C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3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86F78" w:rsidRPr="0057640E" w:rsidRDefault="00786F78" w:rsidP="00786F78">
      <w:pPr>
        <w:ind w:firstLine="720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Строк виконання заходів з відстеження</w:t>
      </w:r>
    </w:p>
    <w:p w:rsidR="00786F78" w:rsidRPr="00786F78" w:rsidRDefault="00786F78" w:rsidP="00F17F61">
      <w:pPr>
        <w:ind w:firstLine="720"/>
        <w:jc w:val="both"/>
        <w:rPr>
          <w:sz w:val="28"/>
          <w:szCs w:val="28"/>
        </w:rPr>
      </w:pPr>
      <w:r w:rsidRPr="00786F78">
        <w:rPr>
          <w:sz w:val="28"/>
          <w:szCs w:val="28"/>
        </w:rPr>
        <w:t xml:space="preserve">з </w:t>
      </w:r>
      <w:r w:rsidR="00BE34EA">
        <w:rPr>
          <w:sz w:val="28"/>
          <w:szCs w:val="28"/>
        </w:rPr>
        <w:t>0</w:t>
      </w:r>
      <w:r w:rsidR="00406305">
        <w:rPr>
          <w:sz w:val="28"/>
          <w:szCs w:val="28"/>
        </w:rPr>
        <w:t>1</w:t>
      </w:r>
      <w:r w:rsidRPr="00786F78">
        <w:rPr>
          <w:sz w:val="28"/>
          <w:szCs w:val="28"/>
        </w:rPr>
        <w:t xml:space="preserve"> </w:t>
      </w:r>
      <w:r w:rsidR="00406305">
        <w:rPr>
          <w:sz w:val="28"/>
          <w:szCs w:val="28"/>
        </w:rPr>
        <w:t>вересн</w:t>
      </w:r>
      <w:r w:rsidR="00BE34EA">
        <w:rPr>
          <w:sz w:val="28"/>
          <w:szCs w:val="28"/>
        </w:rPr>
        <w:t>я</w:t>
      </w:r>
      <w:r w:rsidR="00F17F61">
        <w:rPr>
          <w:sz w:val="28"/>
          <w:szCs w:val="28"/>
        </w:rPr>
        <w:t xml:space="preserve"> по </w:t>
      </w:r>
      <w:r w:rsidR="00406305">
        <w:rPr>
          <w:sz w:val="28"/>
          <w:szCs w:val="28"/>
        </w:rPr>
        <w:t>09</w:t>
      </w:r>
      <w:r w:rsidRPr="00786F78">
        <w:rPr>
          <w:sz w:val="28"/>
          <w:szCs w:val="28"/>
        </w:rPr>
        <w:t xml:space="preserve"> </w:t>
      </w:r>
      <w:r w:rsidR="00406305">
        <w:rPr>
          <w:sz w:val="28"/>
          <w:szCs w:val="28"/>
        </w:rPr>
        <w:t>жовт</w:t>
      </w:r>
      <w:r w:rsidR="00BE34EA">
        <w:rPr>
          <w:sz w:val="28"/>
          <w:szCs w:val="28"/>
        </w:rPr>
        <w:t>ня 2015</w:t>
      </w:r>
      <w:r w:rsidRPr="00786F78">
        <w:rPr>
          <w:sz w:val="28"/>
          <w:szCs w:val="28"/>
        </w:rPr>
        <w:t xml:space="preserve"> року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Тип відстеження</w:t>
      </w:r>
    </w:p>
    <w:p w:rsidR="00786F78" w:rsidRPr="00786F78" w:rsidRDefault="00BE34EA" w:rsidP="00786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Повторне</w:t>
      </w:r>
      <w:r w:rsidR="00786F78" w:rsidRPr="00786F78">
        <w:rPr>
          <w:sz w:val="28"/>
          <w:szCs w:val="28"/>
        </w:rPr>
        <w:t xml:space="preserve"> </w:t>
      </w:r>
      <w:r w:rsidR="00786F78" w:rsidRPr="00786F78">
        <w:rPr>
          <w:i/>
          <w:sz w:val="28"/>
          <w:szCs w:val="28"/>
        </w:rPr>
        <w:t xml:space="preserve"> </w:t>
      </w:r>
      <w:r w:rsidR="00786F78" w:rsidRPr="00786F78">
        <w:rPr>
          <w:sz w:val="28"/>
          <w:szCs w:val="28"/>
        </w:rPr>
        <w:t>відстеження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Методи одержання результатів відстеження</w:t>
      </w:r>
    </w:p>
    <w:p w:rsidR="00786F78" w:rsidRPr="00786F78" w:rsidRDefault="00786F78" w:rsidP="00786F78">
      <w:pPr>
        <w:ind w:firstLine="720"/>
        <w:jc w:val="both"/>
        <w:rPr>
          <w:i/>
          <w:sz w:val="6"/>
          <w:szCs w:val="28"/>
        </w:rPr>
      </w:pPr>
    </w:p>
    <w:p w:rsidR="005C7970" w:rsidRDefault="00786F78" w:rsidP="002376B2">
      <w:pPr>
        <w:tabs>
          <w:tab w:val="left" w:pos="-1260"/>
        </w:tabs>
        <w:jc w:val="both"/>
        <w:rPr>
          <w:sz w:val="28"/>
          <w:szCs w:val="28"/>
        </w:rPr>
      </w:pPr>
      <w:r w:rsidRPr="00786F78">
        <w:rPr>
          <w:sz w:val="28"/>
          <w:szCs w:val="28"/>
        </w:rPr>
        <w:tab/>
        <w:t xml:space="preserve">Результати </w:t>
      </w:r>
      <w:r w:rsidR="00BE34EA">
        <w:rPr>
          <w:sz w:val="28"/>
          <w:szCs w:val="28"/>
        </w:rPr>
        <w:t>повторного</w:t>
      </w:r>
      <w:r w:rsidR="008B53FC">
        <w:rPr>
          <w:sz w:val="28"/>
          <w:szCs w:val="28"/>
        </w:rPr>
        <w:t xml:space="preserve"> відстеження результативності н</w:t>
      </w:r>
      <w:r w:rsidRPr="00786F78">
        <w:rPr>
          <w:sz w:val="28"/>
          <w:szCs w:val="28"/>
        </w:rPr>
        <w:t xml:space="preserve">аказу </w:t>
      </w:r>
      <w:r w:rsidR="00BE53B4" w:rsidRPr="00BE53B4">
        <w:rPr>
          <w:sz w:val="28"/>
          <w:szCs w:val="28"/>
        </w:rPr>
        <w:t>Міністерства фінансів України від 06</w:t>
      </w:r>
      <w:r w:rsidR="00BE53B4">
        <w:rPr>
          <w:sz w:val="28"/>
          <w:szCs w:val="28"/>
        </w:rPr>
        <w:t>.03.</w:t>
      </w:r>
      <w:r w:rsidR="00BE53B4" w:rsidRPr="00BE53B4">
        <w:rPr>
          <w:sz w:val="28"/>
          <w:szCs w:val="28"/>
        </w:rPr>
        <w:t>2013</w:t>
      </w:r>
      <w:r w:rsidR="00BE53B4">
        <w:rPr>
          <w:sz w:val="28"/>
          <w:szCs w:val="28"/>
        </w:rPr>
        <w:t xml:space="preserve"> </w:t>
      </w:r>
      <w:r w:rsidR="00BE53B4" w:rsidRPr="00BE53B4">
        <w:rPr>
          <w:sz w:val="28"/>
          <w:szCs w:val="28"/>
        </w:rPr>
        <w:t xml:space="preserve">№ 373 </w:t>
      </w:r>
      <w:r w:rsidRPr="00786F78">
        <w:rPr>
          <w:sz w:val="28"/>
          <w:szCs w:val="28"/>
        </w:rPr>
        <w:t xml:space="preserve">одержані на підставі </w:t>
      </w:r>
      <w:r w:rsidR="00933EB1">
        <w:rPr>
          <w:sz w:val="28"/>
          <w:szCs w:val="28"/>
        </w:rPr>
        <w:t>аналізу змін</w:t>
      </w:r>
      <w:r w:rsidR="002376B2">
        <w:rPr>
          <w:sz w:val="28"/>
          <w:szCs w:val="28"/>
        </w:rPr>
        <w:t>,</w:t>
      </w:r>
      <w:r w:rsidR="00933EB1">
        <w:rPr>
          <w:sz w:val="28"/>
          <w:szCs w:val="28"/>
        </w:rPr>
        <w:t xml:space="preserve"> внесених </w:t>
      </w:r>
      <w:r w:rsidR="00166183">
        <w:rPr>
          <w:sz w:val="28"/>
          <w:szCs w:val="28"/>
        </w:rPr>
        <w:t xml:space="preserve">до порядку провадження господарської діяльності із дорогоцінними металами і дорогоцінним камінням </w:t>
      </w:r>
      <w:r w:rsidR="00166183" w:rsidRPr="00166183">
        <w:rPr>
          <w:sz w:val="28"/>
          <w:szCs w:val="28"/>
        </w:rPr>
        <w:t>Закон</w:t>
      </w:r>
      <w:r w:rsidR="00166183">
        <w:rPr>
          <w:sz w:val="28"/>
          <w:szCs w:val="28"/>
        </w:rPr>
        <w:t>ом</w:t>
      </w:r>
      <w:r w:rsidR="00166183" w:rsidRPr="00166183">
        <w:rPr>
          <w:sz w:val="28"/>
          <w:szCs w:val="28"/>
        </w:rPr>
        <w:t xml:space="preserve"> України від 19.10.2010 № 2608-VI</w:t>
      </w:r>
      <w:r w:rsidR="00166183">
        <w:rPr>
          <w:sz w:val="28"/>
          <w:szCs w:val="28"/>
        </w:rPr>
        <w:t xml:space="preserve"> </w:t>
      </w:r>
      <w:r w:rsidR="00166183" w:rsidRPr="00166183">
        <w:rPr>
          <w:sz w:val="28"/>
          <w:szCs w:val="28"/>
        </w:rPr>
        <w:t>«Про внесення змін до деяких законодавчих актів України щодо обмеження державного регулювання господарської діяльності»</w:t>
      </w:r>
      <w:r w:rsidR="00BE53B4">
        <w:rPr>
          <w:sz w:val="28"/>
          <w:szCs w:val="28"/>
        </w:rPr>
        <w:t xml:space="preserve"> та відмін</w:t>
      </w:r>
      <w:r w:rsidR="009B7F7F">
        <w:rPr>
          <w:sz w:val="28"/>
          <w:szCs w:val="28"/>
        </w:rPr>
        <w:t>и</w:t>
      </w:r>
      <w:r w:rsidR="00BE53B4">
        <w:rPr>
          <w:sz w:val="28"/>
          <w:szCs w:val="28"/>
        </w:rPr>
        <w:t xml:space="preserve"> ліцензування провадження господарської діяльності з виготовлення </w:t>
      </w:r>
      <w:r w:rsidR="00BE53B4" w:rsidRPr="00BE53B4">
        <w:rPr>
          <w:sz w:val="28"/>
          <w:szCs w:val="28"/>
        </w:rPr>
        <w:t>ювелірних та  побутових виробів з дорогоцінних металів</w:t>
      </w:r>
      <w:r w:rsidR="004B2CB2">
        <w:rPr>
          <w:sz w:val="28"/>
          <w:szCs w:val="28"/>
        </w:rPr>
        <w:t>.</w:t>
      </w:r>
      <w:r w:rsidR="00166183">
        <w:rPr>
          <w:sz w:val="28"/>
          <w:szCs w:val="28"/>
        </w:rPr>
        <w:t xml:space="preserve"> </w:t>
      </w:r>
    </w:p>
    <w:p w:rsidR="002376B2" w:rsidRDefault="004B2CB2" w:rsidP="005C7970">
      <w:pPr>
        <w:tabs>
          <w:tab w:val="left" w:pos="-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29C5">
        <w:rPr>
          <w:sz w:val="28"/>
          <w:szCs w:val="28"/>
        </w:rPr>
        <w:t>мін</w:t>
      </w:r>
      <w:r>
        <w:rPr>
          <w:sz w:val="28"/>
          <w:szCs w:val="28"/>
        </w:rPr>
        <w:t>а</w:t>
      </w:r>
      <w:r w:rsidR="003529C5">
        <w:rPr>
          <w:sz w:val="28"/>
          <w:szCs w:val="28"/>
        </w:rPr>
        <w:t xml:space="preserve"> статусу Державної пробірної служби з урядового органу державного управління у складі Міністерства фінансів на центральний орган виконавчої влади згідно з </w:t>
      </w:r>
      <w:r w:rsidR="00166183">
        <w:rPr>
          <w:sz w:val="28"/>
          <w:szCs w:val="28"/>
        </w:rPr>
        <w:t>Указом</w:t>
      </w:r>
      <w:r w:rsidR="00166183" w:rsidRPr="00166183">
        <w:rPr>
          <w:sz w:val="28"/>
          <w:szCs w:val="28"/>
        </w:rPr>
        <w:t xml:space="preserve"> Президента України від 13.04.2011 № 461 «Про Положення про Державну пробірну службу України»</w:t>
      </w:r>
      <w:r>
        <w:rPr>
          <w:sz w:val="28"/>
          <w:szCs w:val="28"/>
        </w:rPr>
        <w:t xml:space="preserve"> не вплинула на </w:t>
      </w:r>
      <w:r>
        <w:rPr>
          <w:sz w:val="28"/>
          <w:szCs w:val="28"/>
        </w:rPr>
        <w:lastRenderedPageBreak/>
        <w:t xml:space="preserve">порядок здійснення </w:t>
      </w:r>
      <w:r w:rsidRPr="004B2CB2">
        <w:rPr>
          <w:sz w:val="28"/>
          <w:szCs w:val="28"/>
        </w:rPr>
        <w:t>реєстрації відбитків іменників</w:t>
      </w:r>
      <w:r>
        <w:rPr>
          <w:sz w:val="28"/>
          <w:szCs w:val="28"/>
        </w:rPr>
        <w:t xml:space="preserve"> виготовлювачів побутових та ювелірних виробів з дорогоцінних металів.</w:t>
      </w:r>
    </w:p>
    <w:p w:rsidR="00786F78" w:rsidRPr="003529C5" w:rsidRDefault="00786F78" w:rsidP="00786F78">
      <w:pPr>
        <w:tabs>
          <w:tab w:val="left" w:pos="-1260"/>
        </w:tabs>
        <w:jc w:val="both"/>
        <w:rPr>
          <w:sz w:val="16"/>
          <w:szCs w:val="16"/>
        </w:rPr>
      </w:pPr>
    </w:p>
    <w:p w:rsidR="00786F78" w:rsidRPr="0057640E" w:rsidRDefault="00786F78" w:rsidP="00786F78">
      <w:pPr>
        <w:ind w:firstLine="720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Дан</w:t>
      </w:r>
      <w:r w:rsidR="0068473B" w:rsidRPr="0057640E">
        <w:rPr>
          <w:b/>
          <w:i/>
          <w:sz w:val="28"/>
          <w:szCs w:val="28"/>
        </w:rPr>
        <w:t>і та припущення, на основі яких відстежувалась</w:t>
      </w:r>
      <w:r w:rsidRPr="0057640E">
        <w:rPr>
          <w:b/>
          <w:i/>
          <w:sz w:val="28"/>
          <w:szCs w:val="28"/>
        </w:rPr>
        <w:t xml:space="preserve"> результативність, а також способи одержання даних</w:t>
      </w:r>
    </w:p>
    <w:p w:rsidR="00852087" w:rsidRPr="00852087" w:rsidRDefault="00852087" w:rsidP="005C7970">
      <w:pPr>
        <w:spacing w:before="60"/>
        <w:ind w:firstLine="709"/>
        <w:jc w:val="both"/>
        <w:rPr>
          <w:bCs/>
          <w:sz w:val="28"/>
          <w:szCs w:val="28"/>
        </w:rPr>
      </w:pPr>
      <w:r w:rsidRPr="00852087">
        <w:rPr>
          <w:bCs/>
          <w:sz w:val="28"/>
          <w:szCs w:val="28"/>
        </w:rPr>
        <w:t xml:space="preserve">Запропонований регуляторний акт приводить у відповідність </w:t>
      </w:r>
      <w:r w:rsidR="00591993">
        <w:rPr>
          <w:bCs/>
          <w:sz w:val="28"/>
          <w:szCs w:val="28"/>
        </w:rPr>
        <w:t>із</w:t>
      </w:r>
      <w:r w:rsidRPr="00852087">
        <w:rPr>
          <w:bCs/>
          <w:sz w:val="28"/>
          <w:szCs w:val="28"/>
        </w:rPr>
        <w:t xml:space="preserve">  законодавств</w:t>
      </w:r>
      <w:r w:rsidR="00591993">
        <w:rPr>
          <w:bCs/>
          <w:sz w:val="28"/>
          <w:szCs w:val="28"/>
        </w:rPr>
        <w:t>ом</w:t>
      </w:r>
      <w:r w:rsidRPr="00852087">
        <w:rPr>
          <w:bCs/>
          <w:sz w:val="28"/>
          <w:szCs w:val="28"/>
        </w:rPr>
        <w:t xml:space="preserve"> наказ Міністерства фінансів України від 16 жовтня 2001 року </w:t>
      </w:r>
      <w:r>
        <w:rPr>
          <w:bCs/>
          <w:sz w:val="28"/>
          <w:szCs w:val="28"/>
        </w:rPr>
        <w:t xml:space="preserve">          </w:t>
      </w:r>
      <w:r w:rsidRPr="00852087">
        <w:rPr>
          <w:bCs/>
          <w:sz w:val="28"/>
          <w:szCs w:val="28"/>
        </w:rPr>
        <w:t>№ 466 «Про затвердження Інструкції про порядок реєстрації в Державній пробірній службі відбитків іменників - спеціальних знаків, що засвідчують виготовлювачів ювелірних та побутових виробів з дорогоцінних металів».</w:t>
      </w:r>
    </w:p>
    <w:p w:rsidR="004B2CB2" w:rsidRDefault="00733762" w:rsidP="0085208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Нормативним актом </w:t>
      </w:r>
      <w:r w:rsidR="009B7F7F">
        <w:rPr>
          <w:bCs/>
          <w:sz w:val="28"/>
          <w:szCs w:val="28"/>
        </w:rPr>
        <w:t xml:space="preserve">на виконання положень Закону України </w:t>
      </w:r>
      <w:r w:rsidR="009B7F7F" w:rsidRPr="009B7F7F">
        <w:rPr>
          <w:bCs/>
          <w:sz w:val="28"/>
          <w:szCs w:val="28"/>
        </w:rPr>
        <w:t xml:space="preserve">від 19.10.2010 № 2608-VI </w:t>
      </w:r>
      <w:r>
        <w:rPr>
          <w:bCs/>
          <w:sz w:val="28"/>
          <w:szCs w:val="28"/>
        </w:rPr>
        <w:t>в</w:t>
      </w:r>
      <w:r w:rsidR="00285C2F">
        <w:rPr>
          <w:bCs/>
          <w:sz w:val="28"/>
          <w:szCs w:val="28"/>
        </w:rPr>
        <w:t>ідмінено норму</w:t>
      </w:r>
      <w:r w:rsidR="00BE53B4" w:rsidRPr="00BE53B4">
        <w:t xml:space="preserve"> </w:t>
      </w:r>
      <w:r w:rsidR="00BE53B4" w:rsidRPr="00BE53B4">
        <w:rPr>
          <w:bCs/>
          <w:sz w:val="28"/>
          <w:szCs w:val="28"/>
        </w:rPr>
        <w:t>наказ</w:t>
      </w:r>
      <w:r w:rsidR="00BE53B4">
        <w:rPr>
          <w:bCs/>
          <w:sz w:val="28"/>
          <w:szCs w:val="28"/>
        </w:rPr>
        <w:t>у</w:t>
      </w:r>
      <w:r w:rsidR="00BE53B4" w:rsidRPr="00BE53B4">
        <w:rPr>
          <w:bCs/>
          <w:sz w:val="28"/>
          <w:szCs w:val="28"/>
        </w:rPr>
        <w:t xml:space="preserve"> Міністерства фінансів України від 16</w:t>
      </w:r>
      <w:r w:rsidR="00BE53B4">
        <w:rPr>
          <w:bCs/>
          <w:sz w:val="28"/>
          <w:szCs w:val="28"/>
        </w:rPr>
        <w:t>.11.</w:t>
      </w:r>
      <w:r w:rsidR="00BE53B4" w:rsidRPr="00BE53B4">
        <w:rPr>
          <w:bCs/>
          <w:sz w:val="28"/>
          <w:szCs w:val="28"/>
        </w:rPr>
        <w:t>2001 № 466</w:t>
      </w:r>
      <w:r>
        <w:rPr>
          <w:bCs/>
          <w:sz w:val="28"/>
          <w:szCs w:val="28"/>
        </w:rPr>
        <w:t xml:space="preserve">, </w:t>
      </w:r>
      <w:r w:rsidR="00285C2F">
        <w:rPr>
          <w:bCs/>
          <w:sz w:val="28"/>
          <w:szCs w:val="28"/>
        </w:rPr>
        <w:t xml:space="preserve">згідно з якою </w:t>
      </w:r>
      <w:r>
        <w:rPr>
          <w:bCs/>
          <w:sz w:val="28"/>
          <w:szCs w:val="28"/>
        </w:rPr>
        <w:t xml:space="preserve">при реєстрації відбитків іменників </w:t>
      </w:r>
      <w:r w:rsidR="00285C2F">
        <w:rPr>
          <w:bCs/>
          <w:sz w:val="28"/>
          <w:szCs w:val="28"/>
        </w:rPr>
        <w:t>виготовлювачі ювелірних виробів</w:t>
      </w:r>
      <w:r>
        <w:rPr>
          <w:bCs/>
          <w:sz w:val="28"/>
          <w:szCs w:val="28"/>
        </w:rPr>
        <w:t xml:space="preserve"> повинні були подавати до Державної пробірної служби </w:t>
      </w:r>
      <w:r w:rsidRPr="00733762">
        <w:rPr>
          <w:bCs/>
          <w:sz w:val="28"/>
          <w:szCs w:val="28"/>
        </w:rPr>
        <w:t>копі</w:t>
      </w:r>
      <w:r>
        <w:rPr>
          <w:bCs/>
          <w:sz w:val="28"/>
          <w:szCs w:val="28"/>
        </w:rPr>
        <w:t>ю</w:t>
      </w:r>
      <w:r w:rsidRPr="00733762">
        <w:rPr>
          <w:bCs/>
          <w:sz w:val="28"/>
          <w:szCs w:val="28"/>
        </w:rPr>
        <w:t xml:space="preserve"> ліцензії на виготовлення ювелірних та побутових виробів з </w:t>
      </w:r>
      <w:r>
        <w:rPr>
          <w:bCs/>
          <w:sz w:val="28"/>
          <w:szCs w:val="28"/>
        </w:rPr>
        <w:t>дорогоцінних металів.</w:t>
      </w:r>
      <w:r w:rsidRPr="00733762">
        <w:rPr>
          <w:bCs/>
          <w:sz w:val="28"/>
          <w:szCs w:val="28"/>
        </w:rPr>
        <w:t xml:space="preserve"> </w:t>
      </w:r>
    </w:p>
    <w:p w:rsidR="00733762" w:rsidRDefault="000C7853" w:rsidP="0085208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733762">
        <w:rPr>
          <w:bCs/>
          <w:sz w:val="28"/>
          <w:szCs w:val="28"/>
        </w:rPr>
        <w:t xml:space="preserve">ідміна ліцензування </w:t>
      </w:r>
      <w:r w:rsidR="0093777D">
        <w:rPr>
          <w:bCs/>
          <w:sz w:val="28"/>
          <w:szCs w:val="28"/>
        </w:rPr>
        <w:t xml:space="preserve">провадження </w:t>
      </w:r>
      <w:r w:rsidR="00591993">
        <w:rPr>
          <w:bCs/>
          <w:sz w:val="28"/>
          <w:szCs w:val="28"/>
        </w:rPr>
        <w:t xml:space="preserve">цього виду господарської діяльності </w:t>
      </w:r>
      <w:r>
        <w:rPr>
          <w:bCs/>
          <w:sz w:val="28"/>
          <w:szCs w:val="28"/>
        </w:rPr>
        <w:t xml:space="preserve">спростила для </w:t>
      </w:r>
      <w:r w:rsidR="0093777D" w:rsidRPr="000C7853">
        <w:rPr>
          <w:bCs/>
          <w:sz w:val="28"/>
          <w:szCs w:val="28"/>
        </w:rPr>
        <w:t>виготовлювачів побутових та ювелірних виробів з дорогоцінних металів</w:t>
      </w:r>
      <w:r w:rsidR="009377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</w:t>
      </w:r>
      <w:r w:rsidRPr="000C7853">
        <w:rPr>
          <w:bCs/>
          <w:sz w:val="28"/>
          <w:szCs w:val="28"/>
        </w:rPr>
        <w:t xml:space="preserve">реєстрації відбитків іменників </w:t>
      </w:r>
      <w:r>
        <w:rPr>
          <w:bCs/>
          <w:sz w:val="28"/>
          <w:szCs w:val="28"/>
        </w:rPr>
        <w:t>у частині зменшення кількості документів, що подаються разом із заявою про</w:t>
      </w:r>
      <w:r w:rsidR="005919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</w:t>
      </w:r>
      <w:r w:rsidR="00591993">
        <w:rPr>
          <w:bCs/>
          <w:sz w:val="28"/>
          <w:szCs w:val="28"/>
        </w:rPr>
        <w:t>єстрацію відбитка іменника.</w:t>
      </w:r>
      <w:r w:rsidR="00285C2F">
        <w:rPr>
          <w:bCs/>
          <w:sz w:val="28"/>
          <w:szCs w:val="28"/>
        </w:rPr>
        <w:t xml:space="preserve"> </w:t>
      </w:r>
    </w:p>
    <w:p w:rsidR="004B2CB2" w:rsidRPr="006B5231" w:rsidRDefault="004B2CB2" w:rsidP="00DF717D">
      <w:pPr>
        <w:ind w:firstLine="851"/>
        <w:jc w:val="both"/>
        <w:rPr>
          <w:sz w:val="16"/>
          <w:szCs w:val="16"/>
        </w:rPr>
      </w:pPr>
    </w:p>
    <w:p w:rsidR="0057640E" w:rsidRPr="0057640E" w:rsidRDefault="00786F78" w:rsidP="0057640E">
      <w:pPr>
        <w:ind w:right="181" w:firstLine="851"/>
        <w:rPr>
          <w:b/>
          <w:i/>
          <w:sz w:val="28"/>
          <w:szCs w:val="28"/>
          <w:lang w:val="ru-RU"/>
        </w:rPr>
      </w:pPr>
      <w:r w:rsidRPr="0057640E">
        <w:rPr>
          <w:b/>
          <w:i/>
          <w:sz w:val="28"/>
          <w:szCs w:val="28"/>
        </w:rPr>
        <w:t>Кількісні та якісні значення п</w:t>
      </w:r>
      <w:r w:rsidR="0057640E" w:rsidRPr="0057640E">
        <w:rPr>
          <w:b/>
          <w:i/>
          <w:sz w:val="28"/>
          <w:szCs w:val="28"/>
        </w:rPr>
        <w:t>оказників результативності акта</w:t>
      </w:r>
    </w:p>
    <w:p w:rsidR="002376B2" w:rsidRDefault="007511D4" w:rsidP="008E69D0">
      <w:pPr>
        <w:ind w:firstLine="708"/>
        <w:jc w:val="both"/>
        <w:rPr>
          <w:bCs/>
          <w:sz w:val="28"/>
          <w:szCs w:val="28"/>
        </w:rPr>
      </w:pPr>
      <w:r w:rsidRPr="007511D4">
        <w:rPr>
          <w:sz w:val="28"/>
          <w:szCs w:val="28"/>
        </w:rPr>
        <w:t xml:space="preserve">До якісних показників результативності регуляторного акта, відносно якого здійснювалось </w:t>
      </w:r>
      <w:r>
        <w:rPr>
          <w:sz w:val="28"/>
          <w:szCs w:val="28"/>
        </w:rPr>
        <w:t>повторн</w:t>
      </w:r>
      <w:r w:rsidRPr="007511D4">
        <w:rPr>
          <w:sz w:val="28"/>
          <w:szCs w:val="28"/>
        </w:rPr>
        <w:t>е відстеження, можна віднести</w:t>
      </w:r>
      <w:r>
        <w:rPr>
          <w:sz w:val="28"/>
          <w:szCs w:val="28"/>
        </w:rPr>
        <w:t xml:space="preserve"> спрощення умов </w:t>
      </w:r>
      <w:r w:rsidR="00591993">
        <w:rPr>
          <w:sz w:val="28"/>
          <w:szCs w:val="28"/>
        </w:rPr>
        <w:t xml:space="preserve">реєстрації відбитків іменників </w:t>
      </w:r>
      <w:r w:rsidR="009252DA">
        <w:rPr>
          <w:sz w:val="28"/>
          <w:szCs w:val="28"/>
        </w:rPr>
        <w:t xml:space="preserve">для </w:t>
      </w:r>
      <w:r w:rsidR="00591993">
        <w:rPr>
          <w:sz w:val="28"/>
          <w:szCs w:val="28"/>
        </w:rPr>
        <w:t>виготовлювач</w:t>
      </w:r>
      <w:r w:rsidR="009252DA">
        <w:rPr>
          <w:sz w:val="28"/>
          <w:szCs w:val="28"/>
        </w:rPr>
        <w:t>ів</w:t>
      </w:r>
      <w:r w:rsidR="00591993">
        <w:rPr>
          <w:sz w:val="28"/>
          <w:szCs w:val="28"/>
        </w:rPr>
        <w:t xml:space="preserve"> ювелірних та побутових виробів з дорогоцінних металів.</w:t>
      </w:r>
      <w:r w:rsidR="002376B2" w:rsidRPr="002376B2">
        <w:t xml:space="preserve"> </w:t>
      </w:r>
      <w:r w:rsidR="00194A55" w:rsidRPr="00733762">
        <w:rPr>
          <w:bCs/>
          <w:sz w:val="28"/>
          <w:szCs w:val="28"/>
        </w:rPr>
        <w:t xml:space="preserve">Регуляторний акт не </w:t>
      </w:r>
      <w:r w:rsidR="009252DA">
        <w:rPr>
          <w:bCs/>
          <w:sz w:val="28"/>
          <w:szCs w:val="28"/>
        </w:rPr>
        <w:t>змінює</w:t>
      </w:r>
      <w:bookmarkStart w:id="0" w:name="_GoBack"/>
      <w:bookmarkEnd w:id="0"/>
      <w:r w:rsidR="00194A55" w:rsidRPr="00733762">
        <w:rPr>
          <w:bCs/>
          <w:sz w:val="28"/>
          <w:szCs w:val="28"/>
        </w:rPr>
        <w:t xml:space="preserve"> раніше встановлен</w:t>
      </w:r>
      <w:r w:rsidR="00194A55">
        <w:rPr>
          <w:bCs/>
          <w:sz w:val="28"/>
          <w:szCs w:val="28"/>
        </w:rPr>
        <w:t>ого</w:t>
      </w:r>
      <w:r w:rsidR="00194A55" w:rsidRPr="00733762">
        <w:rPr>
          <w:bCs/>
          <w:sz w:val="28"/>
          <w:szCs w:val="28"/>
        </w:rPr>
        <w:t xml:space="preserve"> порядк</w:t>
      </w:r>
      <w:r w:rsidR="00194A55">
        <w:rPr>
          <w:bCs/>
          <w:sz w:val="28"/>
          <w:szCs w:val="28"/>
        </w:rPr>
        <w:t>у</w:t>
      </w:r>
      <w:r w:rsidR="00194A55" w:rsidRPr="00733762">
        <w:rPr>
          <w:bCs/>
          <w:sz w:val="28"/>
          <w:szCs w:val="28"/>
        </w:rPr>
        <w:t xml:space="preserve"> реєстрації відбитків іменників</w:t>
      </w:r>
      <w:r w:rsidR="008E69D0">
        <w:rPr>
          <w:bCs/>
          <w:sz w:val="28"/>
          <w:szCs w:val="28"/>
        </w:rPr>
        <w:t>.</w:t>
      </w:r>
    </w:p>
    <w:p w:rsidR="008E69D0" w:rsidRPr="00A47C21" w:rsidRDefault="008E69D0" w:rsidP="008E69D0">
      <w:pPr>
        <w:ind w:firstLine="708"/>
        <w:jc w:val="both"/>
        <w:rPr>
          <w:b/>
          <w:i/>
          <w:sz w:val="16"/>
          <w:szCs w:val="16"/>
        </w:rPr>
      </w:pPr>
    </w:p>
    <w:p w:rsidR="00786F78" w:rsidRPr="0057640E" w:rsidRDefault="00786F78" w:rsidP="00C747AE">
      <w:pPr>
        <w:ind w:firstLine="851"/>
        <w:jc w:val="both"/>
        <w:rPr>
          <w:b/>
          <w:i/>
          <w:sz w:val="28"/>
          <w:szCs w:val="28"/>
        </w:rPr>
      </w:pPr>
      <w:r w:rsidRPr="0057640E">
        <w:rPr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C747AE" w:rsidRPr="00C747AE" w:rsidRDefault="00C747AE" w:rsidP="008B53FC">
      <w:pPr>
        <w:ind w:firstLine="540"/>
        <w:jc w:val="both"/>
        <w:rPr>
          <w:sz w:val="10"/>
          <w:szCs w:val="10"/>
        </w:rPr>
      </w:pPr>
    </w:p>
    <w:p w:rsidR="00C747AE" w:rsidRDefault="00786F78" w:rsidP="00C747A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747AE">
        <w:rPr>
          <w:sz w:val="28"/>
          <w:szCs w:val="28"/>
        </w:rPr>
        <w:t xml:space="preserve">На підставі результатів </w:t>
      </w:r>
      <w:r w:rsidR="00DF717D" w:rsidRPr="00C747AE">
        <w:rPr>
          <w:sz w:val="28"/>
          <w:szCs w:val="28"/>
        </w:rPr>
        <w:t>повторного</w:t>
      </w:r>
      <w:r w:rsidR="008B53FC" w:rsidRPr="00C747AE">
        <w:rPr>
          <w:sz w:val="28"/>
          <w:szCs w:val="28"/>
        </w:rPr>
        <w:t xml:space="preserve"> відстеження результативності н</w:t>
      </w:r>
      <w:r w:rsidRPr="00C747AE">
        <w:rPr>
          <w:sz w:val="28"/>
          <w:szCs w:val="28"/>
        </w:rPr>
        <w:t xml:space="preserve">аказу </w:t>
      </w:r>
      <w:r w:rsidR="00194A55" w:rsidRPr="00194A55">
        <w:rPr>
          <w:iCs/>
          <w:sz w:val="28"/>
          <w:szCs w:val="28"/>
        </w:rPr>
        <w:t>Міністерства фінансів України від 06 березня 2013 року № 373 «Про внесення змін до наказу Міністерства фінансів України від 16 жовтня 2001 року № 466»</w:t>
      </w:r>
      <w:r w:rsidR="00194A55">
        <w:rPr>
          <w:iCs/>
          <w:sz w:val="28"/>
          <w:szCs w:val="28"/>
        </w:rPr>
        <w:t xml:space="preserve"> </w:t>
      </w:r>
      <w:r w:rsidRPr="00C747AE">
        <w:rPr>
          <w:sz w:val="28"/>
          <w:szCs w:val="28"/>
        </w:rPr>
        <w:t>зроб</w:t>
      </w:r>
      <w:r w:rsidR="002376B2">
        <w:rPr>
          <w:sz w:val="28"/>
          <w:szCs w:val="28"/>
        </w:rPr>
        <w:t>лено</w:t>
      </w:r>
      <w:r w:rsidRPr="00C747AE">
        <w:rPr>
          <w:sz w:val="28"/>
          <w:szCs w:val="28"/>
        </w:rPr>
        <w:t xml:space="preserve"> </w:t>
      </w:r>
      <w:r w:rsidR="00DF717D" w:rsidRPr="00C747AE">
        <w:rPr>
          <w:sz w:val="28"/>
          <w:szCs w:val="28"/>
        </w:rPr>
        <w:t xml:space="preserve">висновок, що </w:t>
      </w:r>
      <w:r w:rsidR="00194A55">
        <w:rPr>
          <w:sz w:val="28"/>
          <w:szCs w:val="28"/>
        </w:rPr>
        <w:t xml:space="preserve">шляхом видання цього регуляторного акта </w:t>
      </w:r>
      <w:r w:rsidR="00194A55" w:rsidRPr="00194A55">
        <w:rPr>
          <w:sz w:val="28"/>
          <w:szCs w:val="28"/>
        </w:rPr>
        <w:t>вдалося досягти визначених цілей. Остаточний висновок щодо ступеня досягнення визначених цілей можна буде зробити за результатами періодичних відстежень його результативності, які проводяться раз на три роки починаючи з дня закінчення заходів повторного відстеження результативності цього акта.</w:t>
      </w:r>
    </w:p>
    <w:p w:rsidR="00786F78" w:rsidRDefault="00786F78" w:rsidP="00C747AE">
      <w:pPr>
        <w:ind w:firstLine="567"/>
        <w:jc w:val="both"/>
        <w:rPr>
          <w:b/>
          <w:sz w:val="28"/>
          <w:szCs w:val="28"/>
        </w:rPr>
      </w:pPr>
    </w:p>
    <w:p w:rsidR="00CF7C30" w:rsidRPr="00A41A02" w:rsidRDefault="00CF7C30" w:rsidP="00C747AE">
      <w:pPr>
        <w:ind w:firstLine="567"/>
        <w:jc w:val="both"/>
        <w:rPr>
          <w:b/>
          <w:sz w:val="28"/>
          <w:szCs w:val="28"/>
        </w:rPr>
      </w:pPr>
    </w:p>
    <w:tbl>
      <w:tblPr>
        <w:tblStyle w:val="af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927"/>
      </w:tblGrid>
      <w:tr w:rsidR="00513315" w:rsidTr="00194A55">
        <w:tc>
          <w:tcPr>
            <w:tcW w:w="6629" w:type="dxa"/>
          </w:tcPr>
          <w:p w:rsidR="00513315" w:rsidRDefault="00EE09E4" w:rsidP="00194A55">
            <w:r w:rsidRPr="00786F78">
              <w:rPr>
                <w:b/>
                <w:sz w:val="28"/>
                <w:szCs w:val="28"/>
              </w:rPr>
              <w:t>Заступник Міністра фінансів України</w:t>
            </w:r>
          </w:p>
        </w:tc>
        <w:tc>
          <w:tcPr>
            <w:tcW w:w="4927" w:type="dxa"/>
          </w:tcPr>
          <w:p w:rsidR="00513315" w:rsidRPr="002A66CA" w:rsidRDefault="00194A55" w:rsidP="005764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91993">
              <w:rPr>
                <w:b/>
                <w:sz w:val="28"/>
                <w:szCs w:val="28"/>
              </w:rPr>
              <w:t xml:space="preserve">       </w:t>
            </w:r>
            <w:r w:rsidR="0057640E">
              <w:rPr>
                <w:b/>
                <w:sz w:val="28"/>
                <w:szCs w:val="28"/>
              </w:rPr>
              <w:t>О</w:t>
            </w:r>
            <w:r w:rsidR="002A66CA" w:rsidRPr="002A66CA">
              <w:rPr>
                <w:b/>
                <w:sz w:val="28"/>
                <w:szCs w:val="28"/>
              </w:rPr>
              <w:t xml:space="preserve">. </w:t>
            </w:r>
            <w:r w:rsidR="0057640E">
              <w:rPr>
                <w:b/>
                <w:sz w:val="28"/>
                <w:szCs w:val="28"/>
              </w:rPr>
              <w:t>МАКЕЄВА</w:t>
            </w:r>
          </w:p>
        </w:tc>
      </w:tr>
    </w:tbl>
    <w:p w:rsidR="00EE09E4" w:rsidRDefault="00EE09E4" w:rsidP="00591993"/>
    <w:sectPr w:rsidR="00EE09E4" w:rsidSect="00591993">
      <w:headerReference w:type="even" r:id="rId8"/>
      <w:headerReference w:type="default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B5" w:rsidRDefault="007A51B5" w:rsidP="00FB7BD3">
      <w:r>
        <w:separator/>
      </w:r>
    </w:p>
  </w:endnote>
  <w:endnote w:type="continuationSeparator" w:id="0">
    <w:p w:rsidR="007A51B5" w:rsidRDefault="007A51B5" w:rsidP="00FB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B5" w:rsidRDefault="007A51B5" w:rsidP="00FB7BD3">
      <w:r>
        <w:separator/>
      </w:r>
    </w:p>
  </w:footnote>
  <w:footnote w:type="continuationSeparator" w:id="0">
    <w:p w:rsidR="007A51B5" w:rsidRDefault="007A51B5" w:rsidP="00FB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705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6F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937" w:rsidRDefault="007A51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Pr="00426CBF" w:rsidRDefault="007059F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26CBF">
      <w:rPr>
        <w:rStyle w:val="a5"/>
        <w:sz w:val="28"/>
        <w:szCs w:val="28"/>
      </w:rPr>
      <w:fldChar w:fldCharType="begin"/>
    </w:r>
    <w:r w:rsidR="00AC6F8B" w:rsidRPr="00426CBF">
      <w:rPr>
        <w:rStyle w:val="a5"/>
        <w:sz w:val="28"/>
        <w:szCs w:val="28"/>
      </w:rPr>
      <w:instrText xml:space="preserve">PAGE  </w:instrText>
    </w:r>
    <w:r w:rsidRPr="00426CBF">
      <w:rPr>
        <w:rStyle w:val="a5"/>
        <w:sz w:val="28"/>
        <w:szCs w:val="28"/>
      </w:rPr>
      <w:fldChar w:fldCharType="separate"/>
    </w:r>
    <w:r w:rsidR="009252DA">
      <w:rPr>
        <w:rStyle w:val="a5"/>
        <w:noProof/>
        <w:sz w:val="28"/>
        <w:szCs w:val="28"/>
      </w:rPr>
      <w:t>2</w:t>
    </w:r>
    <w:r w:rsidRPr="00426CBF">
      <w:rPr>
        <w:rStyle w:val="a5"/>
        <w:sz w:val="28"/>
        <w:szCs w:val="28"/>
      </w:rPr>
      <w:fldChar w:fldCharType="end"/>
    </w:r>
  </w:p>
  <w:p w:rsidR="003C7937" w:rsidRDefault="007A51B5">
    <w:pPr>
      <w:pStyle w:val="a3"/>
    </w:pPr>
  </w:p>
  <w:p w:rsidR="004B2CB2" w:rsidRDefault="004B2C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0CF5"/>
    <w:multiLevelType w:val="hybridMultilevel"/>
    <w:tmpl w:val="AD7E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6F9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3A"/>
    <w:rsid w:val="000075DF"/>
    <w:rsid w:val="000302C4"/>
    <w:rsid w:val="0006514B"/>
    <w:rsid w:val="0007153A"/>
    <w:rsid w:val="000C4445"/>
    <w:rsid w:val="000C7853"/>
    <w:rsid w:val="000D2EF6"/>
    <w:rsid w:val="001146BC"/>
    <w:rsid w:val="00123039"/>
    <w:rsid w:val="001645A8"/>
    <w:rsid w:val="00166183"/>
    <w:rsid w:val="00194A55"/>
    <w:rsid w:val="002376B2"/>
    <w:rsid w:val="00244ECC"/>
    <w:rsid w:val="00253B47"/>
    <w:rsid w:val="00284257"/>
    <w:rsid w:val="00285C2F"/>
    <w:rsid w:val="002A66CA"/>
    <w:rsid w:val="003009FE"/>
    <w:rsid w:val="003529C5"/>
    <w:rsid w:val="00356137"/>
    <w:rsid w:val="00406305"/>
    <w:rsid w:val="004168C0"/>
    <w:rsid w:val="00426CBF"/>
    <w:rsid w:val="004825C6"/>
    <w:rsid w:val="00486D6B"/>
    <w:rsid w:val="004B2CB2"/>
    <w:rsid w:val="00513315"/>
    <w:rsid w:val="0057640E"/>
    <w:rsid w:val="00591993"/>
    <w:rsid w:val="005C7970"/>
    <w:rsid w:val="006059C6"/>
    <w:rsid w:val="0068473B"/>
    <w:rsid w:val="006B0941"/>
    <w:rsid w:val="006B5231"/>
    <w:rsid w:val="006E5717"/>
    <w:rsid w:val="007059FE"/>
    <w:rsid w:val="00733762"/>
    <w:rsid w:val="007511D4"/>
    <w:rsid w:val="00765C4E"/>
    <w:rsid w:val="00786F78"/>
    <w:rsid w:val="007A51B5"/>
    <w:rsid w:val="007B1026"/>
    <w:rsid w:val="007E668D"/>
    <w:rsid w:val="007F306C"/>
    <w:rsid w:val="007F5757"/>
    <w:rsid w:val="008025C0"/>
    <w:rsid w:val="00852087"/>
    <w:rsid w:val="008A0FBD"/>
    <w:rsid w:val="008B53FC"/>
    <w:rsid w:val="008C7FB4"/>
    <w:rsid w:val="008D130E"/>
    <w:rsid w:val="008E69D0"/>
    <w:rsid w:val="00906EF2"/>
    <w:rsid w:val="009252DA"/>
    <w:rsid w:val="00933EB1"/>
    <w:rsid w:val="0093777D"/>
    <w:rsid w:val="00940446"/>
    <w:rsid w:val="009701AC"/>
    <w:rsid w:val="009B133B"/>
    <w:rsid w:val="009B7F7F"/>
    <w:rsid w:val="009D4B3D"/>
    <w:rsid w:val="00A41A02"/>
    <w:rsid w:val="00A454E9"/>
    <w:rsid w:val="00A47C21"/>
    <w:rsid w:val="00AB7606"/>
    <w:rsid w:val="00AC6F8B"/>
    <w:rsid w:val="00AF64D6"/>
    <w:rsid w:val="00B2626E"/>
    <w:rsid w:val="00B5204E"/>
    <w:rsid w:val="00B95F7A"/>
    <w:rsid w:val="00BB7BCB"/>
    <w:rsid w:val="00BC132A"/>
    <w:rsid w:val="00BE34EA"/>
    <w:rsid w:val="00BE53B4"/>
    <w:rsid w:val="00C04D8C"/>
    <w:rsid w:val="00C747AE"/>
    <w:rsid w:val="00C772BC"/>
    <w:rsid w:val="00CC0BB6"/>
    <w:rsid w:val="00CD28A3"/>
    <w:rsid w:val="00CF7C30"/>
    <w:rsid w:val="00D30AFD"/>
    <w:rsid w:val="00D55889"/>
    <w:rsid w:val="00D60C44"/>
    <w:rsid w:val="00DA75E5"/>
    <w:rsid w:val="00DD5FB7"/>
    <w:rsid w:val="00DF717D"/>
    <w:rsid w:val="00E32578"/>
    <w:rsid w:val="00E34107"/>
    <w:rsid w:val="00E97575"/>
    <w:rsid w:val="00EE09E4"/>
    <w:rsid w:val="00EF43BD"/>
    <w:rsid w:val="00F02E7A"/>
    <w:rsid w:val="00F10C21"/>
    <w:rsid w:val="00F17F61"/>
    <w:rsid w:val="00F67143"/>
    <w:rsid w:val="00F84C02"/>
    <w:rsid w:val="00F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F1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10C21"/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paragraph" w:styleId="ac">
    <w:name w:val="List Paragraph"/>
    <w:basedOn w:val="a"/>
    <w:uiPriority w:val="34"/>
    <w:qFormat/>
    <w:rsid w:val="0068473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426CB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26CB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51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F1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10C21"/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paragraph" w:styleId="ac">
    <w:name w:val="List Paragraph"/>
    <w:basedOn w:val="a"/>
    <w:uiPriority w:val="34"/>
    <w:qFormat/>
    <w:rsid w:val="0068473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426CB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26CB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51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2015-08-27T11:08:00Z</cp:lastPrinted>
  <dcterms:created xsi:type="dcterms:W3CDTF">2015-10-06T11:35:00Z</dcterms:created>
  <dcterms:modified xsi:type="dcterms:W3CDTF">2015-10-15T14:11:00Z</dcterms:modified>
</cp:coreProperties>
</file>