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7" w:rsidRPr="00A04226" w:rsidRDefault="00E87207" w:rsidP="00084BA4">
      <w:pPr>
        <w:jc w:val="center"/>
        <w:rPr>
          <w:b/>
          <w:color w:val="auto"/>
          <w:sz w:val="28"/>
          <w:szCs w:val="28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854CE9" w:rsidP="00DC5596">
      <w:pPr>
        <w:rPr>
          <w:b/>
          <w:color w:val="auto"/>
          <w:sz w:val="28"/>
          <w:szCs w:val="28"/>
          <w:u w:val="single"/>
          <w:lang w:val="uk-UA"/>
        </w:rPr>
      </w:pPr>
      <w:r>
        <w:rPr>
          <w:color w:val="auto"/>
          <w:sz w:val="28"/>
          <w:szCs w:val="28"/>
          <w:lang w:val="uk-UA"/>
        </w:rPr>
        <w:t>23.10.2015</w:t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</w:r>
      <w:r>
        <w:rPr>
          <w:color w:val="auto"/>
          <w:sz w:val="28"/>
          <w:szCs w:val="28"/>
          <w:lang w:val="uk-UA"/>
        </w:rPr>
        <w:tab/>
        <w:t xml:space="preserve">      № 943</w:t>
      </w:r>
      <w:r w:rsidR="00DC5596" w:rsidRPr="00DB72D6">
        <w:rPr>
          <w:b/>
          <w:color w:val="auto"/>
          <w:sz w:val="28"/>
          <w:szCs w:val="28"/>
          <w:lang w:val="uk-UA"/>
        </w:rPr>
        <w:t xml:space="preserve">                                                                                     </w:t>
      </w:r>
      <w:r w:rsidR="00EB0151" w:rsidRPr="00DB72D6">
        <w:rPr>
          <w:b/>
          <w:color w:val="auto"/>
          <w:sz w:val="28"/>
          <w:szCs w:val="28"/>
          <w:u w:val="single"/>
          <w:lang w:val="uk-UA"/>
        </w:rPr>
        <w:t xml:space="preserve">           </w:t>
      </w: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465A0F" w:rsidRPr="00DB72D6" w:rsidRDefault="00E87207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Про </w:t>
      </w:r>
      <w:r w:rsidR="00A04666" w:rsidRPr="00DB72D6">
        <w:rPr>
          <w:b/>
          <w:color w:val="auto"/>
          <w:sz w:val="28"/>
          <w:szCs w:val="28"/>
          <w:lang w:val="uk-UA"/>
        </w:rPr>
        <w:t>затвердження</w:t>
      </w:r>
      <w:r w:rsidR="00546F55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>З</w:t>
      </w:r>
      <w:r w:rsidR="00546F55" w:rsidRPr="00DB72D6">
        <w:rPr>
          <w:b/>
          <w:color w:val="auto"/>
          <w:sz w:val="28"/>
          <w:szCs w:val="28"/>
          <w:lang w:val="uk-UA"/>
        </w:rPr>
        <w:t>мін</w:t>
      </w:r>
      <w:r w:rsidR="00906EBF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 xml:space="preserve">до  </w:t>
      </w:r>
    </w:p>
    <w:p w:rsidR="00465A0F" w:rsidRPr="00DB72D6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Плану-графіка здійснення </w:t>
      </w:r>
    </w:p>
    <w:p w:rsidR="00E87207" w:rsidRPr="00DB72D6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заходів</w:t>
      </w:r>
      <w:r w:rsidR="00516333" w:rsidRPr="00DB72D6">
        <w:rPr>
          <w:b/>
          <w:color w:val="auto"/>
          <w:sz w:val="28"/>
          <w:szCs w:val="28"/>
          <w:lang w:val="uk-UA"/>
        </w:rPr>
        <w:t xml:space="preserve"> щодо відстеження</w:t>
      </w:r>
    </w:p>
    <w:p w:rsidR="00614166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результативності </w:t>
      </w:r>
    </w:p>
    <w:p w:rsidR="00516333" w:rsidRPr="00C941AC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C941AC">
        <w:rPr>
          <w:b/>
          <w:color w:val="auto"/>
          <w:sz w:val="28"/>
          <w:szCs w:val="28"/>
          <w:lang w:val="uk-UA"/>
        </w:rPr>
        <w:t>регуляторних</w:t>
      </w:r>
      <w:r w:rsidR="00614166" w:rsidRPr="00C941AC">
        <w:rPr>
          <w:b/>
          <w:color w:val="auto"/>
          <w:sz w:val="28"/>
          <w:szCs w:val="28"/>
          <w:lang w:val="uk-UA"/>
        </w:rPr>
        <w:t xml:space="preserve"> </w:t>
      </w:r>
      <w:r w:rsidRPr="00C941AC">
        <w:rPr>
          <w:b/>
          <w:color w:val="auto"/>
          <w:sz w:val="28"/>
          <w:szCs w:val="28"/>
          <w:lang w:val="uk-UA"/>
        </w:rPr>
        <w:t>актів</w:t>
      </w:r>
    </w:p>
    <w:p w:rsidR="00E87207" w:rsidRPr="00C941AC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614166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C941AC">
        <w:rPr>
          <w:color w:val="auto"/>
          <w:sz w:val="28"/>
          <w:szCs w:val="28"/>
          <w:lang w:val="uk-UA"/>
        </w:rPr>
        <w:t xml:space="preserve">На </w:t>
      </w:r>
      <w:r w:rsidRPr="00DB72D6">
        <w:rPr>
          <w:color w:val="auto"/>
          <w:sz w:val="28"/>
          <w:szCs w:val="28"/>
          <w:lang w:val="uk-UA"/>
        </w:rPr>
        <w:t xml:space="preserve">виконання статті </w:t>
      </w:r>
      <w:r w:rsidR="008D00A3" w:rsidRPr="00DB72D6">
        <w:rPr>
          <w:color w:val="auto"/>
          <w:sz w:val="28"/>
          <w:szCs w:val="28"/>
          <w:lang w:val="uk-UA"/>
        </w:rPr>
        <w:t>5</w:t>
      </w:r>
      <w:r w:rsidRPr="00DB72D6">
        <w:rPr>
          <w:color w:val="auto"/>
          <w:sz w:val="28"/>
          <w:szCs w:val="28"/>
          <w:lang w:val="uk-UA"/>
        </w:rPr>
        <w:t xml:space="preserve"> Закону України </w:t>
      </w:r>
      <w:r w:rsidR="000E6D90" w:rsidRPr="00DB72D6">
        <w:rPr>
          <w:color w:val="auto"/>
          <w:sz w:val="28"/>
          <w:szCs w:val="28"/>
          <w:lang w:val="uk-UA"/>
        </w:rPr>
        <w:t>«</w:t>
      </w:r>
      <w:r w:rsidRPr="00DB72D6">
        <w:rPr>
          <w:color w:val="auto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E6D90" w:rsidRPr="00DB72D6">
        <w:rPr>
          <w:color w:val="auto"/>
          <w:sz w:val="28"/>
          <w:szCs w:val="28"/>
          <w:lang w:val="uk-UA"/>
        </w:rPr>
        <w:t>»</w:t>
      </w:r>
      <w:r w:rsidRPr="00DB72D6">
        <w:rPr>
          <w:color w:val="auto"/>
          <w:sz w:val="28"/>
          <w:szCs w:val="28"/>
          <w:lang w:val="uk-UA"/>
        </w:rPr>
        <w:t xml:space="preserve"> </w:t>
      </w:r>
    </w:p>
    <w:p w:rsidR="008D00A3" w:rsidRPr="00DB72D6" w:rsidRDefault="008D00A3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7F63E4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НАКАЗУЮ</w:t>
      </w:r>
      <w:r w:rsidRPr="00DB72D6">
        <w:rPr>
          <w:color w:val="auto"/>
          <w:sz w:val="28"/>
          <w:szCs w:val="28"/>
          <w:lang w:val="uk-UA"/>
        </w:rPr>
        <w:t xml:space="preserve">: </w:t>
      </w:r>
    </w:p>
    <w:p w:rsidR="00E87207" w:rsidRPr="00DB72D6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C7C80" w:rsidRPr="00DB72D6" w:rsidRDefault="00E87207" w:rsidP="002C3166">
      <w:pPr>
        <w:tabs>
          <w:tab w:val="left" w:pos="851"/>
          <w:tab w:val="left" w:pos="1134"/>
        </w:tabs>
        <w:ind w:firstLine="540"/>
        <w:jc w:val="both"/>
        <w:rPr>
          <w:color w:val="auto"/>
          <w:sz w:val="28"/>
          <w:szCs w:val="28"/>
          <w:lang w:val="uk-UA"/>
        </w:rPr>
      </w:pPr>
      <w:r w:rsidRPr="00DB72D6">
        <w:rPr>
          <w:color w:val="auto"/>
          <w:sz w:val="28"/>
          <w:szCs w:val="28"/>
          <w:lang w:val="uk-UA"/>
        </w:rPr>
        <w:t>1.</w:t>
      </w:r>
      <w:r w:rsidR="002E391C">
        <w:rPr>
          <w:color w:val="auto"/>
          <w:sz w:val="28"/>
          <w:szCs w:val="28"/>
          <w:lang w:val="uk-UA"/>
        </w:rPr>
        <w:t> </w:t>
      </w:r>
      <w:r w:rsidR="00176648">
        <w:rPr>
          <w:color w:val="auto"/>
          <w:sz w:val="28"/>
          <w:szCs w:val="28"/>
          <w:lang w:val="uk-UA"/>
        </w:rPr>
        <w:t>Внести</w:t>
      </w:r>
      <w:r w:rsidR="00546F55" w:rsidRPr="00DB72D6">
        <w:rPr>
          <w:color w:val="auto"/>
          <w:sz w:val="28"/>
          <w:szCs w:val="28"/>
          <w:lang w:val="uk-UA"/>
        </w:rPr>
        <w:t xml:space="preserve"> </w:t>
      </w:r>
      <w:r w:rsidR="00B37178">
        <w:rPr>
          <w:color w:val="auto"/>
          <w:sz w:val="28"/>
          <w:szCs w:val="28"/>
          <w:lang w:val="uk-UA"/>
        </w:rPr>
        <w:t>з</w:t>
      </w:r>
      <w:r w:rsidR="00546F55" w:rsidRPr="00DB72D6">
        <w:rPr>
          <w:color w:val="auto"/>
          <w:sz w:val="28"/>
          <w:szCs w:val="28"/>
          <w:lang w:val="uk-UA"/>
        </w:rPr>
        <w:t xml:space="preserve">міни до </w:t>
      </w:r>
      <w:r w:rsidR="00A04666" w:rsidRPr="00DB72D6">
        <w:rPr>
          <w:color w:val="auto"/>
          <w:sz w:val="28"/>
          <w:szCs w:val="28"/>
          <w:lang w:val="uk-UA"/>
        </w:rPr>
        <w:t>План</w:t>
      </w:r>
      <w:r w:rsidR="00546F55" w:rsidRPr="00DB72D6">
        <w:rPr>
          <w:color w:val="auto"/>
          <w:sz w:val="28"/>
          <w:szCs w:val="28"/>
          <w:lang w:val="uk-UA"/>
        </w:rPr>
        <w:t>у</w:t>
      </w:r>
      <w:r w:rsidR="00A04666" w:rsidRPr="00DB72D6">
        <w:rPr>
          <w:i/>
          <w:color w:val="auto"/>
          <w:sz w:val="28"/>
          <w:szCs w:val="28"/>
          <w:lang w:val="uk-UA"/>
        </w:rPr>
        <w:t>-</w:t>
      </w:r>
      <w:r w:rsidR="00A04666" w:rsidRPr="00DB72D6">
        <w:rPr>
          <w:color w:val="auto"/>
          <w:sz w:val="28"/>
          <w:szCs w:val="28"/>
          <w:lang w:val="uk-UA"/>
        </w:rPr>
        <w:t>графік</w:t>
      </w:r>
      <w:r w:rsidR="00546F55" w:rsidRPr="00DB72D6">
        <w:rPr>
          <w:color w:val="auto"/>
          <w:sz w:val="28"/>
          <w:szCs w:val="28"/>
          <w:lang w:val="uk-UA"/>
        </w:rPr>
        <w:t>а</w:t>
      </w:r>
      <w:r w:rsidR="00A04666" w:rsidRPr="00DB72D6">
        <w:rPr>
          <w:b/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здійснення заходів щодо відстеження результативності регуляторних актів, розроблених Міністерством фінансів України</w:t>
      </w:r>
      <w:r w:rsidR="00297DB2">
        <w:rPr>
          <w:color w:val="auto"/>
          <w:sz w:val="28"/>
          <w:szCs w:val="28"/>
          <w:lang w:val="uk-UA"/>
        </w:rPr>
        <w:t>,</w:t>
      </w:r>
      <w:r w:rsidR="008D00A3" w:rsidRPr="00DB72D6">
        <w:rPr>
          <w:color w:val="auto"/>
          <w:sz w:val="28"/>
          <w:szCs w:val="28"/>
          <w:lang w:val="uk-UA"/>
        </w:rPr>
        <w:t xml:space="preserve"> </w:t>
      </w:r>
      <w:r w:rsidR="008911E6">
        <w:rPr>
          <w:color w:val="auto"/>
          <w:sz w:val="28"/>
          <w:szCs w:val="28"/>
          <w:lang w:val="uk-UA"/>
        </w:rPr>
        <w:t>у</w:t>
      </w:r>
      <w:r w:rsidR="00A04666" w:rsidRPr="00DB72D6">
        <w:rPr>
          <w:color w:val="auto"/>
          <w:sz w:val="28"/>
          <w:szCs w:val="28"/>
          <w:lang w:val="uk-UA"/>
        </w:rPr>
        <w:t xml:space="preserve"> 20</w:t>
      </w:r>
      <w:r w:rsidR="008D00A3" w:rsidRPr="00DB72D6">
        <w:rPr>
          <w:color w:val="auto"/>
          <w:sz w:val="28"/>
          <w:szCs w:val="28"/>
          <w:lang w:val="uk-UA"/>
        </w:rPr>
        <w:t>1</w:t>
      </w:r>
      <w:r w:rsidR="00797A53">
        <w:rPr>
          <w:color w:val="auto"/>
          <w:sz w:val="28"/>
          <w:szCs w:val="28"/>
          <w:lang w:val="uk-UA"/>
        </w:rPr>
        <w:t>5</w:t>
      </w:r>
      <w:r w:rsidR="00A04666" w:rsidRPr="00DB72D6">
        <w:rPr>
          <w:color w:val="auto"/>
          <w:sz w:val="28"/>
          <w:szCs w:val="28"/>
          <w:lang w:val="uk-UA"/>
        </w:rPr>
        <w:t xml:space="preserve"> р</w:t>
      </w:r>
      <w:r w:rsidR="008911E6">
        <w:rPr>
          <w:color w:val="auto"/>
          <w:sz w:val="28"/>
          <w:szCs w:val="28"/>
          <w:lang w:val="uk-UA"/>
        </w:rPr>
        <w:t>оці</w:t>
      </w:r>
      <w:r w:rsidR="00A04666" w:rsidRPr="00DB72D6">
        <w:rPr>
          <w:color w:val="auto"/>
          <w:sz w:val="28"/>
          <w:szCs w:val="28"/>
          <w:lang w:val="uk-UA"/>
        </w:rPr>
        <w:t xml:space="preserve">, </w:t>
      </w:r>
      <w:r w:rsidR="006844A6" w:rsidRPr="00DB72D6">
        <w:rPr>
          <w:color w:val="auto"/>
          <w:sz w:val="28"/>
          <w:szCs w:val="28"/>
          <w:lang w:val="uk-UA"/>
        </w:rPr>
        <w:t xml:space="preserve">затвердженого наказом Міністерства фінансів України від </w:t>
      </w:r>
      <w:r w:rsidR="00A926E1">
        <w:rPr>
          <w:color w:val="auto"/>
          <w:sz w:val="28"/>
          <w:szCs w:val="28"/>
          <w:lang w:val="uk-UA"/>
        </w:rPr>
        <w:t>31</w:t>
      </w:r>
      <w:r w:rsidR="003D32EA" w:rsidRPr="00DB72D6">
        <w:rPr>
          <w:color w:val="auto"/>
          <w:sz w:val="28"/>
          <w:szCs w:val="28"/>
          <w:lang w:val="uk-UA"/>
        </w:rPr>
        <w:t xml:space="preserve"> </w:t>
      </w:r>
      <w:r w:rsidR="00A926E1">
        <w:rPr>
          <w:color w:val="auto"/>
          <w:sz w:val="28"/>
          <w:szCs w:val="28"/>
          <w:lang w:val="uk-UA"/>
        </w:rPr>
        <w:t>березня</w:t>
      </w:r>
      <w:r w:rsidR="003D32EA" w:rsidRPr="00DB72D6">
        <w:rPr>
          <w:color w:val="auto"/>
          <w:sz w:val="28"/>
          <w:szCs w:val="28"/>
          <w:lang w:val="uk-UA"/>
        </w:rPr>
        <w:t xml:space="preserve"> </w:t>
      </w:r>
      <w:r w:rsidR="006844A6" w:rsidRPr="00DB72D6">
        <w:rPr>
          <w:color w:val="auto"/>
          <w:sz w:val="28"/>
          <w:szCs w:val="28"/>
          <w:lang w:val="uk-UA"/>
        </w:rPr>
        <w:t>201</w:t>
      </w:r>
      <w:r w:rsidR="00A926E1">
        <w:rPr>
          <w:color w:val="auto"/>
          <w:sz w:val="28"/>
          <w:szCs w:val="28"/>
          <w:lang w:val="uk-UA"/>
        </w:rPr>
        <w:t>5</w:t>
      </w:r>
      <w:r w:rsidR="003D32EA" w:rsidRPr="00DB72D6">
        <w:rPr>
          <w:color w:val="auto"/>
          <w:sz w:val="28"/>
          <w:szCs w:val="28"/>
          <w:lang w:val="uk-UA"/>
        </w:rPr>
        <w:t xml:space="preserve"> року</w:t>
      </w:r>
      <w:r w:rsidR="006844A6" w:rsidRPr="00DB72D6">
        <w:rPr>
          <w:color w:val="auto"/>
          <w:sz w:val="28"/>
          <w:szCs w:val="28"/>
          <w:lang w:val="uk-UA"/>
        </w:rPr>
        <w:t xml:space="preserve"> № </w:t>
      </w:r>
      <w:r w:rsidR="00A926E1">
        <w:rPr>
          <w:color w:val="auto"/>
          <w:sz w:val="28"/>
          <w:szCs w:val="28"/>
          <w:lang w:val="uk-UA"/>
        </w:rPr>
        <w:t>387</w:t>
      </w:r>
      <w:r w:rsidR="00DC412C">
        <w:rPr>
          <w:color w:val="auto"/>
          <w:sz w:val="28"/>
          <w:szCs w:val="28"/>
          <w:lang w:val="uk-UA"/>
        </w:rPr>
        <w:t xml:space="preserve"> (із доповненнями)</w:t>
      </w:r>
      <w:r w:rsidR="00930F08">
        <w:rPr>
          <w:color w:val="auto"/>
          <w:sz w:val="28"/>
          <w:szCs w:val="28"/>
          <w:lang w:val="uk-UA"/>
        </w:rPr>
        <w:t xml:space="preserve"> </w:t>
      </w:r>
      <w:r w:rsidR="006844A6" w:rsidRPr="00DB72D6">
        <w:rPr>
          <w:color w:val="auto"/>
          <w:sz w:val="28"/>
          <w:szCs w:val="28"/>
          <w:lang w:val="uk-UA"/>
        </w:rPr>
        <w:t xml:space="preserve">(далі – Зміни), </w:t>
      </w:r>
      <w:r w:rsidR="00A04666" w:rsidRPr="00DB72D6">
        <w:rPr>
          <w:color w:val="auto"/>
          <w:sz w:val="28"/>
          <w:szCs w:val="28"/>
          <w:lang w:val="uk-UA"/>
        </w:rPr>
        <w:t>що дода</w:t>
      </w:r>
      <w:r w:rsidR="006844A6" w:rsidRPr="00DB72D6">
        <w:rPr>
          <w:color w:val="auto"/>
          <w:sz w:val="28"/>
          <w:szCs w:val="28"/>
          <w:lang w:val="uk-UA"/>
        </w:rPr>
        <w:t>ю</w:t>
      </w:r>
      <w:r w:rsidR="00A04666" w:rsidRPr="00DB72D6">
        <w:rPr>
          <w:color w:val="auto"/>
          <w:sz w:val="28"/>
          <w:szCs w:val="28"/>
          <w:lang w:val="uk-UA"/>
        </w:rPr>
        <w:t>ться.</w:t>
      </w:r>
    </w:p>
    <w:p w:rsidR="00375A34" w:rsidRPr="008538F1" w:rsidRDefault="00375A34" w:rsidP="00EC7C80">
      <w:pPr>
        <w:jc w:val="both"/>
        <w:rPr>
          <w:color w:val="auto"/>
          <w:sz w:val="28"/>
          <w:szCs w:val="28"/>
          <w:lang w:val="uk-UA"/>
        </w:rPr>
      </w:pPr>
    </w:p>
    <w:p w:rsidR="00A04666" w:rsidRPr="00AD69FD" w:rsidRDefault="0046707F" w:rsidP="002E391C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2</w:t>
      </w:r>
      <w:r w:rsidR="00375A34" w:rsidRPr="00AD69FD">
        <w:rPr>
          <w:color w:val="auto"/>
          <w:sz w:val="28"/>
          <w:szCs w:val="28"/>
          <w:lang w:val="uk-UA"/>
        </w:rPr>
        <w:t>.</w:t>
      </w:r>
      <w:r w:rsidR="002E391C" w:rsidRPr="00AD69FD">
        <w:rPr>
          <w:color w:val="auto"/>
          <w:sz w:val="28"/>
          <w:szCs w:val="28"/>
          <w:lang w:val="uk-UA"/>
        </w:rPr>
        <w:t xml:space="preserve"> Департаменту забезпечення діяльності Міністра (патронатна служба) </w:t>
      </w:r>
      <w:r w:rsidR="00797A53" w:rsidRPr="00AD69FD">
        <w:rPr>
          <w:color w:val="auto"/>
          <w:sz w:val="28"/>
          <w:szCs w:val="28"/>
          <w:lang w:val="uk-UA"/>
        </w:rPr>
        <w:t xml:space="preserve"> </w:t>
      </w:r>
      <w:r w:rsidR="001B6BC4" w:rsidRPr="00AD69FD">
        <w:rPr>
          <w:color w:val="auto"/>
          <w:sz w:val="28"/>
          <w:szCs w:val="28"/>
          <w:lang w:val="uk-UA"/>
        </w:rPr>
        <w:t>(</w:t>
      </w:r>
      <w:r w:rsidR="00AD69FD" w:rsidRPr="00AD69FD">
        <w:rPr>
          <w:color w:val="auto"/>
          <w:sz w:val="28"/>
          <w:szCs w:val="28"/>
          <w:lang w:val="uk-UA"/>
        </w:rPr>
        <w:t>Юрик І. І.</w:t>
      </w:r>
      <w:r w:rsidR="001B6BC4" w:rsidRPr="00AD69FD">
        <w:rPr>
          <w:color w:val="auto"/>
          <w:sz w:val="28"/>
          <w:szCs w:val="28"/>
          <w:lang w:val="uk-UA"/>
        </w:rPr>
        <w:t>) </w:t>
      </w:r>
      <w:r w:rsidR="00966714" w:rsidRPr="00E3530B">
        <w:rPr>
          <w:color w:val="auto"/>
          <w:sz w:val="28"/>
          <w:szCs w:val="28"/>
          <w:lang w:val="uk-UA"/>
        </w:rPr>
        <w:t>з</w:t>
      </w:r>
      <w:r w:rsidR="00966714" w:rsidRPr="00AD69FD">
        <w:rPr>
          <w:color w:val="auto"/>
          <w:sz w:val="28"/>
          <w:szCs w:val="28"/>
          <w:lang w:val="uk-UA"/>
        </w:rPr>
        <w:t xml:space="preserve">абезпечити оприлюднення </w:t>
      </w:r>
      <w:r w:rsidR="00415577" w:rsidRPr="00AD69FD">
        <w:rPr>
          <w:color w:val="auto"/>
          <w:sz w:val="28"/>
          <w:szCs w:val="28"/>
          <w:lang w:val="uk-UA"/>
        </w:rPr>
        <w:t xml:space="preserve">Змін </w:t>
      </w:r>
      <w:r w:rsidR="00966714" w:rsidRPr="00AD69FD">
        <w:rPr>
          <w:color w:val="auto"/>
          <w:sz w:val="28"/>
          <w:szCs w:val="28"/>
          <w:lang w:val="uk-UA"/>
        </w:rPr>
        <w:t>на веб-сайті Міністерства в мережі Інтернет.</w:t>
      </w:r>
    </w:p>
    <w:p w:rsidR="00966714" w:rsidRPr="008538F1" w:rsidRDefault="00966714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Pr="008538F1" w:rsidRDefault="0046707F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3</w:t>
      </w:r>
      <w:r w:rsidR="00375A34" w:rsidRPr="008538F1">
        <w:rPr>
          <w:color w:val="auto"/>
          <w:sz w:val="28"/>
          <w:szCs w:val="28"/>
          <w:lang w:val="uk-UA"/>
        </w:rPr>
        <w:t>.</w:t>
      </w:r>
      <w:r w:rsidR="00E42473" w:rsidRPr="008538F1">
        <w:rPr>
          <w:color w:val="auto"/>
          <w:sz w:val="28"/>
          <w:szCs w:val="28"/>
          <w:lang w:val="uk-UA"/>
        </w:rPr>
        <w:t> </w:t>
      </w:r>
      <w:r w:rsidR="00B651DE" w:rsidRPr="008538F1">
        <w:rPr>
          <w:color w:val="auto"/>
          <w:sz w:val="28"/>
          <w:szCs w:val="28"/>
          <w:lang w:val="uk-UA"/>
        </w:rPr>
        <w:t xml:space="preserve">Контроль за виконанням цього наказу покласти на першого заступника Міністра </w:t>
      </w:r>
      <w:r w:rsidR="00636A85" w:rsidRPr="008538F1">
        <w:rPr>
          <w:color w:val="auto"/>
          <w:sz w:val="28"/>
          <w:szCs w:val="28"/>
          <w:lang w:val="uk-UA"/>
        </w:rPr>
        <w:t>Уманського І</w:t>
      </w:r>
      <w:r w:rsidR="00B651DE" w:rsidRPr="008538F1">
        <w:rPr>
          <w:color w:val="auto"/>
          <w:sz w:val="28"/>
          <w:szCs w:val="28"/>
          <w:lang w:val="uk-UA"/>
        </w:rPr>
        <w:t>.</w:t>
      </w:r>
      <w:r w:rsidR="008C3B4A" w:rsidRPr="008538F1">
        <w:rPr>
          <w:color w:val="auto"/>
          <w:sz w:val="28"/>
          <w:szCs w:val="28"/>
          <w:lang w:val="uk-UA"/>
        </w:rPr>
        <w:t> </w:t>
      </w:r>
      <w:r w:rsidR="00B651DE" w:rsidRPr="008538F1">
        <w:rPr>
          <w:color w:val="auto"/>
          <w:sz w:val="28"/>
          <w:szCs w:val="28"/>
          <w:lang w:val="uk-UA"/>
        </w:rPr>
        <w:t>І.</w:t>
      </w:r>
    </w:p>
    <w:p w:rsidR="00B651DE" w:rsidRPr="008538F1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797A53" w:rsidRPr="002953C0" w:rsidRDefault="00797A53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CC76BD" w:rsidRPr="00CC76BD" w:rsidRDefault="00B93F21" w:rsidP="00CC76BD">
      <w:pPr>
        <w:outlineLvl w:val="0"/>
        <w:rPr>
          <w:sz w:val="26"/>
          <w:szCs w:val="26"/>
        </w:rPr>
        <w:sectPr w:rsidR="00CC76BD" w:rsidRPr="00CC76BD" w:rsidSect="00D91422">
          <w:pgSz w:w="11906" w:h="16838"/>
          <w:pgMar w:top="539" w:right="850" w:bottom="539" w:left="1701" w:header="720" w:footer="720" w:gutter="0"/>
          <w:cols w:space="708"/>
          <w:docGrid w:linePitch="360"/>
        </w:sectPr>
      </w:pPr>
      <w:r>
        <w:rPr>
          <w:b/>
          <w:color w:val="auto"/>
          <w:sz w:val="28"/>
          <w:szCs w:val="28"/>
          <w:lang w:val="uk-UA"/>
        </w:rPr>
        <w:t xml:space="preserve">В. о. </w:t>
      </w:r>
      <w:r w:rsidR="00B651DE" w:rsidRPr="002953C0">
        <w:rPr>
          <w:b/>
          <w:color w:val="auto"/>
          <w:sz w:val="28"/>
          <w:szCs w:val="28"/>
          <w:lang w:val="uk-UA"/>
        </w:rPr>
        <w:t>Міністр</w:t>
      </w:r>
      <w:r>
        <w:rPr>
          <w:b/>
          <w:color w:val="auto"/>
          <w:sz w:val="28"/>
          <w:szCs w:val="28"/>
          <w:lang w:val="uk-UA"/>
        </w:rPr>
        <w:t>а</w:t>
      </w:r>
      <w:r w:rsidR="00B651DE" w:rsidRPr="002953C0">
        <w:rPr>
          <w:b/>
          <w:color w:val="auto"/>
          <w:sz w:val="28"/>
          <w:szCs w:val="28"/>
          <w:lang w:val="uk-UA"/>
        </w:rPr>
        <w:t xml:space="preserve">                                                   </w:t>
      </w:r>
      <w:r w:rsidR="00117A07">
        <w:rPr>
          <w:b/>
          <w:color w:val="auto"/>
          <w:sz w:val="28"/>
          <w:szCs w:val="28"/>
          <w:lang w:val="uk-UA"/>
        </w:rPr>
        <w:t xml:space="preserve">  </w:t>
      </w:r>
      <w:r w:rsidR="00B651DE" w:rsidRPr="002953C0">
        <w:rPr>
          <w:b/>
          <w:color w:val="auto"/>
          <w:sz w:val="28"/>
          <w:szCs w:val="28"/>
          <w:lang w:val="uk-UA"/>
        </w:rPr>
        <w:t xml:space="preserve">      </w:t>
      </w:r>
      <w:r w:rsidR="00E74712">
        <w:rPr>
          <w:b/>
          <w:color w:val="auto"/>
          <w:sz w:val="28"/>
          <w:szCs w:val="28"/>
          <w:lang w:val="uk-UA"/>
        </w:rPr>
        <w:t xml:space="preserve">           </w:t>
      </w:r>
      <w:r w:rsidR="00B651DE" w:rsidRPr="002953C0">
        <w:rPr>
          <w:b/>
          <w:color w:val="auto"/>
          <w:sz w:val="28"/>
          <w:szCs w:val="28"/>
          <w:lang w:val="uk-UA"/>
        </w:rPr>
        <w:t xml:space="preserve">       </w:t>
      </w:r>
      <w:r>
        <w:rPr>
          <w:b/>
          <w:color w:val="auto"/>
          <w:sz w:val="28"/>
          <w:szCs w:val="28"/>
          <w:lang w:val="uk-UA"/>
        </w:rPr>
        <w:t>І. УМАНСЬКИЙ</w:t>
      </w:r>
      <w:r w:rsidR="00CC76BD">
        <w:rPr>
          <w:sz w:val="26"/>
          <w:szCs w:val="26"/>
          <w:lang w:val="uk-UA"/>
        </w:rPr>
        <w:t xml:space="preserve"> </w:t>
      </w:r>
    </w:p>
    <w:p w:rsidR="00CC76BD" w:rsidRPr="001531E5" w:rsidRDefault="00CC76BD" w:rsidP="00CC76BD">
      <w:pPr>
        <w:jc w:val="center"/>
        <w:rPr>
          <w:b/>
          <w:sz w:val="26"/>
          <w:szCs w:val="26"/>
          <w:lang w:val="uk-UA"/>
        </w:rPr>
      </w:pPr>
      <w:bookmarkStart w:id="0" w:name="_GoBack"/>
      <w:r w:rsidRPr="001531E5">
        <w:rPr>
          <w:b/>
          <w:sz w:val="26"/>
          <w:szCs w:val="26"/>
          <w:lang w:val="uk-UA"/>
        </w:rPr>
        <w:lastRenderedPageBreak/>
        <w:t>Зміни до Плану-графіка здійснення заходів щодо відстеження результативності регуляторних актів,</w:t>
      </w:r>
    </w:p>
    <w:p w:rsidR="00CC76BD" w:rsidRPr="001531E5" w:rsidRDefault="00CC76BD" w:rsidP="00CC76BD">
      <w:pPr>
        <w:jc w:val="center"/>
        <w:rPr>
          <w:b/>
          <w:sz w:val="26"/>
          <w:szCs w:val="26"/>
          <w:lang w:val="uk-UA"/>
        </w:rPr>
      </w:pPr>
      <w:r w:rsidRPr="001531E5">
        <w:rPr>
          <w:b/>
          <w:sz w:val="26"/>
          <w:szCs w:val="26"/>
          <w:lang w:val="uk-UA"/>
        </w:rPr>
        <w:t>розроблених Міністерством фінансів України, у 2015 році</w:t>
      </w:r>
    </w:p>
    <w:p w:rsidR="00CC76BD" w:rsidRPr="001531E5" w:rsidRDefault="00CC76BD" w:rsidP="00CC76BD">
      <w:pPr>
        <w:rPr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 xml:space="preserve">        </w:t>
      </w:r>
    </w:p>
    <w:p w:rsidR="00CC76BD" w:rsidRPr="001531E5" w:rsidRDefault="00CC76BD" w:rsidP="00CC76BD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 xml:space="preserve">Доповнити позицію «Накази Міністерства фінансів України» новими  пунктами  </w:t>
      </w:r>
      <w:r>
        <w:rPr>
          <w:sz w:val="26"/>
          <w:szCs w:val="26"/>
          <w:lang w:val="uk-UA"/>
        </w:rPr>
        <w:t>31</w:t>
      </w:r>
      <w:r w:rsidRPr="001531E5">
        <w:rPr>
          <w:sz w:val="26"/>
          <w:szCs w:val="26"/>
          <w:lang w:val="uk-UA"/>
        </w:rPr>
        <w:t xml:space="preserve"> – 3</w:t>
      </w:r>
      <w:r>
        <w:rPr>
          <w:sz w:val="26"/>
          <w:szCs w:val="26"/>
          <w:lang w:val="uk-UA"/>
        </w:rPr>
        <w:t>5</w:t>
      </w:r>
      <w:r w:rsidRPr="001531E5">
        <w:rPr>
          <w:sz w:val="26"/>
          <w:szCs w:val="26"/>
          <w:lang w:val="uk-UA"/>
        </w:rPr>
        <w:t xml:space="preserve"> такого змісту:</w:t>
      </w:r>
    </w:p>
    <w:p w:rsidR="00CC76BD" w:rsidRPr="001531E5" w:rsidRDefault="00CC76BD" w:rsidP="00CC76BD">
      <w:pPr>
        <w:rPr>
          <w:sz w:val="26"/>
          <w:szCs w:val="26"/>
          <w:lang w:val="uk-UA"/>
        </w:rPr>
      </w:pPr>
    </w:p>
    <w:tbl>
      <w:tblPr>
        <w:tblW w:w="15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418"/>
        <w:gridCol w:w="3685"/>
        <w:gridCol w:w="1843"/>
        <w:gridCol w:w="2052"/>
      </w:tblGrid>
      <w:tr w:rsidR="00CC76BD" w:rsidRPr="001531E5" w:rsidTr="00D82344">
        <w:trPr>
          <w:tblHeader/>
        </w:trPr>
        <w:tc>
          <w:tcPr>
            <w:tcW w:w="567" w:type="dxa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№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237" w:type="dxa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Назва регуляторного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акта</w:t>
            </w:r>
          </w:p>
        </w:tc>
        <w:tc>
          <w:tcPr>
            <w:tcW w:w="1418" w:type="dxa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 xml:space="preserve">Вид 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b/>
                <w:sz w:val="26"/>
                <w:szCs w:val="26"/>
                <w:lang w:val="uk-UA"/>
              </w:rPr>
              <w:t>в</w:t>
            </w:r>
            <w:r w:rsidRPr="001531E5">
              <w:rPr>
                <w:b/>
                <w:sz w:val="26"/>
                <w:szCs w:val="26"/>
                <w:lang w:val="uk-UA"/>
              </w:rPr>
              <w:t>ідстеже</w:t>
            </w:r>
            <w:r>
              <w:rPr>
                <w:b/>
                <w:sz w:val="26"/>
                <w:szCs w:val="26"/>
                <w:lang w:val="uk-UA"/>
              </w:rPr>
              <w:t>-</w:t>
            </w:r>
            <w:proofErr w:type="spellEnd"/>
            <w:r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531E5">
              <w:rPr>
                <w:b/>
                <w:sz w:val="26"/>
                <w:szCs w:val="26"/>
                <w:lang w:val="uk-UA"/>
              </w:rPr>
              <w:t>ння</w:t>
            </w:r>
            <w:proofErr w:type="spellEnd"/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85" w:type="dxa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Структурний підрозділ        відповідальний за проведення відстеження</w:t>
            </w:r>
          </w:p>
        </w:tc>
        <w:tc>
          <w:tcPr>
            <w:tcW w:w="1843" w:type="dxa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Строк виконання заходів</w:t>
            </w:r>
          </w:p>
        </w:tc>
        <w:tc>
          <w:tcPr>
            <w:tcW w:w="2052" w:type="dxa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 xml:space="preserve">Вид даних, які </w:t>
            </w:r>
            <w:proofErr w:type="spellStart"/>
            <w:r w:rsidRPr="001531E5">
              <w:rPr>
                <w:b/>
                <w:sz w:val="26"/>
                <w:szCs w:val="26"/>
                <w:lang w:val="uk-UA"/>
              </w:rPr>
              <w:t>використову-</w:t>
            </w:r>
            <w:proofErr w:type="spellEnd"/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1531E5">
              <w:rPr>
                <w:b/>
                <w:sz w:val="26"/>
                <w:szCs w:val="26"/>
                <w:lang w:val="uk-UA"/>
              </w:rPr>
              <w:t>ються</w:t>
            </w:r>
            <w:proofErr w:type="spellEnd"/>
            <w:r w:rsidRPr="001531E5">
              <w:rPr>
                <w:b/>
                <w:sz w:val="26"/>
                <w:szCs w:val="26"/>
                <w:lang w:val="uk-UA"/>
              </w:rPr>
              <w:t xml:space="preserve"> для відстеження </w:t>
            </w:r>
          </w:p>
        </w:tc>
      </w:tr>
      <w:tr w:rsidR="00CC76BD" w:rsidRPr="001531E5" w:rsidTr="00D82344">
        <w:trPr>
          <w:tblHeader/>
        </w:trPr>
        <w:tc>
          <w:tcPr>
            <w:tcW w:w="567" w:type="dxa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31.</w:t>
            </w:r>
          </w:p>
        </w:tc>
        <w:tc>
          <w:tcPr>
            <w:tcW w:w="6237" w:type="dxa"/>
          </w:tcPr>
          <w:p w:rsidR="00CC76BD" w:rsidRPr="001531E5" w:rsidRDefault="00CC76BD" w:rsidP="00D82344">
            <w:pPr>
              <w:jc w:val="both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Наказ Міністерства фінансів України від  17</w:t>
            </w:r>
            <w:r>
              <w:rPr>
                <w:sz w:val="26"/>
                <w:szCs w:val="26"/>
                <w:lang w:val="uk-UA"/>
              </w:rPr>
              <w:t xml:space="preserve"> серпня </w:t>
            </w:r>
            <w:r w:rsidRPr="001531E5">
              <w:rPr>
                <w:sz w:val="26"/>
                <w:szCs w:val="26"/>
                <w:lang w:val="uk-UA"/>
              </w:rPr>
              <w:t>2015</w:t>
            </w:r>
            <w:r>
              <w:rPr>
                <w:sz w:val="26"/>
                <w:szCs w:val="26"/>
                <w:lang w:val="uk-UA"/>
              </w:rPr>
              <w:t xml:space="preserve"> року</w:t>
            </w:r>
            <w:r w:rsidRPr="001531E5">
              <w:rPr>
                <w:sz w:val="26"/>
                <w:szCs w:val="26"/>
                <w:lang w:val="uk-UA"/>
              </w:rPr>
              <w:t xml:space="preserve"> № 717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531E5">
              <w:rPr>
                <w:sz w:val="26"/>
                <w:szCs w:val="26"/>
                <w:lang w:val="uk-UA"/>
              </w:rPr>
              <w:t xml:space="preserve">«Про внесення змін до наказу Міністерства фінансів України від 28 листопада 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  <w:r w:rsidRPr="00875151">
              <w:rPr>
                <w:sz w:val="26"/>
                <w:szCs w:val="26"/>
                <w:lang w:val="uk-UA"/>
              </w:rPr>
              <w:t>20</w:t>
            </w:r>
            <w:r w:rsidRPr="001531E5">
              <w:rPr>
                <w:sz w:val="26"/>
                <w:szCs w:val="26"/>
                <w:lang w:val="uk-UA"/>
              </w:rPr>
              <w:t>12 року № 1231»</w:t>
            </w:r>
          </w:p>
          <w:p w:rsidR="00CC76BD" w:rsidRPr="00801621" w:rsidRDefault="00CC76BD" w:rsidP="00D8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685" w:type="dxa"/>
          </w:tcPr>
          <w:p w:rsidR="00CC76BD" w:rsidRPr="001531E5" w:rsidRDefault="00CC76BD" w:rsidP="00D82344">
            <w:pPr>
              <w:widowControl w:val="0"/>
              <w:jc w:val="center"/>
              <w:rPr>
                <w:sz w:val="26"/>
                <w:szCs w:val="26"/>
                <w:lang w:eastAsia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1843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 xml:space="preserve">Жовтень          </w:t>
            </w:r>
            <w:r w:rsidRPr="001531E5">
              <w:rPr>
                <w:sz w:val="26"/>
                <w:szCs w:val="26"/>
              </w:rPr>
              <w:t>2015 року</w:t>
            </w:r>
          </w:p>
        </w:tc>
        <w:tc>
          <w:tcPr>
            <w:tcW w:w="2052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Соціологічний метод</w:t>
            </w:r>
          </w:p>
        </w:tc>
      </w:tr>
      <w:tr w:rsidR="00CC76BD" w:rsidRPr="001531E5" w:rsidTr="00D82344">
        <w:trPr>
          <w:tblHeader/>
        </w:trPr>
        <w:tc>
          <w:tcPr>
            <w:tcW w:w="567" w:type="dxa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32.</w:t>
            </w:r>
          </w:p>
        </w:tc>
        <w:tc>
          <w:tcPr>
            <w:tcW w:w="6237" w:type="dxa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</w:t>
            </w:r>
            <w:r w:rsidRPr="001531E5">
              <w:rPr>
                <w:sz w:val="26"/>
                <w:szCs w:val="26"/>
                <w:lang w:val="uk-UA"/>
              </w:rPr>
              <w:t>аказ Міністерства фінансів України від 17</w:t>
            </w:r>
            <w:r>
              <w:rPr>
                <w:sz w:val="26"/>
                <w:szCs w:val="26"/>
                <w:lang w:val="uk-UA"/>
              </w:rPr>
              <w:t xml:space="preserve"> серпня </w:t>
            </w:r>
            <w:r w:rsidRPr="001531E5">
              <w:rPr>
                <w:sz w:val="26"/>
                <w:szCs w:val="26"/>
                <w:lang w:val="uk-UA"/>
              </w:rPr>
              <w:t>2015</w:t>
            </w:r>
            <w:r>
              <w:rPr>
                <w:sz w:val="26"/>
                <w:szCs w:val="26"/>
                <w:lang w:val="uk-UA"/>
              </w:rPr>
              <w:t xml:space="preserve"> року</w:t>
            </w:r>
            <w:r w:rsidRPr="001531E5">
              <w:rPr>
                <w:sz w:val="26"/>
                <w:szCs w:val="26"/>
                <w:lang w:val="uk-UA"/>
              </w:rPr>
              <w:t xml:space="preserve"> № 718 «Про визнання таким, що втратив чинність, наказу Міністерства доходів і зборів України від 19 липня 2013 року № 288» </w:t>
            </w:r>
          </w:p>
          <w:p w:rsidR="00CC76BD" w:rsidRPr="00801621" w:rsidRDefault="00CC76BD" w:rsidP="00D8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685" w:type="dxa"/>
          </w:tcPr>
          <w:p w:rsidR="00CC76BD" w:rsidRPr="001531E5" w:rsidRDefault="00CC76BD" w:rsidP="00D82344">
            <w:pPr>
              <w:widowControl w:val="0"/>
              <w:jc w:val="center"/>
              <w:rPr>
                <w:sz w:val="26"/>
                <w:szCs w:val="26"/>
                <w:lang w:eastAsia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1843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 xml:space="preserve">Жовтень          </w:t>
            </w:r>
            <w:r w:rsidRPr="001531E5">
              <w:rPr>
                <w:sz w:val="26"/>
                <w:szCs w:val="26"/>
              </w:rPr>
              <w:t>2015 року</w:t>
            </w:r>
          </w:p>
        </w:tc>
        <w:tc>
          <w:tcPr>
            <w:tcW w:w="2052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Соціологічний метод</w:t>
            </w:r>
          </w:p>
        </w:tc>
      </w:tr>
      <w:tr w:rsidR="00CC76BD" w:rsidRPr="001531E5" w:rsidTr="00D82344">
        <w:trPr>
          <w:tblHeader/>
        </w:trPr>
        <w:tc>
          <w:tcPr>
            <w:tcW w:w="567" w:type="dxa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33.</w:t>
            </w:r>
          </w:p>
        </w:tc>
        <w:tc>
          <w:tcPr>
            <w:tcW w:w="6237" w:type="dxa"/>
          </w:tcPr>
          <w:p w:rsidR="00CC76BD" w:rsidRDefault="00CC76BD" w:rsidP="00D82344">
            <w:pPr>
              <w:jc w:val="both"/>
              <w:rPr>
                <w:bCs/>
                <w:sz w:val="26"/>
                <w:szCs w:val="26"/>
                <w:lang w:val="uk-UA"/>
              </w:rPr>
            </w:pPr>
            <w:r w:rsidRPr="001531E5">
              <w:rPr>
                <w:bCs/>
                <w:sz w:val="26"/>
                <w:szCs w:val="26"/>
                <w:lang w:val="uk-UA"/>
              </w:rPr>
              <w:t>Наказ Міністерства фінансів України від 24</w:t>
            </w:r>
            <w:r>
              <w:rPr>
                <w:bCs/>
                <w:sz w:val="26"/>
                <w:szCs w:val="26"/>
                <w:lang w:val="uk-UA"/>
              </w:rPr>
              <w:t xml:space="preserve"> червня </w:t>
            </w:r>
            <w:r w:rsidRPr="001531E5">
              <w:rPr>
                <w:bCs/>
                <w:sz w:val="26"/>
                <w:szCs w:val="26"/>
                <w:lang w:val="uk-UA"/>
              </w:rPr>
              <w:t xml:space="preserve">2015 </w:t>
            </w:r>
            <w:r>
              <w:rPr>
                <w:bCs/>
                <w:sz w:val="26"/>
                <w:szCs w:val="26"/>
                <w:lang w:val="uk-UA"/>
              </w:rPr>
              <w:t xml:space="preserve">року </w:t>
            </w:r>
            <w:r w:rsidRPr="001531E5">
              <w:rPr>
                <w:bCs/>
                <w:sz w:val="26"/>
                <w:szCs w:val="26"/>
                <w:lang w:val="uk-UA"/>
              </w:rPr>
              <w:t>№ 593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1531E5">
              <w:rPr>
                <w:bCs/>
                <w:sz w:val="26"/>
                <w:szCs w:val="26"/>
                <w:lang w:val="uk-UA"/>
              </w:rPr>
              <w:t xml:space="preserve">«Про затвердження Тарифів на роботи, пов’язані з проведенням експертизи дорогоцінного та </w:t>
            </w:r>
            <w:proofErr w:type="spellStart"/>
            <w:r w:rsidRPr="001531E5">
              <w:rPr>
                <w:bCs/>
                <w:sz w:val="26"/>
                <w:szCs w:val="26"/>
                <w:lang w:val="uk-UA"/>
              </w:rPr>
              <w:t>напівдорогоцінного</w:t>
            </w:r>
            <w:proofErr w:type="spellEnd"/>
            <w:r w:rsidRPr="001531E5">
              <w:rPr>
                <w:bCs/>
                <w:sz w:val="26"/>
                <w:szCs w:val="26"/>
                <w:lang w:val="uk-UA"/>
              </w:rPr>
              <w:t xml:space="preserve"> каміння і підготовкою </w:t>
            </w:r>
            <w:proofErr w:type="spellStart"/>
            <w:r w:rsidRPr="001531E5">
              <w:rPr>
                <w:bCs/>
                <w:sz w:val="26"/>
                <w:szCs w:val="26"/>
                <w:lang w:val="uk-UA"/>
              </w:rPr>
              <w:t>експертів-гемологів</w:t>
            </w:r>
            <w:proofErr w:type="spellEnd"/>
            <w:r w:rsidRPr="001531E5">
              <w:rPr>
                <w:bCs/>
                <w:sz w:val="26"/>
                <w:szCs w:val="26"/>
                <w:lang w:val="uk-UA"/>
              </w:rPr>
              <w:t xml:space="preserve">, та визнання таким, що втратив чинність, наказу Міністерства фінансів України    від 10 січня 1999 року № 9» </w:t>
            </w:r>
          </w:p>
          <w:p w:rsidR="00CC76BD" w:rsidRPr="00801621" w:rsidRDefault="00CC76BD" w:rsidP="00D8234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685" w:type="dxa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Управління державної політики у сфері пробірного нагляду та документів суворої звітності</w:t>
            </w:r>
          </w:p>
        </w:tc>
        <w:tc>
          <w:tcPr>
            <w:tcW w:w="1843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 xml:space="preserve">Жовтень - листопад         </w:t>
            </w:r>
            <w:r w:rsidRPr="001531E5">
              <w:rPr>
                <w:sz w:val="26"/>
                <w:szCs w:val="26"/>
              </w:rPr>
              <w:t>2015 року</w:t>
            </w:r>
          </w:p>
        </w:tc>
        <w:tc>
          <w:tcPr>
            <w:tcW w:w="2052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CC76BD" w:rsidRPr="001531E5" w:rsidTr="00D82344">
        <w:trPr>
          <w:tblHeader/>
        </w:trPr>
        <w:tc>
          <w:tcPr>
            <w:tcW w:w="567" w:type="dxa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4</w:t>
            </w:r>
            <w:r w:rsidRPr="001531E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237" w:type="dxa"/>
          </w:tcPr>
          <w:p w:rsidR="00CC76BD" w:rsidRDefault="00CC76BD" w:rsidP="00D82344">
            <w:pPr>
              <w:jc w:val="both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</w:rPr>
              <w:t xml:space="preserve">Наказ </w:t>
            </w:r>
            <w:proofErr w:type="spellStart"/>
            <w:r w:rsidRPr="001531E5">
              <w:rPr>
                <w:sz w:val="26"/>
                <w:szCs w:val="26"/>
              </w:rPr>
              <w:t>Міністерства</w:t>
            </w:r>
            <w:proofErr w:type="spellEnd"/>
            <w:r w:rsidRPr="001531E5">
              <w:rPr>
                <w:sz w:val="26"/>
                <w:szCs w:val="26"/>
              </w:rPr>
              <w:t xml:space="preserve"> фінансів України </w:t>
            </w:r>
            <w:proofErr w:type="spellStart"/>
            <w:r w:rsidRPr="001531E5">
              <w:rPr>
                <w:sz w:val="26"/>
                <w:szCs w:val="26"/>
              </w:rPr>
              <w:t>від</w:t>
            </w:r>
            <w:proofErr w:type="spellEnd"/>
            <w:r w:rsidRPr="001531E5">
              <w:rPr>
                <w:sz w:val="26"/>
                <w:szCs w:val="26"/>
              </w:rPr>
              <w:t xml:space="preserve"> 19</w:t>
            </w:r>
            <w:r>
              <w:rPr>
                <w:sz w:val="26"/>
                <w:szCs w:val="26"/>
                <w:lang w:val="uk-UA"/>
              </w:rPr>
              <w:t xml:space="preserve"> червня </w:t>
            </w:r>
            <w:r w:rsidRPr="001531E5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  <w:lang w:val="uk-UA"/>
              </w:rPr>
              <w:t xml:space="preserve"> року</w:t>
            </w:r>
            <w:r w:rsidRPr="001531E5">
              <w:rPr>
                <w:sz w:val="26"/>
                <w:szCs w:val="26"/>
              </w:rPr>
              <w:t xml:space="preserve"> №578 «Про </w:t>
            </w:r>
            <w:proofErr w:type="spellStart"/>
            <w:r w:rsidRPr="001531E5">
              <w:rPr>
                <w:sz w:val="26"/>
                <w:szCs w:val="26"/>
              </w:rPr>
              <w:t>затвердження</w:t>
            </w:r>
            <w:proofErr w:type="spellEnd"/>
            <w:r w:rsidRPr="001531E5">
              <w:rPr>
                <w:sz w:val="26"/>
                <w:szCs w:val="26"/>
              </w:rPr>
              <w:t xml:space="preserve"> форм </w:t>
            </w:r>
            <w:proofErr w:type="spellStart"/>
            <w:r w:rsidRPr="001531E5">
              <w:rPr>
                <w:sz w:val="26"/>
                <w:szCs w:val="26"/>
              </w:rPr>
              <w:t>податкових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декларацій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платника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єдиного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податку</w:t>
            </w:r>
            <w:proofErr w:type="spellEnd"/>
            <w:r w:rsidRPr="001531E5">
              <w:rPr>
                <w:sz w:val="26"/>
                <w:szCs w:val="26"/>
              </w:rPr>
              <w:t>»</w:t>
            </w:r>
          </w:p>
          <w:p w:rsidR="00CC76BD" w:rsidRPr="00801621" w:rsidRDefault="00CC76BD" w:rsidP="00D8234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685" w:type="dxa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1843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052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CC76BD" w:rsidRPr="001531E5" w:rsidTr="00D82344">
        <w:trPr>
          <w:tblHeader/>
        </w:trPr>
        <w:tc>
          <w:tcPr>
            <w:tcW w:w="567" w:type="dxa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lastRenderedPageBreak/>
              <w:t>3</w:t>
            </w:r>
            <w:r>
              <w:rPr>
                <w:sz w:val="26"/>
                <w:szCs w:val="26"/>
                <w:lang w:val="uk-UA"/>
              </w:rPr>
              <w:t>5</w:t>
            </w:r>
            <w:r w:rsidRPr="001531E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237" w:type="dxa"/>
          </w:tcPr>
          <w:p w:rsidR="00CC76BD" w:rsidRPr="001531E5" w:rsidRDefault="00CC76BD" w:rsidP="00D82344">
            <w:pPr>
              <w:jc w:val="both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Наказ Міністерства фінансів України від 19</w:t>
            </w:r>
            <w:r>
              <w:rPr>
                <w:sz w:val="26"/>
                <w:szCs w:val="26"/>
                <w:lang w:val="uk-UA"/>
              </w:rPr>
              <w:t xml:space="preserve"> червня </w:t>
            </w:r>
            <w:r w:rsidRPr="001531E5">
              <w:rPr>
                <w:sz w:val="26"/>
                <w:szCs w:val="26"/>
                <w:lang w:val="uk-UA"/>
              </w:rPr>
              <w:t>2015</w:t>
            </w:r>
            <w:r>
              <w:rPr>
                <w:sz w:val="26"/>
                <w:szCs w:val="26"/>
                <w:lang w:val="uk-UA"/>
              </w:rPr>
              <w:t xml:space="preserve"> року</w:t>
            </w:r>
            <w:r w:rsidRPr="001531E5">
              <w:rPr>
                <w:sz w:val="26"/>
                <w:szCs w:val="26"/>
                <w:lang w:val="uk-UA"/>
              </w:rPr>
              <w:t xml:space="preserve"> №</w:t>
            </w:r>
            <w:r>
              <w:rPr>
                <w:sz w:val="26"/>
                <w:szCs w:val="26"/>
                <w:lang w:val="uk-UA"/>
              </w:rPr>
              <w:t> </w:t>
            </w:r>
            <w:r w:rsidRPr="001531E5">
              <w:rPr>
                <w:sz w:val="26"/>
                <w:szCs w:val="26"/>
                <w:lang w:val="uk-UA"/>
              </w:rPr>
              <w:t>579 «Про затвердження форм книги обліку доходів і книги обліку доходів і витрат та порядків їх ведення»</w:t>
            </w:r>
          </w:p>
        </w:tc>
        <w:tc>
          <w:tcPr>
            <w:tcW w:w="1418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Базове</w:t>
            </w:r>
          </w:p>
        </w:tc>
        <w:tc>
          <w:tcPr>
            <w:tcW w:w="3685" w:type="dxa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</w:tc>
        <w:tc>
          <w:tcPr>
            <w:tcW w:w="1843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052" w:type="dxa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C76BD" w:rsidRPr="001531E5" w:rsidRDefault="00CC76BD" w:rsidP="00CC76BD">
      <w:pPr>
        <w:rPr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 xml:space="preserve">   </w:t>
      </w:r>
      <w:r w:rsidRPr="001531E5">
        <w:rPr>
          <w:sz w:val="26"/>
          <w:szCs w:val="26"/>
          <w:lang w:val="uk-UA"/>
        </w:rPr>
        <w:tab/>
      </w:r>
    </w:p>
    <w:p w:rsidR="00CC76BD" w:rsidRPr="001531E5" w:rsidRDefault="00CC76BD" w:rsidP="00CC76BD">
      <w:pPr>
        <w:numPr>
          <w:ilvl w:val="0"/>
          <w:numId w:val="1"/>
        </w:numPr>
        <w:rPr>
          <w:b/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>Доповнити позицію «Проекти регуляторних актів» новими пунктами  12 – 17 такого змісту: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127"/>
        <w:gridCol w:w="1663"/>
        <w:gridCol w:w="3319"/>
        <w:gridCol w:w="1953"/>
        <w:gridCol w:w="2185"/>
      </w:tblGrid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№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127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Назва регуляторного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акта</w:t>
            </w: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 xml:space="preserve">Вид 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відстеження</w:t>
            </w:r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Структурний підрозділ        відповідальний за проведення відстеження</w:t>
            </w: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>Строк виконання заходів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b/>
                <w:sz w:val="26"/>
                <w:szCs w:val="26"/>
                <w:lang w:val="uk-UA"/>
              </w:rPr>
              <w:t xml:space="preserve">Вид даних, які </w:t>
            </w:r>
            <w:proofErr w:type="spellStart"/>
            <w:r w:rsidRPr="001531E5">
              <w:rPr>
                <w:b/>
                <w:sz w:val="26"/>
                <w:szCs w:val="26"/>
                <w:lang w:val="uk-UA"/>
              </w:rPr>
              <w:t>використову-</w:t>
            </w:r>
            <w:proofErr w:type="spellEnd"/>
          </w:p>
          <w:p w:rsidR="00CC76BD" w:rsidRPr="001531E5" w:rsidRDefault="00CC76BD" w:rsidP="00D82344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1531E5">
              <w:rPr>
                <w:b/>
                <w:sz w:val="26"/>
                <w:szCs w:val="26"/>
                <w:lang w:val="uk-UA"/>
              </w:rPr>
              <w:t>ються</w:t>
            </w:r>
            <w:proofErr w:type="spellEnd"/>
            <w:r w:rsidRPr="001531E5">
              <w:rPr>
                <w:b/>
                <w:sz w:val="26"/>
                <w:szCs w:val="26"/>
                <w:lang w:val="uk-UA"/>
              </w:rPr>
              <w:t xml:space="preserve"> для відстеження </w:t>
            </w:r>
          </w:p>
        </w:tc>
      </w:tr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ind w:right="-109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6127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</w:rPr>
              <w:t xml:space="preserve">Проект наказу </w:t>
            </w:r>
            <w:proofErr w:type="spellStart"/>
            <w:r w:rsidRPr="001531E5">
              <w:rPr>
                <w:sz w:val="26"/>
                <w:szCs w:val="26"/>
              </w:rPr>
              <w:t>Міністерства</w:t>
            </w:r>
            <w:proofErr w:type="spellEnd"/>
            <w:r w:rsidRPr="001531E5">
              <w:rPr>
                <w:sz w:val="26"/>
                <w:szCs w:val="26"/>
              </w:rPr>
              <w:t xml:space="preserve"> фінансів України «Про </w:t>
            </w:r>
            <w:proofErr w:type="spellStart"/>
            <w:r w:rsidRPr="001531E5">
              <w:rPr>
                <w:sz w:val="26"/>
                <w:szCs w:val="26"/>
              </w:rPr>
              <w:t>внесення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змін</w:t>
            </w:r>
            <w:proofErr w:type="spellEnd"/>
            <w:r w:rsidRPr="001531E5">
              <w:rPr>
                <w:sz w:val="26"/>
                <w:szCs w:val="26"/>
              </w:rPr>
              <w:t xml:space="preserve"> і </w:t>
            </w:r>
            <w:proofErr w:type="spellStart"/>
            <w:r w:rsidRPr="001531E5">
              <w:rPr>
                <w:sz w:val="26"/>
                <w:szCs w:val="26"/>
              </w:rPr>
              <w:t>доповнень</w:t>
            </w:r>
            <w:proofErr w:type="spellEnd"/>
            <w:r w:rsidRPr="001531E5">
              <w:rPr>
                <w:sz w:val="26"/>
                <w:szCs w:val="26"/>
              </w:rPr>
              <w:t xml:space="preserve"> до </w:t>
            </w:r>
            <w:proofErr w:type="spellStart"/>
            <w:r w:rsidRPr="001531E5">
              <w:rPr>
                <w:sz w:val="26"/>
                <w:szCs w:val="26"/>
              </w:rPr>
              <w:t>Інструкції</w:t>
            </w:r>
            <w:proofErr w:type="spellEnd"/>
            <w:r w:rsidRPr="001531E5">
              <w:rPr>
                <w:sz w:val="26"/>
                <w:szCs w:val="26"/>
              </w:rPr>
              <w:t xml:space="preserve"> про порядок </w:t>
            </w:r>
            <w:proofErr w:type="spellStart"/>
            <w:r w:rsidRPr="001531E5">
              <w:rPr>
                <w:sz w:val="26"/>
                <w:szCs w:val="26"/>
              </w:rPr>
              <w:t>обчислення</w:t>
            </w:r>
            <w:proofErr w:type="spellEnd"/>
            <w:r w:rsidRPr="001531E5">
              <w:rPr>
                <w:sz w:val="26"/>
                <w:szCs w:val="26"/>
              </w:rPr>
              <w:t xml:space="preserve"> та </w:t>
            </w:r>
            <w:proofErr w:type="spellStart"/>
            <w:r w:rsidRPr="001531E5">
              <w:rPr>
                <w:sz w:val="26"/>
                <w:szCs w:val="26"/>
              </w:rPr>
              <w:t>справляння</w:t>
            </w:r>
            <w:proofErr w:type="spellEnd"/>
            <w:r w:rsidRPr="001531E5">
              <w:rPr>
                <w:sz w:val="26"/>
                <w:szCs w:val="26"/>
              </w:rPr>
              <w:t xml:space="preserve"> державного </w:t>
            </w:r>
            <w:proofErr w:type="spellStart"/>
            <w:r w:rsidRPr="001531E5">
              <w:rPr>
                <w:sz w:val="26"/>
                <w:szCs w:val="26"/>
              </w:rPr>
              <w:t>мита</w:t>
            </w:r>
            <w:proofErr w:type="spellEnd"/>
            <w:r w:rsidRPr="001531E5">
              <w:rPr>
                <w:sz w:val="26"/>
                <w:szCs w:val="26"/>
              </w:rPr>
              <w:t>»</w:t>
            </w: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ind w:right="-109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6127" w:type="dxa"/>
            <w:shd w:val="clear" w:color="auto" w:fill="auto"/>
          </w:tcPr>
          <w:p w:rsidR="00CC76BD" w:rsidRDefault="00CC76BD" w:rsidP="00D82344">
            <w:pPr>
              <w:jc w:val="both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Проект наказу Міністерства фінансів України «Про затвердження Положення про форму та зміст розрахункових документів, Порядку подання звітності, пов’язаної із використанням книг обліку розрахункових операцій (розрахункових книжок), форми №ЗВР-1 Звіту про використання книг обліку розрахункових операцій (розрахункових книжок)»</w:t>
            </w:r>
          </w:p>
          <w:p w:rsidR="00CC76BD" w:rsidRPr="00CA53B7" w:rsidRDefault="00CC76BD" w:rsidP="00D8234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6127" w:type="dxa"/>
            <w:shd w:val="clear" w:color="auto" w:fill="auto"/>
          </w:tcPr>
          <w:p w:rsidR="00CC76BD" w:rsidRPr="001531E5" w:rsidRDefault="00CC76BD" w:rsidP="00D82344">
            <w:pPr>
              <w:jc w:val="both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Проект постанови Кабінету Міністрів України «Про затвердження Порядку здійснення органами доходів і зборів контролю за досягненням платниками єдиного податку другої і третьої груп (фізичними особами – підприємцями) обсягу доходу відповідно до пункту 296.10 статті 296 Податкового кодексу України»</w:t>
            </w: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6127" w:type="dxa"/>
            <w:shd w:val="clear" w:color="auto" w:fill="auto"/>
          </w:tcPr>
          <w:p w:rsidR="00CC76BD" w:rsidRPr="001531E5" w:rsidRDefault="00CC76BD" w:rsidP="00D82344">
            <w:pPr>
              <w:jc w:val="both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</w:rPr>
              <w:t xml:space="preserve">Проект постанови </w:t>
            </w:r>
            <w:proofErr w:type="spellStart"/>
            <w:r w:rsidRPr="001531E5">
              <w:rPr>
                <w:sz w:val="26"/>
                <w:szCs w:val="26"/>
              </w:rPr>
              <w:t>Кабінету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Міні</w:t>
            </w:r>
            <w:proofErr w:type="gramStart"/>
            <w:r w:rsidRPr="001531E5">
              <w:rPr>
                <w:sz w:val="26"/>
                <w:szCs w:val="26"/>
              </w:rPr>
              <w:t>стр</w:t>
            </w:r>
            <w:proofErr w:type="gramEnd"/>
            <w:r w:rsidRPr="001531E5">
              <w:rPr>
                <w:sz w:val="26"/>
                <w:szCs w:val="26"/>
              </w:rPr>
              <w:t>ів</w:t>
            </w:r>
            <w:proofErr w:type="spellEnd"/>
            <w:r w:rsidRPr="001531E5">
              <w:rPr>
                <w:sz w:val="26"/>
                <w:szCs w:val="26"/>
              </w:rPr>
              <w:t xml:space="preserve"> України «Про </w:t>
            </w:r>
            <w:proofErr w:type="spellStart"/>
            <w:r w:rsidRPr="001531E5">
              <w:rPr>
                <w:sz w:val="26"/>
                <w:szCs w:val="26"/>
              </w:rPr>
              <w:lastRenderedPageBreak/>
              <w:t>внесення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змін</w:t>
            </w:r>
            <w:proofErr w:type="spellEnd"/>
            <w:r w:rsidRPr="001531E5">
              <w:rPr>
                <w:sz w:val="26"/>
                <w:szCs w:val="26"/>
              </w:rPr>
              <w:t xml:space="preserve"> до Порядку </w:t>
            </w:r>
            <w:proofErr w:type="spellStart"/>
            <w:r w:rsidRPr="001531E5">
              <w:rPr>
                <w:sz w:val="26"/>
                <w:szCs w:val="26"/>
              </w:rPr>
              <w:t>технічного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обслуговування</w:t>
            </w:r>
            <w:proofErr w:type="spellEnd"/>
            <w:r w:rsidRPr="001531E5">
              <w:rPr>
                <w:sz w:val="26"/>
                <w:szCs w:val="26"/>
              </w:rPr>
              <w:t xml:space="preserve"> та ремонту </w:t>
            </w:r>
            <w:proofErr w:type="spellStart"/>
            <w:r w:rsidRPr="001531E5">
              <w:rPr>
                <w:sz w:val="26"/>
                <w:szCs w:val="26"/>
              </w:rPr>
              <w:t>реєстраторів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розрахункових</w:t>
            </w:r>
            <w:proofErr w:type="spellEnd"/>
            <w:r w:rsidRPr="001531E5">
              <w:rPr>
                <w:sz w:val="26"/>
                <w:szCs w:val="26"/>
              </w:rPr>
              <w:t xml:space="preserve"> </w:t>
            </w:r>
            <w:proofErr w:type="spellStart"/>
            <w:r w:rsidRPr="001531E5">
              <w:rPr>
                <w:sz w:val="26"/>
                <w:szCs w:val="26"/>
              </w:rPr>
              <w:t>операцій</w:t>
            </w:r>
            <w:proofErr w:type="spellEnd"/>
            <w:r w:rsidRPr="001531E5">
              <w:rPr>
                <w:sz w:val="26"/>
                <w:szCs w:val="26"/>
              </w:rPr>
              <w:t>»</w:t>
            </w: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lastRenderedPageBreak/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 xml:space="preserve">Департамент податкової, </w:t>
            </w:r>
            <w:r w:rsidRPr="001531E5">
              <w:rPr>
                <w:sz w:val="26"/>
                <w:szCs w:val="26"/>
                <w:lang w:val="uk-UA"/>
              </w:rPr>
              <w:lastRenderedPageBreak/>
              <w:t>митної політики та методології бухгалтерського обліку</w:t>
            </w: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lastRenderedPageBreak/>
              <w:t>Грудень</w:t>
            </w:r>
          </w:p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lastRenderedPageBreak/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lastRenderedPageBreak/>
              <w:t xml:space="preserve">Опитування </w:t>
            </w:r>
            <w:r w:rsidRPr="001531E5">
              <w:rPr>
                <w:sz w:val="26"/>
                <w:szCs w:val="26"/>
                <w:lang w:val="uk-UA"/>
              </w:rPr>
              <w:lastRenderedPageBreak/>
              <w:t>суб'єктів господарювання</w:t>
            </w:r>
          </w:p>
        </w:tc>
      </w:tr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lastRenderedPageBreak/>
              <w:t>16.</w:t>
            </w:r>
          </w:p>
        </w:tc>
        <w:tc>
          <w:tcPr>
            <w:tcW w:w="6127" w:type="dxa"/>
            <w:shd w:val="clear" w:color="auto" w:fill="auto"/>
          </w:tcPr>
          <w:p w:rsidR="00CC76BD" w:rsidRDefault="00CC76BD" w:rsidP="00D82344">
            <w:pPr>
              <w:jc w:val="both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Проект постанови Кабінету Міністрів України «Про затвердження Вимог щодо реалізації фіскальних функцій реєстраторів розрахункових операцій, що застосовуються для обліку операцій з приймання та переказу готівкових коштів через програмно-технічні комплекси самообслуговування та Вимог щодо реалізації фіскальних функцій реєстраторами розрахункових операцій, що застосовуються для обліку та реєстрації операцій з купівлі-продажу іноземної валюти»</w:t>
            </w:r>
          </w:p>
          <w:p w:rsidR="00CC76BD" w:rsidRPr="00CA53B7" w:rsidRDefault="00CC76BD" w:rsidP="00D8234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CC76BD" w:rsidRPr="001531E5" w:rsidTr="00D82344">
        <w:tc>
          <w:tcPr>
            <w:tcW w:w="565" w:type="dxa"/>
            <w:shd w:val="clear" w:color="auto" w:fill="auto"/>
          </w:tcPr>
          <w:p w:rsidR="00CC76BD" w:rsidRPr="001531E5" w:rsidRDefault="00CC76BD" w:rsidP="00D82344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17.</w:t>
            </w:r>
          </w:p>
        </w:tc>
        <w:tc>
          <w:tcPr>
            <w:tcW w:w="6127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Проект наказу Міністерства фінансів України та Міністерства енергетики та вугільної промисловості України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1531E5">
              <w:rPr>
                <w:sz w:val="26"/>
                <w:szCs w:val="26"/>
                <w:lang w:val="uk-UA"/>
              </w:rPr>
              <w:t xml:space="preserve"> «Про визнання таким, що втратив чинність, наказу Державної податкової адміністрації України та Міністерства палива та енергетики України </w:t>
            </w: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1531E5">
              <w:rPr>
                <w:sz w:val="26"/>
                <w:szCs w:val="26"/>
                <w:lang w:val="uk-UA"/>
              </w:rPr>
              <w:t>від 09 листопада 2006 року №673/435</w:t>
            </w:r>
            <w:r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663" w:type="dxa"/>
            <w:shd w:val="clear" w:color="auto" w:fill="auto"/>
          </w:tcPr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Департамент податкової, митної політики та методології бухгалтерського обліку</w:t>
            </w:r>
          </w:p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3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CC76BD" w:rsidRPr="001531E5" w:rsidRDefault="00CC76BD" w:rsidP="00D823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CC76BD" w:rsidRPr="001531E5" w:rsidRDefault="00CC76BD" w:rsidP="00D82344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</w:tbl>
    <w:p w:rsidR="00CC76BD" w:rsidRPr="001531E5" w:rsidRDefault="00CC76BD" w:rsidP="00CC76BD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CC76BD" w:rsidRPr="001531E5" w:rsidRDefault="00CC76BD" w:rsidP="00CC76BD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CC76BD" w:rsidRPr="001531E5" w:rsidRDefault="00CC76BD" w:rsidP="00CC76BD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CC76BD" w:rsidRPr="001531E5" w:rsidRDefault="00CC76BD" w:rsidP="00CC76BD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CC76BD" w:rsidRPr="001531E5" w:rsidRDefault="00CC76BD" w:rsidP="00CC76BD">
      <w:pPr>
        <w:tabs>
          <w:tab w:val="left" w:pos="1872"/>
        </w:tabs>
        <w:rPr>
          <w:b/>
          <w:sz w:val="26"/>
          <w:szCs w:val="26"/>
          <w:lang w:val="uk-UA"/>
        </w:rPr>
      </w:pPr>
      <w:r w:rsidRPr="00875151">
        <w:rPr>
          <w:b/>
          <w:sz w:val="26"/>
          <w:szCs w:val="26"/>
          <w:lang w:val="uk-UA"/>
        </w:rPr>
        <w:t>В. о. директора</w:t>
      </w:r>
      <w:r w:rsidRPr="001531E5">
        <w:rPr>
          <w:b/>
          <w:sz w:val="26"/>
          <w:szCs w:val="26"/>
          <w:lang w:val="uk-UA"/>
        </w:rPr>
        <w:t xml:space="preserve"> Департаменту фінансів</w:t>
      </w:r>
    </w:p>
    <w:p w:rsidR="00CC76BD" w:rsidRPr="00723446" w:rsidRDefault="00CC76BD" w:rsidP="00CC76BD">
      <w:pPr>
        <w:rPr>
          <w:sz w:val="26"/>
          <w:szCs w:val="26"/>
          <w:lang w:val="uk-UA"/>
        </w:rPr>
      </w:pPr>
      <w:r w:rsidRPr="001531E5">
        <w:rPr>
          <w:b/>
          <w:sz w:val="26"/>
          <w:szCs w:val="26"/>
          <w:lang w:val="uk-UA"/>
        </w:rPr>
        <w:t xml:space="preserve">виробничої сфери та майнових відносин                                 </w:t>
      </w:r>
      <w:r w:rsidRPr="001531E5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                     </w:t>
      </w:r>
      <w:r w:rsidRPr="001531E5">
        <w:rPr>
          <w:b/>
          <w:sz w:val="26"/>
          <w:szCs w:val="26"/>
          <w:lang w:val="uk-UA"/>
        </w:rPr>
        <w:tab/>
        <w:t xml:space="preserve">                       </w:t>
      </w:r>
      <w:r w:rsidRPr="001531E5">
        <w:rPr>
          <w:b/>
          <w:sz w:val="26"/>
          <w:szCs w:val="26"/>
          <w:lang w:val="uk-UA"/>
        </w:rPr>
        <w:tab/>
      </w:r>
      <w:r w:rsidRPr="001531E5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   </w:t>
      </w:r>
      <w:r w:rsidRPr="00875151">
        <w:rPr>
          <w:b/>
          <w:sz w:val="28"/>
          <w:szCs w:val="28"/>
          <w:lang w:val="uk-UA"/>
        </w:rPr>
        <w:t>А. В.</w:t>
      </w:r>
      <w:r w:rsidRPr="007D5417">
        <w:rPr>
          <w:b/>
          <w:sz w:val="28"/>
          <w:szCs w:val="28"/>
          <w:lang w:val="uk-UA"/>
        </w:rPr>
        <w:t xml:space="preserve"> Павловський</w:t>
      </w:r>
    </w:p>
    <w:bookmarkEnd w:id="0"/>
    <w:p w:rsidR="00CC76BD" w:rsidRDefault="00CC76BD" w:rsidP="00CC76BD">
      <w:pPr>
        <w:rPr>
          <w:b/>
          <w:sz w:val="26"/>
          <w:szCs w:val="26"/>
          <w:lang w:val="uk-UA"/>
        </w:rPr>
        <w:sectPr w:rsidR="00CC76BD" w:rsidSect="00CC76BD">
          <w:pgSz w:w="16838" w:h="11906" w:orient="landscape"/>
          <w:pgMar w:top="851" w:right="539" w:bottom="1701" w:left="539" w:header="720" w:footer="720" w:gutter="0"/>
          <w:cols w:space="708"/>
          <w:docGrid w:linePitch="360"/>
        </w:sectPr>
      </w:pPr>
    </w:p>
    <w:p w:rsidR="00CC76BD" w:rsidRPr="001531E5" w:rsidRDefault="00CC76BD" w:rsidP="00CC76BD">
      <w:pPr>
        <w:rPr>
          <w:b/>
          <w:sz w:val="26"/>
          <w:szCs w:val="26"/>
          <w:lang w:val="uk-UA"/>
        </w:rPr>
      </w:pPr>
      <w:r w:rsidRPr="001531E5">
        <w:rPr>
          <w:b/>
          <w:sz w:val="26"/>
          <w:szCs w:val="26"/>
          <w:lang w:val="uk-UA"/>
        </w:rPr>
        <w:lastRenderedPageBreak/>
        <w:t xml:space="preserve">                    </w:t>
      </w:r>
      <w:r w:rsidRPr="001531E5">
        <w:rPr>
          <w:b/>
          <w:sz w:val="26"/>
          <w:szCs w:val="26"/>
          <w:lang w:val="uk-UA"/>
        </w:rPr>
        <w:tab/>
        <w:t xml:space="preserve">     </w:t>
      </w:r>
    </w:p>
    <w:p w:rsidR="001B3B16" w:rsidRDefault="00B93F21" w:rsidP="00B93F21">
      <w:pPr>
        <w:outlineLvl w:val="0"/>
        <w:rPr>
          <w:b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 </w:t>
      </w:r>
      <w:r w:rsidR="00B651DE">
        <w:rPr>
          <w:b/>
          <w:lang w:val="uk-UA"/>
        </w:rPr>
        <w:t xml:space="preserve"> </w:t>
      </w: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1B3B16" w:rsidP="001B3B16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DE4BD0" w:rsidRDefault="00DE4BD0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8F39BB" w:rsidRDefault="008F39BB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4D4DF3" w:rsidRDefault="004D4DF3" w:rsidP="00655CF9">
      <w:pPr>
        <w:ind w:right="-143"/>
        <w:rPr>
          <w:color w:val="auto"/>
          <w:sz w:val="28"/>
          <w:szCs w:val="28"/>
          <w:lang w:val="uk-UA"/>
        </w:rPr>
      </w:pPr>
    </w:p>
    <w:sectPr w:rsidR="004D4DF3" w:rsidSect="00D91422">
      <w:pgSz w:w="11906" w:h="16838"/>
      <w:pgMar w:top="539" w:right="850" w:bottom="53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3CB"/>
    <w:multiLevelType w:val="hybridMultilevel"/>
    <w:tmpl w:val="1CB6B534"/>
    <w:lvl w:ilvl="0" w:tplc="2D1006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73312"/>
    <w:rsid w:val="00020D3B"/>
    <w:rsid w:val="00045B75"/>
    <w:rsid w:val="00062AAA"/>
    <w:rsid w:val="000670CE"/>
    <w:rsid w:val="00073312"/>
    <w:rsid w:val="0008126E"/>
    <w:rsid w:val="00084BA4"/>
    <w:rsid w:val="00085CA7"/>
    <w:rsid w:val="00086C73"/>
    <w:rsid w:val="000C7285"/>
    <w:rsid w:val="000C7FEB"/>
    <w:rsid w:val="000E27A4"/>
    <w:rsid w:val="000E3B1A"/>
    <w:rsid w:val="000E6D90"/>
    <w:rsid w:val="000F2382"/>
    <w:rsid w:val="000F4332"/>
    <w:rsid w:val="00100756"/>
    <w:rsid w:val="00117A07"/>
    <w:rsid w:val="00137F8F"/>
    <w:rsid w:val="00140209"/>
    <w:rsid w:val="00155722"/>
    <w:rsid w:val="001561A9"/>
    <w:rsid w:val="00161273"/>
    <w:rsid w:val="00176648"/>
    <w:rsid w:val="0017677A"/>
    <w:rsid w:val="00194909"/>
    <w:rsid w:val="00196D16"/>
    <w:rsid w:val="001B18A7"/>
    <w:rsid w:val="001B3B16"/>
    <w:rsid w:val="001B6BC4"/>
    <w:rsid w:val="001C3CCE"/>
    <w:rsid w:val="00243F69"/>
    <w:rsid w:val="002724C2"/>
    <w:rsid w:val="002953C0"/>
    <w:rsid w:val="00297DB2"/>
    <w:rsid w:val="002C3166"/>
    <w:rsid w:val="002E391C"/>
    <w:rsid w:val="002F485E"/>
    <w:rsid w:val="00302578"/>
    <w:rsid w:val="00302791"/>
    <w:rsid w:val="00314217"/>
    <w:rsid w:val="00345B84"/>
    <w:rsid w:val="00353FF7"/>
    <w:rsid w:val="00372C97"/>
    <w:rsid w:val="00375A34"/>
    <w:rsid w:val="00380C51"/>
    <w:rsid w:val="003873EC"/>
    <w:rsid w:val="0039057A"/>
    <w:rsid w:val="003A25AC"/>
    <w:rsid w:val="003A5291"/>
    <w:rsid w:val="003C4D74"/>
    <w:rsid w:val="003D1DE5"/>
    <w:rsid w:val="003D32EA"/>
    <w:rsid w:val="003F4218"/>
    <w:rsid w:val="00406D69"/>
    <w:rsid w:val="00415577"/>
    <w:rsid w:val="0044637A"/>
    <w:rsid w:val="00446508"/>
    <w:rsid w:val="00450E89"/>
    <w:rsid w:val="00465A0F"/>
    <w:rsid w:val="0046707F"/>
    <w:rsid w:val="004915ED"/>
    <w:rsid w:val="0049716D"/>
    <w:rsid w:val="004B320B"/>
    <w:rsid w:val="004B5974"/>
    <w:rsid w:val="004D4DF3"/>
    <w:rsid w:val="004E4EE1"/>
    <w:rsid w:val="00516333"/>
    <w:rsid w:val="00543CA8"/>
    <w:rsid w:val="00544E36"/>
    <w:rsid w:val="00546F55"/>
    <w:rsid w:val="00572A97"/>
    <w:rsid w:val="00597759"/>
    <w:rsid w:val="00601509"/>
    <w:rsid w:val="00612E85"/>
    <w:rsid w:val="00614166"/>
    <w:rsid w:val="00631BDD"/>
    <w:rsid w:val="006341D8"/>
    <w:rsid w:val="00636A85"/>
    <w:rsid w:val="0064383E"/>
    <w:rsid w:val="0065290B"/>
    <w:rsid w:val="00655CF9"/>
    <w:rsid w:val="00665284"/>
    <w:rsid w:val="0067677F"/>
    <w:rsid w:val="0068368D"/>
    <w:rsid w:val="0068403E"/>
    <w:rsid w:val="006844A6"/>
    <w:rsid w:val="00693404"/>
    <w:rsid w:val="006A4634"/>
    <w:rsid w:val="006C0760"/>
    <w:rsid w:val="006C2904"/>
    <w:rsid w:val="006C5C0F"/>
    <w:rsid w:val="006D1768"/>
    <w:rsid w:val="00720EB8"/>
    <w:rsid w:val="00722C3A"/>
    <w:rsid w:val="00723951"/>
    <w:rsid w:val="00730356"/>
    <w:rsid w:val="00735BBA"/>
    <w:rsid w:val="007817A0"/>
    <w:rsid w:val="00797A53"/>
    <w:rsid w:val="007B6223"/>
    <w:rsid w:val="007C206D"/>
    <w:rsid w:val="007F63E4"/>
    <w:rsid w:val="00823604"/>
    <w:rsid w:val="008245E0"/>
    <w:rsid w:val="00836E3F"/>
    <w:rsid w:val="008538F1"/>
    <w:rsid w:val="00854CE9"/>
    <w:rsid w:val="0086321B"/>
    <w:rsid w:val="0088134D"/>
    <w:rsid w:val="00885B7A"/>
    <w:rsid w:val="008911E6"/>
    <w:rsid w:val="0089790A"/>
    <w:rsid w:val="008A08FD"/>
    <w:rsid w:val="008A6315"/>
    <w:rsid w:val="008C3B4A"/>
    <w:rsid w:val="008D00A3"/>
    <w:rsid w:val="008E508A"/>
    <w:rsid w:val="008F39BB"/>
    <w:rsid w:val="00900627"/>
    <w:rsid w:val="00906EBF"/>
    <w:rsid w:val="009132DA"/>
    <w:rsid w:val="00930F08"/>
    <w:rsid w:val="009374B0"/>
    <w:rsid w:val="00966714"/>
    <w:rsid w:val="00971917"/>
    <w:rsid w:val="00973BC8"/>
    <w:rsid w:val="009771FE"/>
    <w:rsid w:val="0099007B"/>
    <w:rsid w:val="0099318B"/>
    <w:rsid w:val="00A04226"/>
    <w:rsid w:val="00A04666"/>
    <w:rsid w:val="00A1116F"/>
    <w:rsid w:val="00A31B7B"/>
    <w:rsid w:val="00A33098"/>
    <w:rsid w:val="00A412A1"/>
    <w:rsid w:val="00A57308"/>
    <w:rsid w:val="00A63151"/>
    <w:rsid w:val="00A84EE2"/>
    <w:rsid w:val="00A9195C"/>
    <w:rsid w:val="00A926E1"/>
    <w:rsid w:val="00AA6F21"/>
    <w:rsid w:val="00AC06D9"/>
    <w:rsid w:val="00AD69FD"/>
    <w:rsid w:val="00AE78AF"/>
    <w:rsid w:val="00AF6338"/>
    <w:rsid w:val="00B37178"/>
    <w:rsid w:val="00B638E5"/>
    <w:rsid w:val="00B651DE"/>
    <w:rsid w:val="00B93188"/>
    <w:rsid w:val="00B93F21"/>
    <w:rsid w:val="00BA3916"/>
    <w:rsid w:val="00BB253B"/>
    <w:rsid w:val="00BB395F"/>
    <w:rsid w:val="00BD2F9B"/>
    <w:rsid w:val="00BE1484"/>
    <w:rsid w:val="00BE2F91"/>
    <w:rsid w:val="00C12713"/>
    <w:rsid w:val="00C27865"/>
    <w:rsid w:val="00C55E94"/>
    <w:rsid w:val="00C617F5"/>
    <w:rsid w:val="00C85A94"/>
    <w:rsid w:val="00C941AC"/>
    <w:rsid w:val="00CA4841"/>
    <w:rsid w:val="00CA7CE6"/>
    <w:rsid w:val="00CB3420"/>
    <w:rsid w:val="00CC76BD"/>
    <w:rsid w:val="00CF04E4"/>
    <w:rsid w:val="00D40F3B"/>
    <w:rsid w:val="00D46730"/>
    <w:rsid w:val="00D91422"/>
    <w:rsid w:val="00DA19D7"/>
    <w:rsid w:val="00DB72D6"/>
    <w:rsid w:val="00DC412C"/>
    <w:rsid w:val="00DC5596"/>
    <w:rsid w:val="00DD7929"/>
    <w:rsid w:val="00DE4BD0"/>
    <w:rsid w:val="00E13AEB"/>
    <w:rsid w:val="00E14C41"/>
    <w:rsid w:val="00E33A45"/>
    <w:rsid w:val="00E3530B"/>
    <w:rsid w:val="00E42473"/>
    <w:rsid w:val="00E54860"/>
    <w:rsid w:val="00E74712"/>
    <w:rsid w:val="00E87207"/>
    <w:rsid w:val="00E90884"/>
    <w:rsid w:val="00EA7CC7"/>
    <w:rsid w:val="00EB0151"/>
    <w:rsid w:val="00EB5F3D"/>
    <w:rsid w:val="00EC7C80"/>
    <w:rsid w:val="00EF2271"/>
    <w:rsid w:val="00F74B7A"/>
    <w:rsid w:val="00FB1FCE"/>
    <w:rsid w:val="00FB3000"/>
    <w:rsid w:val="00FC0AE5"/>
    <w:rsid w:val="00FC172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3989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mfu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olenavm</dc:creator>
  <cp:lastModifiedBy>Користувач Windows</cp:lastModifiedBy>
  <cp:revision>6</cp:revision>
  <cp:lastPrinted>2014-10-16T12:05:00Z</cp:lastPrinted>
  <dcterms:created xsi:type="dcterms:W3CDTF">2015-10-12T08:59:00Z</dcterms:created>
  <dcterms:modified xsi:type="dcterms:W3CDTF">2015-10-29T12:18:00Z</dcterms:modified>
</cp:coreProperties>
</file>