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C46198" w:rsidRDefault="00DE60AD" w:rsidP="00DE60AD">
      <w:pPr>
        <w:shd w:val="clear" w:color="auto" w:fill="FFFFFF"/>
        <w:spacing w:after="0" w:line="240" w:lineRule="auto"/>
        <w:jc w:val="center"/>
        <w:rPr>
          <w:rFonts w:ascii="Times New Roman" w:eastAsia="Times New Roman" w:hAnsi="Times New Roman" w:cs="Times New Roman"/>
          <w:color w:val="000000"/>
          <w:sz w:val="44"/>
          <w:szCs w:val="24"/>
          <w:lang w:eastAsia="uk-UA"/>
        </w:rPr>
      </w:pPr>
      <w:r w:rsidRPr="00DE60AD">
        <w:rPr>
          <w:rFonts w:ascii="Verdana" w:eastAsia="Times New Roman" w:hAnsi="Verdana" w:cs="Times New Roman"/>
          <w:b/>
          <w:bCs/>
          <w:color w:val="000000"/>
          <w:spacing w:val="-4"/>
          <w:sz w:val="24"/>
          <w:szCs w:val="18"/>
          <w:lang w:eastAsia="uk-UA"/>
        </w:rPr>
        <w:br/>
      </w:r>
      <w:r w:rsidRPr="00C46198">
        <w:rPr>
          <w:rFonts w:ascii="Times New Roman" w:eastAsia="Times New Roman" w:hAnsi="Times New Roman" w:cs="Times New Roman"/>
          <w:b/>
          <w:bCs/>
          <w:color w:val="000000"/>
          <w:spacing w:val="-4"/>
          <w:sz w:val="32"/>
          <w:szCs w:val="18"/>
          <w:lang w:eastAsia="uk-UA"/>
        </w:rPr>
        <w:t>ДОВІДКА</w:t>
      </w:r>
    </w:p>
    <w:p w:rsidR="00DE60AD" w:rsidRPr="00C46198" w:rsidRDefault="00DE60AD" w:rsidP="00DE60AD">
      <w:pPr>
        <w:shd w:val="clear" w:color="auto" w:fill="FFFFFF"/>
        <w:spacing w:after="0" w:line="240" w:lineRule="auto"/>
        <w:jc w:val="center"/>
        <w:rPr>
          <w:rFonts w:ascii="Times New Roman" w:eastAsia="Times New Roman" w:hAnsi="Times New Roman" w:cs="Times New Roman"/>
          <w:color w:val="000000"/>
          <w:sz w:val="44"/>
          <w:szCs w:val="24"/>
          <w:lang w:eastAsia="uk-UA"/>
        </w:rPr>
      </w:pPr>
      <w:r w:rsidRPr="00C46198">
        <w:rPr>
          <w:rFonts w:ascii="Times New Roman" w:eastAsia="Times New Roman" w:hAnsi="Times New Roman" w:cs="Times New Roman"/>
          <w:color w:val="000000"/>
          <w:spacing w:val="-4"/>
          <w:sz w:val="32"/>
          <w:szCs w:val="18"/>
          <w:lang w:eastAsia="uk-UA"/>
        </w:rPr>
        <w:t>щодо стану виконання місцевих бюджетів</w:t>
      </w:r>
    </w:p>
    <w:p w:rsidR="00DE60AD" w:rsidRPr="00DE60AD" w:rsidRDefault="00DE60AD" w:rsidP="00DE60AD">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DE60AD">
        <w:rPr>
          <w:rFonts w:ascii="Verdana" w:eastAsia="Times New Roman" w:hAnsi="Verdana" w:cs="Times New Roman"/>
          <w:color w:val="000000"/>
          <w:spacing w:val="-4"/>
          <w:sz w:val="18"/>
          <w:szCs w:val="18"/>
          <w:lang w:eastAsia="uk-UA"/>
        </w:rPr>
        <w:t> </w:t>
      </w:r>
    </w:p>
    <w:p w:rsidR="00086D9E" w:rsidRPr="007510A6" w:rsidRDefault="00DE60AD"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r w:rsidRPr="007510A6">
        <w:rPr>
          <w:rFonts w:ascii="Times New Roman" w:hAnsi="Times New Roman" w:cs="Times New Roman"/>
          <w:b/>
          <w:bCs/>
          <w:color w:val="000000"/>
          <w:spacing w:val="-4"/>
          <w:sz w:val="28"/>
          <w:szCs w:val="28"/>
          <w:u w:val="single"/>
          <w:shd w:val="clear" w:color="auto" w:fill="FFFFFF"/>
        </w:rPr>
        <w:t>Виконання доходів місцевих бюджетів</w:t>
      </w:r>
    </w:p>
    <w:p w:rsidR="00F9382C" w:rsidRPr="007510A6" w:rsidRDefault="00F9382C"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r w:rsidRPr="007510A6">
        <w:rPr>
          <w:rFonts w:ascii="Times New Roman" w:hAnsi="Times New Roman" w:cs="Times New Roman"/>
          <w:b/>
          <w:bCs/>
          <w:color w:val="000000"/>
          <w:spacing w:val="-4"/>
          <w:sz w:val="28"/>
          <w:szCs w:val="28"/>
          <w:u w:val="single"/>
          <w:shd w:val="clear" w:color="auto" w:fill="FFFFFF"/>
        </w:rPr>
        <w:t>за січень-лютий 2015 року</w:t>
      </w:r>
    </w:p>
    <w:p w:rsidR="00DE60AD" w:rsidRPr="00E12E89" w:rsidRDefault="00DE60AD" w:rsidP="00DE60AD">
      <w:pPr>
        <w:tabs>
          <w:tab w:val="num" w:pos="0"/>
        </w:tabs>
        <w:spacing w:before="120" w:line="264"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E12E89">
        <w:rPr>
          <w:rFonts w:ascii="Times New Roman" w:eastAsia="Times New Roman" w:hAnsi="Times New Roman" w:cs="Times New Roman"/>
          <w:sz w:val="28"/>
          <w:szCs w:val="28"/>
          <w:lang w:eastAsia="ru-RU"/>
        </w:rPr>
        <w:t xml:space="preserve">За січень – лютий </w:t>
      </w:r>
      <w:r w:rsidR="004D6394">
        <w:rPr>
          <w:rFonts w:ascii="Times New Roman" w:eastAsia="Times New Roman" w:hAnsi="Times New Roman" w:cs="Times New Roman"/>
          <w:sz w:val="28"/>
          <w:szCs w:val="28"/>
          <w:lang w:eastAsia="ru-RU"/>
        </w:rPr>
        <w:t>поточного</w:t>
      </w:r>
      <w:r w:rsidRPr="00E12E89">
        <w:rPr>
          <w:rFonts w:ascii="Times New Roman" w:eastAsia="Times New Roman" w:hAnsi="Times New Roman" w:cs="Times New Roman"/>
          <w:sz w:val="28"/>
          <w:szCs w:val="28"/>
          <w:lang w:eastAsia="ru-RU"/>
        </w:rPr>
        <w:t xml:space="preserve"> року </w:t>
      </w:r>
      <w:r w:rsidRPr="00E12E89">
        <w:rPr>
          <w:rFonts w:ascii="Times New Roman" w:eastAsia="Times New Roman" w:hAnsi="Times New Roman" w:cs="Times New Roman"/>
          <w:b/>
          <w:sz w:val="28"/>
          <w:szCs w:val="28"/>
          <w:lang w:eastAsia="ru-RU"/>
        </w:rPr>
        <w:t>до загального фонду</w:t>
      </w:r>
      <w:r w:rsidRPr="00E12E89">
        <w:rPr>
          <w:rFonts w:ascii="Times New Roman" w:eastAsia="Times New Roman" w:hAnsi="Times New Roman" w:cs="Times New Roman"/>
          <w:sz w:val="28"/>
          <w:szCs w:val="28"/>
          <w:lang w:eastAsia="ru-RU"/>
        </w:rPr>
        <w:t xml:space="preserve"> місцевих бюджетів (без урахування трансфертів) надійшло </w:t>
      </w:r>
      <w:r w:rsidRPr="00E12E89">
        <w:rPr>
          <w:rFonts w:ascii="Times New Roman" w:eastAsia="Times New Roman" w:hAnsi="Times New Roman" w:cs="Times New Roman"/>
          <w:b/>
          <w:sz w:val="28"/>
          <w:szCs w:val="28"/>
          <w:lang w:eastAsia="ru-RU"/>
        </w:rPr>
        <w:t xml:space="preserve">12 952,3 млн. грн. </w:t>
      </w:r>
    </w:p>
    <w:p w:rsidR="00DE60AD" w:rsidRPr="0008176B" w:rsidRDefault="00DE60AD" w:rsidP="00DE60AD">
      <w:pPr>
        <w:pStyle w:val="a3"/>
        <w:tabs>
          <w:tab w:val="num" w:pos="0"/>
        </w:tabs>
        <w:spacing w:before="120" w:line="264" w:lineRule="auto"/>
        <w:ind w:left="0"/>
        <w:jc w:val="both"/>
        <w:rPr>
          <w:color w:val="000000"/>
          <w:sz w:val="28"/>
          <w:szCs w:val="28"/>
          <w:lang w:val="uk-UA"/>
        </w:rPr>
      </w:pPr>
      <w:r>
        <w:rPr>
          <w:b/>
          <w:color w:val="000000"/>
          <w:sz w:val="28"/>
          <w:szCs w:val="28"/>
          <w:lang w:val="uk-UA"/>
        </w:rPr>
        <w:tab/>
      </w:r>
      <w:r w:rsidRPr="0008176B">
        <w:rPr>
          <w:rFonts w:cs="Arial"/>
          <w:sz w:val="28"/>
          <w:szCs w:val="28"/>
          <w:lang w:val="uk-UA"/>
        </w:rPr>
        <w:t xml:space="preserve">Приріст надходжень до загального фонду проти </w:t>
      </w:r>
      <w:r>
        <w:rPr>
          <w:rFonts w:cs="Arial"/>
          <w:sz w:val="28"/>
          <w:szCs w:val="28"/>
          <w:lang w:val="uk-UA"/>
        </w:rPr>
        <w:t xml:space="preserve">січня – лютого </w:t>
      </w:r>
      <w:r w:rsidRPr="0008176B">
        <w:rPr>
          <w:rFonts w:cs="Arial"/>
          <w:sz w:val="28"/>
          <w:szCs w:val="28"/>
          <w:lang w:val="uk-UA"/>
        </w:rPr>
        <w:t>201</w:t>
      </w:r>
      <w:r>
        <w:rPr>
          <w:rFonts w:cs="Arial"/>
          <w:sz w:val="28"/>
          <w:szCs w:val="28"/>
          <w:lang w:val="uk-UA"/>
        </w:rPr>
        <w:t>4</w:t>
      </w:r>
      <w:r w:rsidRPr="0008176B">
        <w:rPr>
          <w:rFonts w:cs="Arial"/>
          <w:sz w:val="28"/>
          <w:szCs w:val="28"/>
          <w:lang w:val="uk-UA"/>
        </w:rPr>
        <w:t xml:space="preserve"> року </w:t>
      </w:r>
      <w:r w:rsidRPr="0008176B">
        <w:rPr>
          <w:rFonts w:cs="Arial"/>
          <w:i/>
          <w:sz w:val="28"/>
          <w:szCs w:val="28"/>
          <w:lang w:val="uk-UA"/>
        </w:rPr>
        <w:t xml:space="preserve">(у </w:t>
      </w:r>
      <w:proofErr w:type="spellStart"/>
      <w:r w:rsidRPr="0008176B">
        <w:rPr>
          <w:rFonts w:cs="Arial"/>
          <w:i/>
          <w:sz w:val="28"/>
          <w:szCs w:val="28"/>
          <w:lang w:val="uk-UA"/>
        </w:rPr>
        <w:t>співставних</w:t>
      </w:r>
      <w:proofErr w:type="spellEnd"/>
      <w:r w:rsidRPr="0008176B">
        <w:rPr>
          <w:rFonts w:cs="Arial"/>
          <w:i/>
          <w:sz w:val="28"/>
          <w:szCs w:val="28"/>
          <w:lang w:val="uk-UA"/>
        </w:rPr>
        <w:t xml:space="preserve"> умовах та без урахування територій, що не підконтрольні українській владі)</w:t>
      </w:r>
      <w:r>
        <w:rPr>
          <w:rFonts w:cs="Arial"/>
          <w:sz w:val="28"/>
          <w:szCs w:val="28"/>
          <w:lang w:val="uk-UA"/>
        </w:rPr>
        <w:t xml:space="preserve"> </w:t>
      </w:r>
      <w:r w:rsidRPr="0008176B">
        <w:rPr>
          <w:rFonts w:cs="Arial"/>
          <w:sz w:val="28"/>
          <w:szCs w:val="28"/>
          <w:lang w:val="uk-UA"/>
        </w:rPr>
        <w:t xml:space="preserve">склав </w:t>
      </w:r>
      <w:r w:rsidRPr="00776EF1">
        <w:rPr>
          <w:rFonts w:cs="Arial"/>
          <w:b/>
          <w:sz w:val="28"/>
          <w:szCs w:val="28"/>
          <w:lang w:val="uk-UA"/>
        </w:rPr>
        <w:t>2</w:t>
      </w:r>
      <w:r>
        <w:rPr>
          <w:rFonts w:cs="Arial"/>
          <w:b/>
          <w:sz w:val="28"/>
          <w:szCs w:val="28"/>
          <w:lang w:val="uk-UA"/>
        </w:rPr>
        <w:t xml:space="preserve"> </w:t>
      </w:r>
      <w:r w:rsidRPr="00776EF1">
        <w:rPr>
          <w:rFonts w:cs="Arial"/>
          <w:b/>
          <w:sz w:val="28"/>
          <w:szCs w:val="28"/>
          <w:lang w:val="uk-UA"/>
        </w:rPr>
        <w:t>548,4 млн.</w:t>
      </w:r>
      <w:r>
        <w:rPr>
          <w:rFonts w:cs="Arial"/>
          <w:b/>
          <w:sz w:val="28"/>
          <w:szCs w:val="28"/>
          <w:lang w:val="uk-UA"/>
        </w:rPr>
        <w:t xml:space="preserve"> </w:t>
      </w:r>
      <w:r w:rsidRPr="00776EF1">
        <w:rPr>
          <w:rFonts w:cs="Arial"/>
          <w:b/>
          <w:sz w:val="28"/>
          <w:szCs w:val="28"/>
          <w:lang w:val="uk-UA"/>
        </w:rPr>
        <w:t>грн.</w:t>
      </w:r>
      <w:r>
        <w:rPr>
          <w:rFonts w:cs="Arial"/>
          <w:sz w:val="28"/>
          <w:szCs w:val="28"/>
          <w:lang w:val="uk-UA"/>
        </w:rPr>
        <w:t xml:space="preserve"> </w:t>
      </w:r>
      <w:r w:rsidRPr="0008176B">
        <w:rPr>
          <w:rFonts w:cs="Arial"/>
          <w:sz w:val="28"/>
          <w:szCs w:val="28"/>
          <w:lang w:val="uk-UA"/>
        </w:rPr>
        <w:t xml:space="preserve">або </w:t>
      </w:r>
      <w:r w:rsidRPr="0008176B">
        <w:rPr>
          <w:rFonts w:cs="Arial"/>
          <w:b/>
          <w:sz w:val="28"/>
          <w:szCs w:val="28"/>
          <w:lang w:val="uk-UA"/>
        </w:rPr>
        <w:t>24,5%.</w:t>
      </w:r>
    </w:p>
    <w:p w:rsidR="00DE60AD" w:rsidRDefault="004D6394" w:rsidP="00DE60AD">
      <w:pPr>
        <w:spacing w:before="120"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DE60AD" w:rsidRPr="008C6A74">
        <w:rPr>
          <w:rFonts w:ascii="Times New Roman" w:eastAsia="Times New Roman" w:hAnsi="Times New Roman" w:cs="Times New Roman"/>
          <w:sz w:val="28"/>
          <w:szCs w:val="28"/>
          <w:lang w:eastAsia="ru-RU"/>
        </w:rPr>
        <w:t>емп росту фактичних надходжень ПДФО до січня-лютого 2014 року становить</w:t>
      </w:r>
      <w:r w:rsidR="00DE60AD">
        <w:rPr>
          <w:rFonts w:ascii="Times New Roman" w:eastAsia="Times New Roman" w:hAnsi="Times New Roman" w:cs="Times New Roman"/>
          <w:sz w:val="28"/>
          <w:szCs w:val="28"/>
          <w:lang w:eastAsia="ru-RU"/>
        </w:rPr>
        <w:t xml:space="preserve"> </w:t>
      </w:r>
      <w:r w:rsidR="00DE60AD" w:rsidRPr="008C6A74">
        <w:rPr>
          <w:rFonts w:ascii="Times New Roman" w:eastAsia="Times New Roman" w:hAnsi="Times New Roman" w:cs="Times New Roman"/>
          <w:b/>
          <w:sz w:val="28"/>
          <w:szCs w:val="28"/>
          <w:lang w:eastAsia="ru-RU"/>
        </w:rPr>
        <w:t>112,1%</w:t>
      </w:r>
      <w:r w:rsidR="00DE60AD" w:rsidRPr="008C6A74">
        <w:rPr>
          <w:rFonts w:ascii="Times New Roman" w:eastAsia="Times New Roman" w:hAnsi="Times New Roman" w:cs="Times New Roman"/>
          <w:sz w:val="28"/>
          <w:szCs w:val="28"/>
          <w:lang w:eastAsia="ru-RU"/>
        </w:rPr>
        <w:t xml:space="preserve">, плати за землю – </w:t>
      </w:r>
      <w:r w:rsidR="00DE60AD" w:rsidRPr="008C6A74">
        <w:rPr>
          <w:rFonts w:ascii="Times New Roman" w:eastAsia="Times New Roman" w:hAnsi="Times New Roman" w:cs="Times New Roman"/>
          <w:b/>
          <w:sz w:val="28"/>
          <w:szCs w:val="28"/>
          <w:lang w:eastAsia="ru-RU"/>
        </w:rPr>
        <w:t>116,8%</w:t>
      </w:r>
      <w:r w:rsidR="00DE60AD" w:rsidRPr="008C6A74">
        <w:rPr>
          <w:rFonts w:ascii="Times New Roman" w:eastAsia="Times New Roman" w:hAnsi="Times New Roman" w:cs="Times New Roman"/>
          <w:sz w:val="28"/>
          <w:szCs w:val="28"/>
          <w:lang w:eastAsia="ru-RU"/>
        </w:rPr>
        <w:t xml:space="preserve">. При цьому, </w:t>
      </w:r>
      <w:r w:rsidR="00DE60AD" w:rsidRPr="008C6A74">
        <w:rPr>
          <w:rFonts w:ascii="Times New Roman" w:eastAsia="Times New Roman" w:hAnsi="Times New Roman" w:cs="Times New Roman"/>
          <w:b/>
          <w:sz w:val="28"/>
          <w:szCs w:val="28"/>
          <w:lang w:eastAsia="ru-RU"/>
        </w:rPr>
        <w:t>у 15 регіонах</w:t>
      </w:r>
      <w:r w:rsidR="00DE60AD" w:rsidRPr="008C6A74">
        <w:rPr>
          <w:rFonts w:ascii="Times New Roman" w:eastAsia="Times New Roman" w:hAnsi="Times New Roman" w:cs="Times New Roman"/>
          <w:sz w:val="28"/>
          <w:szCs w:val="28"/>
          <w:lang w:eastAsia="ru-RU"/>
        </w:rPr>
        <w:t xml:space="preserve"> з 25 </w:t>
      </w:r>
      <w:r w:rsidR="00DE60AD" w:rsidRPr="008C6A74">
        <w:rPr>
          <w:rFonts w:ascii="Times New Roman" w:eastAsia="Times New Roman" w:hAnsi="Times New Roman" w:cs="Times New Roman"/>
          <w:b/>
          <w:sz w:val="28"/>
          <w:szCs w:val="28"/>
          <w:lang w:eastAsia="ru-RU"/>
        </w:rPr>
        <w:t>темп росту вище середнього по Україні</w:t>
      </w:r>
      <w:r w:rsidR="00DE60AD" w:rsidRPr="008C6A74">
        <w:rPr>
          <w:rFonts w:ascii="Times New Roman" w:eastAsia="Times New Roman" w:hAnsi="Times New Roman" w:cs="Times New Roman"/>
          <w:sz w:val="28"/>
          <w:szCs w:val="28"/>
          <w:lang w:eastAsia="ru-RU"/>
        </w:rPr>
        <w:t xml:space="preserve"> </w:t>
      </w:r>
      <w:r w:rsidR="00DE60AD" w:rsidRPr="008C6A74">
        <w:rPr>
          <w:rFonts w:ascii="Times New Roman" w:eastAsia="Times New Roman" w:hAnsi="Times New Roman" w:cs="Times New Roman"/>
          <w:i/>
          <w:sz w:val="28"/>
          <w:szCs w:val="28"/>
          <w:lang w:eastAsia="ru-RU"/>
        </w:rPr>
        <w:t xml:space="preserve">(слайди </w:t>
      </w:r>
      <w:r w:rsidR="00DE60AD">
        <w:rPr>
          <w:rFonts w:ascii="Times New Roman" w:eastAsia="Times New Roman" w:hAnsi="Times New Roman" w:cs="Times New Roman"/>
          <w:i/>
          <w:sz w:val="28"/>
          <w:szCs w:val="28"/>
          <w:lang w:val="ru-RU" w:eastAsia="ru-RU"/>
        </w:rPr>
        <w:t>1</w:t>
      </w:r>
      <w:r w:rsidR="00DE60AD" w:rsidRPr="008C6A74">
        <w:rPr>
          <w:rFonts w:ascii="Times New Roman" w:eastAsia="Times New Roman" w:hAnsi="Times New Roman" w:cs="Times New Roman"/>
          <w:i/>
          <w:sz w:val="28"/>
          <w:szCs w:val="28"/>
          <w:lang w:eastAsia="ru-RU"/>
        </w:rPr>
        <w:t>-</w:t>
      </w:r>
      <w:r w:rsidR="00DE60AD">
        <w:rPr>
          <w:rFonts w:ascii="Times New Roman" w:eastAsia="Times New Roman" w:hAnsi="Times New Roman" w:cs="Times New Roman"/>
          <w:i/>
          <w:sz w:val="28"/>
          <w:szCs w:val="28"/>
          <w:lang w:val="ru-RU" w:eastAsia="ru-RU"/>
        </w:rPr>
        <w:t>2</w:t>
      </w:r>
      <w:r w:rsidR="00DE60AD" w:rsidRPr="008C6A74">
        <w:rPr>
          <w:rFonts w:ascii="Times New Roman" w:eastAsia="Times New Roman" w:hAnsi="Times New Roman" w:cs="Times New Roman"/>
          <w:i/>
          <w:sz w:val="28"/>
          <w:szCs w:val="28"/>
          <w:lang w:eastAsia="ru-RU"/>
        </w:rPr>
        <w:t>)</w:t>
      </w:r>
      <w:r w:rsidR="00DE60AD" w:rsidRPr="008C6A74">
        <w:rPr>
          <w:rFonts w:ascii="Times New Roman" w:eastAsia="Times New Roman" w:hAnsi="Times New Roman" w:cs="Times New Roman"/>
          <w:sz w:val="28"/>
          <w:szCs w:val="28"/>
          <w:lang w:eastAsia="ru-RU"/>
        </w:rPr>
        <w:t>.</w:t>
      </w:r>
    </w:p>
    <w:p w:rsidR="00F9382C" w:rsidRDefault="00C254D5" w:rsidP="00C254D5">
      <w:pPr>
        <w:spacing w:before="120" w:after="120" w:line="240" w:lineRule="auto"/>
        <w:ind w:firstLine="708"/>
        <w:jc w:val="both"/>
        <w:rPr>
          <w:rFonts w:ascii="Verdana" w:hAnsi="Verdana"/>
          <w:b/>
          <w:bCs/>
          <w:color w:val="000000"/>
          <w:spacing w:val="-4"/>
          <w:sz w:val="18"/>
          <w:szCs w:val="18"/>
          <w:u w:val="single"/>
          <w:shd w:val="clear" w:color="auto" w:fill="FFFFFF"/>
        </w:rPr>
      </w:pPr>
      <w:r>
        <w:rPr>
          <w:noProof/>
          <w:lang w:eastAsia="uk-UA"/>
        </w:rPr>
        <w:drawing>
          <wp:anchor distT="0" distB="0" distL="114300" distR="114300" simplePos="0" relativeHeight="251659263" behindDoc="1" locked="0" layoutInCell="1" allowOverlap="1" wp14:anchorId="239F046B" wp14:editId="26794268">
            <wp:simplePos x="0" y="0"/>
            <wp:positionH relativeFrom="column">
              <wp:posOffset>3053080</wp:posOffset>
            </wp:positionH>
            <wp:positionV relativeFrom="paragraph">
              <wp:posOffset>64770</wp:posOffset>
            </wp:positionV>
            <wp:extent cx="3800475" cy="6381750"/>
            <wp:effectExtent l="0" t="0" r="28575" b="0"/>
            <wp:wrapThrough wrapText="bothSides">
              <wp:wrapPolygon edited="0">
                <wp:start x="0" y="0"/>
                <wp:lineTo x="0" y="1741"/>
                <wp:lineTo x="5738" y="2063"/>
                <wp:lineTo x="2165" y="2192"/>
                <wp:lineTo x="1841" y="2257"/>
                <wp:lineTo x="2057" y="3095"/>
                <wp:lineTo x="758" y="3740"/>
                <wp:lineTo x="974" y="4062"/>
                <wp:lineTo x="5738" y="4127"/>
                <wp:lineTo x="2057" y="4449"/>
                <wp:lineTo x="2057" y="4771"/>
                <wp:lineTo x="5738" y="5158"/>
                <wp:lineTo x="1408" y="5223"/>
                <wp:lineTo x="1516" y="6770"/>
                <wp:lineTo x="3465" y="7221"/>
                <wp:lineTo x="1299" y="7415"/>
                <wp:lineTo x="866" y="7479"/>
                <wp:lineTo x="1191" y="8253"/>
                <wp:lineTo x="0" y="9027"/>
                <wp:lineTo x="0" y="9285"/>
                <wp:lineTo x="5738" y="9285"/>
                <wp:lineTo x="2057" y="9672"/>
                <wp:lineTo x="2057" y="9994"/>
                <wp:lineTo x="5738" y="10316"/>
                <wp:lineTo x="1949" y="10381"/>
                <wp:lineTo x="541" y="10703"/>
                <wp:lineTo x="541" y="11799"/>
                <wp:lineTo x="3465" y="12380"/>
                <wp:lineTo x="5738" y="12380"/>
                <wp:lineTo x="2923" y="12638"/>
                <wp:lineTo x="2815" y="12767"/>
                <wp:lineTo x="4006" y="13411"/>
                <wp:lineTo x="2598" y="13476"/>
                <wp:lineTo x="0" y="14121"/>
                <wp:lineTo x="0" y="14894"/>
                <wp:lineTo x="5738" y="15475"/>
                <wp:lineTo x="2165" y="15604"/>
                <wp:lineTo x="974" y="15861"/>
                <wp:lineTo x="974" y="17151"/>
                <wp:lineTo x="2815" y="17538"/>
                <wp:lineTo x="5738" y="17538"/>
                <wp:lineTo x="2598" y="17860"/>
                <wp:lineTo x="2598" y="18183"/>
                <wp:lineTo x="5738" y="18570"/>
                <wp:lineTo x="1949" y="18570"/>
                <wp:lineTo x="1516" y="18699"/>
                <wp:lineTo x="1949" y="19601"/>
                <wp:lineTo x="1949" y="20375"/>
                <wp:lineTo x="6280" y="20826"/>
                <wp:lineTo x="5414" y="20955"/>
                <wp:lineTo x="5414" y="21278"/>
                <wp:lineTo x="18189" y="21278"/>
                <wp:lineTo x="18298" y="21149"/>
                <wp:lineTo x="20896" y="20633"/>
                <wp:lineTo x="20788" y="2063"/>
                <wp:lineTo x="21654" y="1032"/>
                <wp:lineTo x="21654" y="0"/>
                <wp:lineTo x="0" y="0"/>
              </wp:wrapPolygon>
            </wp:wrapThrough>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306715">
        <w:rPr>
          <w:noProof/>
          <w:lang w:eastAsia="uk-UA"/>
        </w:rPr>
        <w:drawing>
          <wp:anchor distT="0" distB="0" distL="114300" distR="114300" simplePos="0" relativeHeight="251660288" behindDoc="1" locked="0" layoutInCell="1" allowOverlap="1" wp14:anchorId="0EE88B20" wp14:editId="0A2E0C6A">
            <wp:simplePos x="0" y="0"/>
            <wp:positionH relativeFrom="column">
              <wp:posOffset>-573405</wp:posOffset>
            </wp:positionH>
            <wp:positionV relativeFrom="paragraph">
              <wp:posOffset>64770</wp:posOffset>
            </wp:positionV>
            <wp:extent cx="3676650" cy="6381750"/>
            <wp:effectExtent l="0" t="0" r="0" b="0"/>
            <wp:wrapThrough wrapText="bothSides">
              <wp:wrapPolygon edited="0">
                <wp:start x="0" y="0"/>
                <wp:lineTo x="0" y="1225"/>
                <wp:lineTo x="1455" y="2063"/>
                <wp:lineTo x="895" y="2966"/>
                <wp:lineTo x="1007" y="3095"/>
                <wp:lineTo x="3134" y="3095"/>
                <wp:lineTo x="2015" y="3675"/>
                <wp:lineTo x="2126" y="3869"/>
                <wp:lineTo x="5932" y="4127"/>
                <wp:lineTo x="0" y="4256"/>
                <wp:lineTo x="0" y="4642"/>
                <wp:lineTo x="2126" y="5158"/>
                <wp:lineTo x="1231" y="5932"/>
                <wp:lineTo x="1455" y="6190"/>
                <wp:lineTo x="5932" y="6190"/>
                <wp:lineTo x="1231" y="6512"/>
                <wp:lineTo x="1231" y="6835"/>
                <wp:lineTo x="5932" y="7221"/>
                <wp:lineTo x="2798" y="7286"/>
                <wp:lineTo x="1231" y="7673"/>
                <wp:lineTo x="1343" y="8253"/>
                <wp:lineTo x="0" y="8833"/>
                <wp:lineTo x="0" y="9091"/>
                <wp:lineTo x="5932" y="9285"/>
                <wp:lineTo x="2462" y="9543"/>
                <wp:lineTo x="1231" y="9801"/>
                <wp:lineTo x="1231" y="10768"/>
                <wp:lineTo x="1903" y="11348"/>
                <wp:lineTo x="2462" y="11348"/>
                <wp:lineTo x="2462" y="11993"/>
                <wp:lineTo x="3805" y="12380"/>
                <wp:lineTo x="1903" y="12896"/>
                <wp:lineTo x="2015" y="13411"/>
                <wp:lineTo x="895" y="14121"/>
                <wp:lineTo x="1119" y="14443"/>
                <wp:lineTo x="5932" y="14443"/>
                <wp:lineTo x="2126" y="14765"/>
                <wp:lineTo x="2126" y="15088"/>
                <wp:lineTo x="5932" y="15475"/>
                <wp:lineTo x="2238" y="15539"/>
                <wp:lineTo x="672" y="15861"/>
                <wp:lineTo x="672" y="17087"/>
                <wp:lineTo x="3134" y="17538"/>
                <wp:lineTo x="5932" y="17538"/>
                <wp:lineTo x="2686" y="17796"/>
                <wp:lineTo x="2686" y="18054"/>
                <wp:lineTo x="5932" y="18570"/>
                <wp:lineTo x="2015" y="18570"/>
                <wp:lineTo x="1679" y="18634"/>
                <wp:lineTo x="2238" y="19601"/>
                <wp:lineTo x="2126" y="20375"/>
                <wp:lineTo x="3134" y="20633"/>
                <wp:lineTo x="6267" y="20633"/>
                <wp:lineTo x="5708" y="20955"/>
                <wp:lineTo x="5708" y="21084"/>
                <wp:lineTo x="6267" y="21536"/>
                <wp:lineTo x="21152" y="21536"/>
                <wp:lineTo x="20817" y="2063"/>
                <wp:lineTo x="21264" y="1032"/>
                <wp:lineTo x="21264" y="0"/>
                <wp:lineTo x="0" y="0"/>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A33027" w:rsidRDefault="00A33027"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p>
    <w:p w:rsidR="00A33027" w:rsidRDefault="00A33027"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p>
    <w:p w:rsidR="00A33027" w:rsidRDefault="00A33027"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p>
    <w:p w:rsidR="00A33027" w:rsidRDefault="00A33027"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p>
    <w:p w:rsidR="00306715" w:rsidRDefault="00C254D5" w:rsidP="00A33027">
      <w:pPr>
        <w:spacing w:after="0" w:line="240" w:lineRule="auto"/>
        <w:jc w:val="center"/>
        <w:rPr>
          <w:rFonts w:ascii="Times New Roman" w:hAnsi="Times New Roman" w:cs="Times New Roman"/>
          <w:b/>
          <w:bCs/>
          <w:color w:val="000000"/>
          <w:spacing w:val="-4"/>
          <w:sz w:val="28"/>
          <w:szCs w:val="28"/>
          <w:u w:val="single"/>
          <w:shd w:val="clear" w:color="auto" w:fill="FFFFFF"/>
        </w:rPr>
      </w:pPr>
      <w:r w:rsidRPr="00764D36">
        <w:rPr>
          <w:rFonts w:ascii="Times New Roman" w:hAnsi="Times New Roman" w:cs="Times New Roman"/>
          <w:b/>
          <w:bCs/>
          <w:noProof/>
          <w:color w:val="000000"/>
          <w:spacing w:val="-4"/>
          <w:sz w:val="28"/>
          <w:szCs w:val="28"/>
          <w:u w:val="single"/>
          <w:shd w:val="clear" w:color="auto" w:fill="FFFFFF"/>
          <w:lang w:eastAsia="uk-UA"/>
        </w:rPr>
        <mc:AlternateContent>
          <mc:Choice Requires="wps">
            <w:drawing>
              <wp:anchor distT="0" distB="0" distL="114300" distR="114300" simplePos="0" relativeHeight="251669504" behindDoc="0" locked="0" layoutInCell="1" allowOverlap="1" wp14:anchorId="3C0A1D22" wp14:editId="6B0C68FB">
                <wp:simplePos x="0" y="0"/>
                <wp:positionH relativeFrom="column">
                  <wp:posOffset>3368675</wp:posOffset>
                </wp:positionH>
                <wp:positionV relativeFrom="paragraph">
                  <wp:posOffset>24130</wp:posOffset>
                </wp:positionV>
                <wp:extent cx="314325" cy="461645"/>
                <wp:effectExtent l="0" t="0" r="0" b="0"/>
                <wp:wrapNone/>
                <wp:docPr id="1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left:0;text-align:left;margin-left:265.25pt;margin-top:1.9pt;width:24.75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" filled="f" stroked="f">
                <v:textbox style="mso-fit-shape-to-text:t">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r w:rsidRPr="00764D36">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5408" behindDoc="0" locked="0" layoutInCell="1" allowOverlap="1" wp14:anchorId="63958B2C" wp14:editId="7B091263">
                <wp:simplePos x="0" y="0"/>
                <wp:positionH relativeFrom="column">
                  <wp:posOffset>-327025</wp:posOffset>
                </wp:positionH>
                <wp:positionV relativeFrom="paragraph">
                  <wp:posOffset>15240</wp:posOffset>
                </wp:positionV>
                <wp:extent cx="247650" cy="323850"/>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5.75pt;margin-top:1.2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CKYQIAAIk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" filled="f" stroked="f">
                <v:textbo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306715" w:rsidRDefault="00306715" w:rsidP="00A33027">
      <w:pPr>
        <w:spacing w:after="0" w:line="240" w:lineRule="auto"/>
        <w:jc w:val="center"/>
        <w:rPr>
          <w:rFonts w:ascii="Times New Roman" w:hAnsi="Times New Roman" w:cs="Times New Roman"/>
          <w:b/>
          <w:bCs/>
          <w:color w:val="000000"/>
          <w:spacing w:val="-4"/>
          <w:sz w:val="28"/>
          <w:szCs w:val="28"/>
          <w:u w:val="single"/>
          <w:shd w:val="clear" w:color="auto" w:fill="FFFFFF"/>
        </w:rPr>
      </w:pPr>
    </w:p>
    <w:p w:rsidR="00DE1D65" w:rsidRDefault="00DE1D65">
      <w:pPr>
        <w:rPr>
          <w:rFonts w:ascii="Times New Roman" w:hAnsi="Times New Roman" w:cs="Times New Roman"/>
          <w:b/>
          <w:bCs/>
          <w:color w:val="000000"/>
          <w:spacing w:val="-4"/>
          <w:sz w:val="28"/>
          <w:szCs w:val="28"/>
          <w:u w:val="single"/>
          <w:shd w:val="clear" w:color="auto" w:fill="FFFFFF"/>
        </w:rPr>
      </w:pPr>
    </w:p>
    <w:p w:rsidR="00DE1D65" w:rsidRDefault="00DE1D65">
      <w:pPr>
        <w:rPr>
          <w:rFonts w:ascii="Times New Roman" w:hAnsi="Times New Roman" w:cs="Times New Roman"/>
          <w:b/>
          <w:bCs/>
          <w:color w:val="000000"/>
          <w:spacing w:val="-4"/>
          <w:sz w:val="28"/>
          <w:szCs w:val="28"/>
          <w:u w:val="single"/>
          <w:shd w:val="clear" w:color="auto" w:fill="FFFFFF"/>
        </w:rPr>
      </w:pPr>
    </w:p>
    <w:p w:rsidR="00306715" w:rsidRPr="00DE1D65" w:rsidRDefault="00764D36" w:rsidP="00C254D5">
      <w:pPr>
        <w:ind w:firstLine="708"/>
        <w:jc w:val="both"/>
        <w:rPr>
          <w:rFonts w:ascii="Times New Roman" w:eastAsia="Times New Roman" w:hAnsi="Times New Roman" w:cs="Times New Roman"/>
          <w:sz w:val="28"/>
          <w:szCs w:val="28"/>
          <w:lang w:eastAsia="ru-RU"/>
        </w:rPr>
      </w:pPr>
      <w:r w:rsidRPr="00764D36">
        <w:rPr>
          <w:rFonts w:ascii="Times New Roman" w:eastAsia="Times New Roman" w:hAnsi="Times New Roman" w:cs="Times New Roman"/>
          <w:noProof/>
          <w:sz w:val="28"/>
          <w:szCs w:val="28"/>
          <w:lang w:eastAsia="uk-UA"/>
        </w:rPr>
        <w:lastRenderedPageBreak/>
        <mc:AlternateContent>
          <mc:Choice Requires="wps">
            <w:drawing>
              <wp:anchor distT="0" distB="0" distL="114300" distR="114300" simplePos="0" relativeHeight="251667456" behindDoc="0" locked="0" layoutInCell="1" allowOverlap="1" wp14:anchorId="07C80D40" wp14:editId="20B0FDCF">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254D5">
        <w:rPr>
          <w:rFonts w:ascii="Times New Roman" w:eastAsia="Times New Roman" w:hAnsi="Times New Roman" w:cs="Times New Roman"/>
          <w:sz w:val="28"/>
          <w:szCs w:val="28"/>
          <w:lang w:eastAsia="ru-RU"/>
        </w:rPr>
        <w:t xml:space="preserve">Загалом обсяг надходжень </w:t>
      </w:r>
      <w:r w:rsidR="00C254D5" w:rsidRPr="00F9382C">
        <w:rPr>
          <w:rFonts w:ascii="Times New Roman" w:eastAsia="Times New Roman" w:hAnsi="Times New Roman" w:cs="Times New Roman"/>
          <w:b/>
          <w:sz w:val="28"/>
          <w:szCs w:val="28"/>
          <w:lang w:eastAsia="ru-RU"/>
        </w:rPr>
        <w:t>ПДФО</w:t>
      </w:r>
      <w:r w:rsidR="00C254D5">
        <w:rPr>
          <w:rFonts w:ascii="Times New Roman" w:eastAsia="Times New Roman" w:hAnsi="Times New Roman" w:cs="Times New Roman"/>
          <w:sz w:val="28"/>
          <w:szCs w:val="28"/>
          <w:lang w:eastAsia="ru-RU"/>
        </w:rPr>
        <w:t xml:space="preserve"> за січень-лютий склав </w:t>
      </w:r>
      <w:r w:rsidR="00C254D5">
        <w:rPr>
          <w:rFonts w:ascii="Times New Roman" w:eastAsia="Times New Roman" w:hAnsi="Times New Roman" w:cs="Times New Roman"/>
          <w:b/>
          <w:sz w:val="28"/>
          <w:szCs w:val="28"/>
          <w:lang w:eastAsia="ru-RU"/>
        </w:rPr>
        <w:t>6 767,7 млн. </w:t>
      </w:r>
      <w:r w:rsidR="00C254D5" w:rsidRPr="00F9382C">
        <w:rPr>
          <w:rFonts w:ascii="Times New Roman" w:eastAsia="Times New Roman" w:hAnsi="Times New Roman" w:cs="Times New Roman"/>
          <w:b/>
          <w:sz w:val="28"/>
          <w:szCs w:val="28"/>
          <w:lang w:eastAsia="ru-RU"/>
        </w:rPr>
        <w:t>грн</w:t>
      </w:r>
      <w:r w:rsidR="00C254D5">
        <w:rPr>
          <w:rFonts w:ascii="Times New Roman" w:eastAsia="Times New Roman" w:hAnsi="Times New Roman" w:cs="Times New Roman"/>
          <w:sz w:val="28"/>
          <w:szCs w:val="28"/>
          <w:lang w:eastAsia="ru-RU"/>
        </w:rPr>
        <w:t>.,  р</w:t>
      </w:r>
      <w:r w:rsidR="00DE1D65" w:rsidRPr="00DE1D65">
        <w:rPr>
          <w:rFonts w:ascii="Times New Roman" w:eastAsia="Times New Roman" w:hAnsi="Times New Roman" w:cs="Times New Roman"/>
          <w:sz w:val="28"/>
          <w:szCs w:val="28"/>
          <w:lang w:eastAsia="ru-RU"/>
        </w:rPr>
        <w:t xml:space="preserve">івень </w:t>
      </w:r>
      <w:r w:rsidR="00DE1D65" w:rsidRPr="00C254D5">
        <w:rPr>
          <w:rFonts w:ascii="Times New Roman" w:eastAsia="Times New Roman" w:hAnsi="Times New Roman" w:cs="Times New Roman"/>
          <w:b/>
          <w:sz w:val="28"/>
          <w:szCs w:val="28"/>
          <w:lang w:eastAsia="ru-RU"/>
        </w:rPr>
        <w:t>виконання річного показника</w:t>
      </w:r>
      <w:r w:rsidR="00DE1D65" w:rsidRPr="00DE1D65">
        <w:rPr>
          <w:rFonts w:ascii="Times New Roman" w:eastAsia="Times New Roman" w:hAnsi="Times New Roman" w:cs="Times New Roman"/>
          <w:sz w:val="28"/>
          <w:szCs w:val="28"/>
          <w:lang w:eastAsia="ru-RU"/>
        </w:rPr>
        <w:t>, затвердженого</w:t>
      </w:r>
      <w:r w:rsidR="00DE1D65">
        <w:rPr>
          <w:rFonts w:ascii="Times New Roman" w:eastAsia="Times New Roman" w:hAnsi="Times New Roman" w:cs="Times New Roman"/>
          <w:sz w:val="28"/>
          <w:szCs w:val="28"/>
          <w:lang w:eastAsia="ru-RU"/>
        </w:rPr>
        <w:t xml:space="preserve"> місцевими радами становить </w:t>
      </w:r>
      <w:r w:rsidR="00DE1D65" w:rsidRPr="00C254D5">
        <w:rPr>
          <w:rFonts w:ascii="Times New Roman" w:eastAsia="Times New Roman" w:hAnsi="Times New Roman" w:cs="Times New Roman"/>
          <w:b/>
          <w:sz w:val="28"/>
          <w:szCs w:val="28"/>
          <w:lang w:eastAsia="ru-RU"/>
        </w:rPr>
        <w:t>15,9%</w:t>
      </w:r>
      <w:r w:rsidR="00DE1D65" w:rsidRPr="00C254D5">
        <w:rPr>
          <w:rFonts w:ascii="Times New Roman" w:eastAsia="Times New Roman" w:hAnsi="Times New Roman" w:cs="Times New Roman"/>
          <w:sz w:val="28"/>
          <w:szCs w:val="28"/>
          <w:lang w:eastAsia="ru-RU"/>
        </w:rPr>
        <w:t>,</w:t>
      </w:r>
      <w:r w:rsidR="00DE1D65">
        <w:rPr>
          <w:rFonts w:ascii="Times New Roman" w:eastAsia="Times New Roman" w:hAnsi="Times New Roman" w:cs="Times New Roman"/>
          <w:sz w:val="28"/>
          <w:szCs w:val="28"/>
          <w:lang w:eastAsia="ru-RU"/>
        </w:rPr>
        <w:t xml:space="preserve"> </w:t>
      </w:r>
      <w:r w:rsidR="00C254D5">
        <w:rPr>
          <w:rFonts w:ascii="Times New Roman" w:eastAsia="Times New Roman" w:hAnsi="Times New Roman" w:cs="Times New Roman"/>
          <w:sz w:val="28"/>
          <w:szCs w:val="28"/>
          <w:lang w:eastAsia="ru-RU"/>
        </w:rPr>
        <w:t xml:space="preserve">надходжень </w:t>
      </w:r>
      <w:r w:rsidR="00C254D5" w:rsidRPr="00F9382C">
        <w:rPr>
          <w:rFonts w:ascii="Times New Roman" w:eastAsia="Times New Roman" w:hAnsi="Times New Roman" w:cs="Times New Roman"/>
          <w:b/>
          <w:sz w:val="28"/>
          <w:szCs w:val="28"/>
          <w:lang w:eastAsia="ru-RU"/>
        </w:rPr>
        <w:t>плати за землю</w:t>
      </w:r>
      <w:r w:rsidR="00C254D5">
        <w:rPr>
          <w:rFonts w:ascii="Times New Roman" w:eastAsia="Times New Roman" w:hAnsi="Times New Roman" w:cs="Times New Roman"/>
          <w:sz w:val="28"/>
          <w:szCs w:val="28"/>
          <w:lang w:eastAsia="ru-RU"/>
        </w:rPr>
        <w:t xml:space="preserve"> - </w:t>
      </w:r>
      <w:r w:rsidR="00C254D5" w:rsidRPr="00F9382C">
        <w:rPr>
          <w:rFonts w:ascii="Times New Roman" w:eastAsia="Times New Roman" w:hAnsi="Times New Roman" w:cs="Times New Roman"/>
          <w:b/>
          <w:sz w:val="28"/>
          <w:szCs w:val="28"/>
          <w:lang w:eastAsia="ru-RU"/>
        </w:rPr>
        <w:t>2 006,0 млн. грн</w:t>
      </w:r>
      <w:r w:rsidR="00C254D5">
        <w:rPr>
          <w:rFonts w:ascii="Times New Roman" w:eastAsia="Times New Roman" w:hAnsi="Times New Roman" w:cs="Times New Roman"/>
          <w:sz w:val="28"/>
          <w:szCs w:val="28"/>
          <w:lang w:eastAsia="ru-RU"/>
        </w:rPr>
        <w:t>.,</w:t>
      </w:r>
      <w:r w:rsidR="00C254D5" w:rsidRPr="00C254D5">
        <w:rPr>
          <w:rFonts w:ascii="Times New Roman" w:eastAsia="Times New Roman" w:hAnsi="Times New Roman" w:cs="Times New Roman"/>
          <w:sz w:val="28"/>
          <w:szCs w:val="28"/>
          <w:lang w:eastAsia="ru-RU"/>
        </w:rPr>
        <w:t xml:space="preserve"> </w:t>
      </w:r>
      <w:r w:rsidR="00C254D5">
        <w:rPr>
          <w:rFonts w:ascii="Times New Roman" w:eastAsia="Times New Roman" w:hAnsi="Times New Roman" w:cs="Times New Roman"/>
          <w:sz w:val="28"/>
          <w:szCs w:val="28"/>
          <w:lang w:eastAsia="ru-RU"/>
        </w:rPr>
        <w:t>р</w:t>
      </w:r>
      <w:r w:rsidR="00C254D5" w:rsidRPr="00DE1D65">
        <w:rPr>
          <w:rFonts w:ascii="Times New Roman" w:eastAsia="Times New Roman" w:hAnsi="Times New Roman" w:cs="Times New Roman"/>
          <w:sz w:val="28"/>
          <w:szCs w:val="28"/>
          <w:lang w:eastAsia="ru-RU"/>
        </w:rPr>
        <w:t xml:space="preserve">івень </w:t>
      </w:r>
      <w:r w:rsidR="00C254D5" w:rsidRPr="00C254D5">
        <w:rPr>
          <w:rFonts w:ascii="Times New Roman" w:eastAsia="Times New Roman" w:hAnsi="Times New Roman" w:cs="Times New Roman"/>
          <w:b/>
          <w:sz w:val="28"/>
          <w:szCs w:val="28"/>
          <w:lang w:eastAsia="ru-RU"/>
        </w:rPr>
        <w:t>виконання річного показника</w:t>
      </w:r>
      <w:r w:rsidR="00C254D5" w:rsidRPr="00DE1D65">
        <w:rPr>
          <w:rFonts w:ascii="Times New Roman" w:eastAsia="Times New Roman" w:hAnsi="Times New Roman" w:cs="Times New Roman"/>
          <w:sz w:val="28"/>
          <w:szCs w:val="28"/>
          <w:lang w:eastAsia="ru-RU"/>
        </w:rPr>
        <w:t>, затвердженого</w:t>
      </w:r>
      <w:r w:rsidR="00C254D5">
        <w:rPr>
          <w:rFonts w:ascii="Times New Roman" w:eastAsia="Times New Roman" w:hAnsi="Times New Roman" w:cs="Times New Roman"/>
          <w:sz w:val="28"/>
          <w:szCs w:val="28"/>
          <w:lang w:eastAsia="ru-RU"/>
        </w:rPr>
        <w:t xml:space="preserve"> місцевими радами </w:t>
      </w:r>
      <w:r w:rsidR="00DE1D65">
        <w:rPr>
          <w:rFonts w:ascii="Times New Roman" w:eastAsia="Times New Roman" w:hAnsi="Times New Roman" w:cs="Times New Roman"/>
          <w:sz w:val="28"/>
          <w:szCs w:val="28"/>
          <w:lang w:eastAsia="ru-RU"/>
        </w:rPr>
        <w:t xml:space="preserve">– </w:t>
      </w:r>
      <w:r w:rsidR="00DE1D65" w:rsidRPr="00C254D5">
        <w:rPr>
          <w:rFonts w:ascii="Times New Roman" w:eastAsia="Times New Roman" w:hAnsi="Times New Roman" w:cs="Times New Roman"/>
          <w:b/>
          <w:sz w:val="28"/>
          <w:szCs w:val="28"/>
          <w:lang w:eastAsia="ru-RU"/>
        </w:rPr>
        <w:t>17,4%</w:t>
      </w:r>
      <w:r w:rsidR="00DE1D65">
        <w:rPr>
          <w:rFonts w:ascii="Times New Roman" w:eastAsia="Times New Roman" w:hAnsi="Times New Roman" w:cs="Times New Roman"/>
          <w:sz w:val="28"/>
          <w:szCs w:val="28"/>
          <w:lang w:eastAsia="ru-RU"/>
        </w:rPr>
        <w:t>.</w:t>
      </w:r>
    </w:p>
    <w:p w:rsidR="008B736C" w:rsidRDefault="00F45BD2" w:rsidP="008B736C">
      <w:pPr>
        <w:spacing w:after="0" w:line="240" w:lineRule="auto"/>
        <w:ind w:left="-851"/>
        <w:jc w:val="center"/>
        <w:rPr>
          <w:rFonts w:ascii="Times New Roman" w:hAnsi="Times New Roman" w:cs="Times New Roman"/>
          <w:b/>
          <w:bCs/>
          <w:color w:val="000000"/>
          <w:spacing w:val="-4"/>
          <w:sz w:val="28"/>
          <w:szCs w:val="28"/>
          <w:u w:val="single"/>
          <w:shd w:val="clear" w:color="auto" w:fill="FFFFFF"/>
        </w:rPr>
      </w:pPr>
      <w:r w:rsidRPr="00764D36">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84864" behindDoc="0" locked="0" layoutInCell="1" allowOverlap="1" wp14:anchorId="5A0122FA" wp14:editId="78A7AA35">
                <wp:simplePos x="0" y="0"/>
                <wp:positionH relativeFrom="column">
                  <wp:posOffset>6551295</wp:posOffset>
                </wp:positionH>
                <wp:positionV relativeFrom="paragraph">
                  <wp:posOffset>3215005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15.85pt;margin-top:253.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8B736C">
        <w:rPr>
          <w:noProof/>
          <w:lang w:eastAsia="uk-UA"/>
        </w:rPr>
        <w:drawing>
          <wp:inline distT="0" distB="0" distL="0" distR="0" wp14:anchorId="3A08401B" wp14:editId="699025A5">
            <wp:extent cx="7419975" cy="4371975"/>
            <wp:effectExtent l="0" t="0" r="9525"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2011" w:rsidRDefault="00552011" w:rsidP="00EC395B">
      <w:pPr>
        <w:spacing w:after="0" w:line="240" w:lineRule="auto"/>
        <w:jc w:val="center"/>
        <w:rPr>
          <w:rFonts w:ascii="Times New Roman" w:hAnsi="Times New Roman" w:cs="Times New Roman"/>
          <w:b/>
          <w:bCs/>
          <w:color w:val="000000"/>
          <w:spacing w:val="-4"/>
          <w:sz w:val="28"/>
          <w:szCs w:val="28"/>
          <w:u w:val="single"/>
          <w:shd w:val="clear" w:color="auto" w:fill="FFFFFF"/>
        </w:rPr>
      </w:pPr>
    </w:p>
    <w:p w:rsidR="00552011" w:rsidRDefault="00552011" w:rsidP="00EC395B">
      <w:pPr>
        <w:spacing w:after="0" w:line="240" w:lineRule="auto"/>
        <w:jc w:val="center"/>
        <w:rPr>
          <w:rFonts w:ascii="Times New Roman" w:hAnsi="Times New Roman" w:cs="Times New Roman"/>
          <w:b/>
          <w:bCs/>
          <w:color w:val="000000"/>
          <w:spacing w:val="-4"/>
          <w:sz w:val="28"/>
          <w:szCs w:val="28"/>
          <w:u w:val="single"/>
          <w:shd w:val="clear" w:color="auto" w:fill="FFFFFF"/>
        </w:rPr>
      </w:pPr>
    </w:p>
    <w:p w:rsidR="00552011" w:rsidRDefault="00F45BD2" w:rsidP="00637368">
      <w:pPr>
        <w:spacing w:after="0" w:line="240" w:lineRule="auto"/>
        <w:ind w:left="-851"/>
        <w:jc w:val="center"/>
        <w:rPr>
          <w:rFonts w:ascii="Times New Roman" w:hAnsi="Times New Roman" w:cs="Times New Roman"/>
          <w:b/>
          <w:bCs/>
          <w:color w:val="000000"/>
          <w:spacing w:val="-4"/>
          <w:sz w:val="28"/>
          <w:szCs w:val="28"/>
          <w:u w:val="single"/>
          <w:shd w:val="clear" w:color="auto" w:fill="FFFFFF"/>
        </w:rPr>
      </w:pPr>
      <w:r w:rsidRPr="00764D36">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82816" behindDoc="0" locked="0" layoutInCell="1" allowOverlap="1" wp14:anchorId="74810F8F" wp14:editId="163ECA9A">
                <wp:simplePos x="0" y="0"/>
                <wp:positionH relativeFrom="column">
                  <wp:posOffset>6551295</wp:posOffset>
                </wp:positionH>
                <wp:positionV relativeFrom="paragraph">
                  <wp:posOffset>3206114</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515.85pt;margin-top:252.45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sidR="00552011">
        <w:rPr>
          <w:noProof/>
          <w:lang w:eastAsia="uk-UA"/>
        </w:rPr>
        <w:drawing>
          <wp:inline distT="0" distB="0" distL="0" distR="0" wp14:anchorId="30AF3098" wp14:editId="05BA7458">
            <wp:extent cx="7419975" cy="4400550"/>
            <wp:effectExtent l="0" t="0" r="9525"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0ECF" w:rsidRPr="00693B43" w:rsidRDefault="00AE5BC9" w:rsidP="001E0ECF">
      <w:pPr>
        <w:tabs>
          <w:tab w:val="left" w:pos="720"/>
        </w:tabs>
        <w:spacing w:before="120" w:after="60"/>
        <w:jc w:val="both"/>
        <w:rPr>
          <w:sz w:val="28"/>
          <w:szCs w:val="28"/>
        </w:rPr>
      </w:pPr>
      <w:r>
        <w:rPr>
          <w:rFonts w:ascii="Times New Roman" w:eastAsia="Times New Roman" w:hAnsi="Times New Roman" w:cs="Times New Roman"/>
          <w:sz w:val="28"/>
          <w:szCs w:val="28"/>
          <w:lang w:eastAsia="ru-RU"/>
        </w:rPr>
        <w:lastRenderedPageBreak/>
        <w:tab/>
      </w:r>
      <w:r w:rsidR="00713E82" w:rsidRPr="00693B43">
        <w:rPr>
          <w:rFonts w:ascii="Times New Roman" w:eastAsia="Times New Roman" w:hAnsi="Times New Roman" w:cs="Times New Roman"/>
          <w:sz w:val="28"/>
          <w:szCs w:val="28"/>
          <w:lang w:eastAsia="ru-RU"/>
        </w:rPr>
        <w:t xml:space="preserve">Надходження </w:t>
      </w:r>
      <w:r w:rsidR="00713E82" w:rsidRPr="00713E82">
        <w:rPr>
          <w:rFonts w:ascii="Times New Roman" w:eastAsia="Times New Roman" w:hAnsi="Times New Roman" w:cs="Times New Roman"/>
          <w:b/>
          <w:sz w:val="28"/>
          <w:szCs w:val="28"/>
          <w:lang w:eastAsia="ru-RU"/>
        </w:rPr>
        <w:t>податку на нерухоме майно</w:t>
      </w:r>
      <w:r w:rsidR="00713E82" w:rsidRPr="00693B43">
        <w:rPr>
          <w:rFonts w:ascii="Times New Roman" w:eastAsia="Times New Roman" w:hAnsi="Times New Roman" w:cs="Times New Roman"/>
          <w:sz w:val="28"/>
          <w:szCs w:val="28"/>
          <w:lang w:eastAsia="ru-RU"/>
        </w:rPr>
        <w:t xml:space="preserve"> </w:t>
      </w:r>
      <w:r w:rsidR="00693B43" w:rsidRPr="00693B43">
        <w:rPr>
          <w:rFonts w:ascii="Times New Roman" w:eastAsia="Times New Roman" w:hAnsi="Times New Roman" w:cs="Times New Roman"/>
          <w:sz w:val="28"/>
          <w:szCs w:val="28"/>
          <w:lang w:eastAsia="ru-RU"/>
        </w:rPr>
        <w:t xml:space="preserve">на </w:t>
      </w:r>
      <w:r w:rsidR="00693B43" w:rsidRPr="00713E82">
        <w:rPr>
          <w:rFonts w:ascii="Times New Roman" w:eastAsia="Times New Roman" w:hAnsi="Times New Roman" w:cs="Times New Roman"/>
          <w:b/>
          <w:sz w:val="28"/>
          <w:szCs w:val="28"/>
          <w:lang w:eastAsia="ru-RU"/>
        </w:rPr>
        <w:t>2015 рік</w:t>
      </w:r>
      <w:r w:rsidR="00693B43" w:rsidRPr="00693B43">
        <w:rPr>
          <w:rFonts w:ascii="Times New Roman" w:eastAsia="Times New Roman" w:hAnsi="Times New Roman" w:cs="Times New Roman"/>
          <w:sz w:val="28"/>
          <w:szCs w:val="28"/>
          <w:lang w:eastAsia="ru-RU"/>
        </w:rPr>
        <w:t xml:space="preserve"> затверджені місцевими радами в обсязі </w:t>
      </w:r>
      <w:r w:rsidR="00693B43" w:rsidRPr="00713E82">
        <w:rPr>
          <w:rFonts w:ascii="Times New Roman" w:eastAsia="Times New Roman" w:hAnsi="Times New Roman" w:cs="Times New Roman"/>
          <w:b/>
          <w:sz w:val="28"/>
          <w:szCs w:val="28"/>
          <w:lang w:eastAsia="ru-RU"/>
        </w:rPr>
        <w:t>226,2 мл</w:t>
      </w:r>
      <w:r w:rsidR="001E0ECF">
        <w:rPr>
          <w:rFonts w:ascii="Times New Roman" w:eastAsia="Times New Roman" w:hAnsi="Times New Roman" w:cs="Times New Roman"/>
          <w:b/>
          <w:sz w:val="28"/>
          <w:szCs w:val="28"/>
          <w:lang w:eastAsia="ru-RU"/>
        </w:rPr>
        <w:t>н</w:t>
      </w:r>
      <w:r w:rsidR="00693B43" w:rsidRPr="00713E82">
        <w:rPr>
          <w:rFonts w:ascii="Times New Roman" w:eastAsia="Times New Roman" w:hAnsi="Times New Roman" w:cs="Times New Roman"/>
          <w:b/>
          <w:sz w:val="28"/>
          <w:szCs w:val="28"/>
          <w:lang w:eastAsia="ru-RU"/>
        </w:rPr>
        <w:t>. грн</w:t>
      </w:r>
      <w:r w:rsidR="00693B43" w:rsidRPr="00693B43">
        <w:rPr>
          <w:rFonts w:ascii="Times New Roman" w:eastAsia="Times New Roman" w:hAnsi="Times New Roman" w:cs="Times New Roman"/>
          <w:sz w:val="28"/>
          <w:szCs w:val="28"/>
          <w:lang w:eastAsia="ru-RU"/>
        </w:rPr>
        <w:t xml:space="preserve">. Фактичні надходження податку </w:t>
      </w:r>
      <w:r w:rsidR="00693B43" w:rsidRPr="00713E82">
        <w:rPr>
          <w:rFonts w:ascii="Times New Roman" w:eastAsia="Times New Roman" w:hAnsi="Times New Roman" w:cs="Times New Roman"/>
          <w:b/>
          <w:sz w:val="28"/>
          <w:szCs w:val="28"/>
          <w:lang w:eastAsia="ru-RU"/>
        </w:rPr>
        <w:t>за</w:t>
      </w:r>
      <w:r w:rsidR="00713E82">
        <w:rPr>
          <w:rFonts w:ascii="Times New Roman" w:eastAsia="Times New Roman" w:hAnsi="Times New Roman" w:cs="Times New Roman"/>
          <w:sz w:val="28"/>
          <w:szCs w:val="28"/>
          <w:lang w:eastAsia="ru-RU"/>
        </w:rPr>
        <w:t> </w:t>
      </w:r>
      <w:r w:rsidR="00693B43" w:rsidRPr="00713E82">
        <w:rPr>
          <w:rFonts w:ascii="Times New Roman" w:eastAsia="Times New Roman" w:hAnsi="Times New Roman" w:cs="Times New Roman"/>
          <w:b/>
          <w:sz w:val="28"/>
          <w:szCs w:val="28"/>
          <w:lang w:eastAsia="ru-RU"/>
        </w:rPr>
        <w:t>січень-лютий</w:t>
      </w:r>
      <w:r w:rsidR="00693B43" w:rsidRPr="00693B43">
        <w:rPr>
          <w:rFonts w:ascii="Times New Roman" w:eastAsia="Times New Roman" w:hAnsi="Times New Roman" w:cs="Times New Roman"/>
          <w:sz w:val="28"/>
          <w:szCs w:val="28"/>
          <w:lang w:eastAsia="ru-RU"/>
        </w:rPr>
        <w:t xml:space="preserve"> поточного року склали </w:t>
      </w:r>
      <w:r w:rsidR="00693B43" w:rsidRPr="00713E82">
        <w:rPr>
          <w:rFonts w:ascii="Times New Roman" w:eastAsia="Times New Roman" w:hAnsi="Times New Roman" w:cs="Times New Roman"/>
          <w:b/>
          <w:sz w:val="28"/>
          <w:szCs w:val="28"/>
          <w:lang w:eastAsia="ru-RU"/>
        </w:rPr>
        <w:t>21,2 мл</w:t>
      </w:r>
      <w:r w:rsidR="001E0ECF">
        <w:rPr>
          <w:rFonts w:ascii="Times New Roman" w:eastAsia="Times New Roman" w:hAnsi="Times New Roman" w:cs="Times New Roman"/>
          <w:b/>
          <w:sz w:val="28"/>
          <w:szCs w:val="28"/>
          <w:lang w:eastAsia="ru-RU"/>
        </w:rPr>
        <w:t>н</w:t>
      </w:r>
      <w:r w:rsidR="00693B43" w:rsidRPr="00713E82">
        <w:rPr>
          <w:rFonts w:ascii="Times New Roman" w:eastAsia="Times New Roman" w:hAnsi="Times New Roman" w:cs="Times New Roman"/>
          <w:b/>
          <w:sz w:val="28"/>
          <w:szCs w:val="28"/>
          <w:lang w:eastAsia="ru-RU"/>
        </w:rPr>
        <w:t>. грн</w:t>
      </w:r>
      <w:r w:rsidR="00693B43" w:rsidRPr="00693B43">
        <w:rPr>
          <w:rFonts w:ascii="Times New Roman" w:eastAsia="Times New Roman" w:hAnsi="Times New Roman" w:cs="Times New Roman"/>
          <w:sz w:val="28"/>
          <w:szCs w:val="28"/>
          <w:lang w:eastAsia="ru-RU"/>
        </w:rPr>
        <w:t xml:space="preserve">. </w:t>
      </w:r>
      <w:r w:rsidR="00693B43" w:rsidRPr="00713E82">
        <w:rPr>
          <w:rFonts w:ascii="Times New Roman" w:eastAsia="Times New Roman" w:hAnsi="Times New Roman" w:cs="Times New Roman"/>
          <w:i/>
          <w:sz w:val="28"/>
          <w:szCs w:val="28"/>
          <w:lang w:eastAsia="ru-RU"/>
        </w:rPr>
        <w:t xml:space="preserve">(слайд </w:t>
      </w:r>
      <w:r w:rsidR="00713E82" w:rsidRPr="00713E82">
        <w:rPr>
          <w:rFonts w:ascii="Times New Roman" w:eastAsia="Times New Roman" w:hAnsi="Times New Roman" w:cs="Times New Roman"/>
          <w:i/>
          <w:sz w:val="28"/>
          <w:szCs w:val="28"/>
          <w:lang w:eastAsia="ru-RU"/>
        </w:rPr>
        <w:t>5</w:t>
      </w:r>
      <w:r w:rsidR="00693B43" w:rsidRPr="00713E82">
        <w:rPr>
          <w:rFonts w:ascii="Times New Roman" w:eastAsia="Times New Roman" w:hAnsi="Times New Roman" w:cs="Times New Roman"/>
          <w:i/>
          <w:sz w:val="28"/>
          <w:szCs w:val="28"/>
          <w:lang w:eastAsia="ru-RU"/>
        </w:rPr>
        <w:t>)</w:t>
      </w:r>
      <w:r w:rsidR="00693B43">
        <w:rPr>
          <w:rFonts w:ascii="Times New Roman" w:eastAsia="Times New Roman" w:hAnsi="Times New Roman" w:cs="Times New Roman"/>
          <w:sz w:val="28"/>
          <w:szCs w:val="28"/>
          <w:lang w:eastAsia="ru-RU"/>
        </w:rPr>
        <w:t>.</w:t>
      </w:r>
      <w:r w:rsidR="00713E82">
        <w:rPr>
          <w:rFonts w:ascii="Times New Roman" w:eastAsia="Times New Roman" w:hAnsi="Times New Roman" w:cs="Times New Roman"/>
          <w:sz w:val="28"/>
          <w:szCs w:val="28"/>
          <w:lang w:eastAsia="ru-RU"/>
        </w:rPr>
        <w:t xml:space="preserve"> </w:t>
      </w:r>
    </w:p>
    <w:p w:rsidR="00C254D5" w:rsidRDefault="00C254D5" w:rsidP="001E0ECF">
      <w:pPr>
        <w:tabs>
          <w:tab w:val="left" w:pos="720"/>
        </w:tabs>
        <w:spacing w:before="360"/>
        <w:jc w:val="both"/>
        <w:rPr>
          <w:rFonts w:ascii="Times New Roman" w:eastAsia="Times New Roman" w:hAnsi="Times New Roman" w:cs="Times New Roman"/>
          <w:noProof/>
          <w:sz w:val="28"/>
          <w:szCs w:val="28"/>
          <w:lang w:eastAsia="uk-UA"/>
        </w:rPr>
      </w:pPr>
      <w:r>
        <w:rPr>
          <w:rFonts w:ascii="Times New Roman" w:eastAsia="Times New Roman" w:hAnsi="Times New Roman" w:cs="Times New Roman"/>
          <w:sz w:val="28"/>
          <w:szCs w:val="28"/>
          <w:lang w:eastAsia="ru-RU"/>
        </w:rPr>
        <w:tab/>
      </w:r>
      <w:r w:rsidRPr="00C254D5">
        <w:rPr>
          <w:rFonts w:ascii="Times New Roman" w:eastAsia="Times New Roman" w:hAnsi="Times New Roman" w:cs="Times New Roman"/>
          <w:sz w:val="28"/>
          <w:szCs w:val="28"/>
          <w:lang w:eastAsia="ru-RU"/>
        </w:rPr>
        <w:t>Станом на 0</w:t>
      </w:r>
      <w:r w:rsidR="001E0ECF">
        <w:rPr>
          <w:rFonts w:ascii="Times New Roman" w:eastAsia="Times New Roman" w:hAnsi="Times New Roman" w:cs="Times New Roman"/>
          <w:sz w:val="28"/>
          <w:szCs w:val="28"/>
          <w:lang w:eastAsia="ru-RU"/>
        </w:rPr>
        <w:t>1</w:t>
      </w:r>
      <w:r w:rsidRPr="00C254D5">
        <w:rPr>
          <w:rFonts w:ascii="Times New Roman" w:eastAsia="Times New Roman" w:hAnsi="Times New Roman" w:cs="Times New Roman"/>
          <w:sz w:val="28"/>
          <w:szCs w:val="28"/>
          <w:lang w:eastAsia="ru-RU"/>
        </w:rPr>
        <w:t>.03</w:t>
      </w:r>
      <w:bookmarkStart w:id="0" w:name="_GoBack"/>
      <w:bookmarkEnd w:id="0"/>
      <w:r w:rsidRPr="00C254D5">
        <w:rPr>
          <w:rFonts w:ascii="Times New Roman" w:eastAsia="Times New Roman" w:hAnsi="Times New Roman" w:cs="Times New Roman"/>
          <w:sz w:val="28"/>
          <w:szCs w:val="28"/>
          <w:lang w:eastAsia="ru-RU"/>
        </w:rPr>
        <w:t xml:space="preserve">.2015 фактичні </w:t>
      </w:r>
      <w:r w:rsidRPr="00C254D5">
        <w:rPr>
          <w:rFonts w:ascii="Times New Roman" w:eastAsia="Times New Roman" w:hAnsi="Times New Roman" w:cs="Times New Roman"/>
          <w:b/>
          <w:sz w:val="28"/>
          <w:szCs w:val="28"/>
          <w:lang w:eastAsia="ru-RU"/>
        </w:rPr>
        <w:t>надходження акцизного податку</w:t>
      </w:r>
      <w:r w:rsidRPr="00C254D5">
        <w:rPr>
          <w:rFonts w:ascii="Times New Roman" w:eastAsia="Times New Roman" w:hAnsi="Times New Roman" w:cs="Times New Roman"/>
          <w:sz w:val="28"/>
          <w:szCs w:val="28"/>
          <w:lang w:eastAsia="ru-RU"/>
        </w:rPr>
        <w:t xml:space="preserve"> склали </w:t>
      </w:r>
      <w:r w:rsidRPr="00C254D5">
        <w:rPr>
          <w:rFonts w:ascii="Times New Roman" w:eastAsia="Times New Roman" w:hAnsi="Times New Roman" w:cs="Times New Roman"/>
          <w:b/>
          <w:sz w:val="28"/>
          <w:szCs w:val="28"/>
          <w:lang w:eastAsia="ru-RU"/>
        </w:rPr>
        <w:t>541,5 млн. грн</w:t>
      </w:r>
      <w:r w:rsidRPr="00C254D5">
        <w:rPr>
          <w:rFonts w:ascii="Times New Roman" w:eastAsia="Times New Roman" w:hAnsi="Times New Roman" w:cs="Times New Roman"/>
          <w:sz w:val="28"/>
          <w:szCs w:val="28"/>
          <w:lang w:eastAsia="ru-RU"/>
        </w:rPr>
        <w:t xml:space="preserve">. </w:t>
      </w:r>
      <w:r w:rsidRPr="00902BD5">
        <w:rPr>
          <w:rFonts w:ascii="Times New Roman" w:eastAsia="Times New Roman" w:hAnsi="Times New Roman" w:cs="Times New Roman"/>
          <w:sz w:val="28"/>
          <w:szCs w:val="28"/>
          <w:lang w:eastAsia="ru-RU"/>
        </w:rPr>
        <w:t xml:space="preserve">що в розрахунку </w:t>
      </w:r>
      <w:r w:rsidRPr="00C254D5">
        <w:rPr>
          <w:rFonts w:ascii="Times New Roman" w:eastAsia="Times New Roman" w:hAnsi="Times New Roman" w:cs="Times New Roman"/>
          <w:b/>
          <w:sz w:val="28"/>
          <w:szCs w:val="28"/>
          <w:lang w:eastAsia="ru-RU"/>
        </w:rPr>
        <w:t>на 1-го жителя</w:t>
      </w:r>
      <w:r w:rsidRPr="00902BD5">
        <w:rPr>
          <w:rFonts w:ascii="Times New Roman" w:eastAsia="Times New Roman" w:hAnsi="Times New Roman" w:cs="Times New Roman"/>
          <w:sz w:val="28"/>
          <w:szCs w:val="28"/>
          <w:lang w:eastAsia="ru-RU"/>
        </w:rPr>
        <w:t xml:space="preserve"> країни складає </w:t>
      </w:r>
      <w:r w:rsidRPr="00C254D5">
        <w:rPr>
          <w:rFonts w:ascii="Times New Roman" w:eastAsia="Times New Roman" w:hAnsi="Times New Roman" w:cs="Times New Roman"/>
          <w:b/>
          <w:sz w:val="28"/>
          <w:szCs w:val="28"/>
          <w:lang w:eastAsia="ru-RU"/>
        </w:rPr>
        <w:t>12,6 гривень</w:t>
      </w:r>
      <w:r w:rsidRPr="00902B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254D5">
        <w:rPr>
          <w:rFonts w:ascii="Times New Roman" w:eastAsia="Times New Roman" w:hAnsi="Times New Roman" w:cs="Times New Roman"/>
          <w:i/>
          <w:sz w:val="28"/>
          <w:szCs w:val="28"/>
          <w:lang w:eastAsia="ru-RU"/>
        </w:rPr>
        <w:t>(слайд 6)</w:t>
      </w:r>
      <w:r w:rsidRPr="00C254D5">
        <w:rPr>
          <w:rFonts w:ascii="Times New Roman" w:eastAsia="Times New Roman" w:hAnsi="Times New Roman" w:cs="Times New Roman"/>
          <w:sz w:val="28"/>
          <w:szCs w:val="28"/>
          <w:lang w:eastAsia="ru-RU"/>
        </w:rPr>
        <w:t>.</w:t>
      </w:r>
      <w:r w:rsidR="00BF342E" w:rsidRPr="00BF342E">
        <w:rPr>
          <w:rFonts w:ascii="Times New Roman" w:eastAsia="Times New Roman" w:hAnsi="Times New Roman" w:cs="Times New Roman"/>
          <w:noProof/>
          <w:sz w:val="28"/>
          <w:szCs w:val="28"/>
          <w:lang w:eastAsia="uk-UA"/>
        </w:rPr>
        <w:t xml:space="preserve"> </w:t>
      </w:r>
    </w:p>
    <w:p w:rsidR="001E0ECF" w:rsidRPr="001E0ECF" w:rsidRDefault="001E0ECF" w:rsidP="001E0ECF">
      <w:pPr>
        <w:tabs>
          <w:tab w:val="left" w:pos="720"/>
        </w:tabs>
        <w:spacing w:before="120" w:after="120" w:line="240" w:lineRule="auto"/>
        <w:jc w:val="both"/>
        <w:rPr>
          <w:rFonts w:ascii="Times New Roman" w:eastAsia="Times New Roman" w:hAnsi="Times New Roman" w:cs="Times New Roman"/>
          <w:sz w:val="14"/>
          <w:szCs w:val="14"/>
          <w:lang w:eastAsia="ru-RU"/>
        </w:rPr>
      </w:pPr>
    </w:p>
    <w:p w:rsidR="00637368" w:rsidRDefault="001E0ECF" w:rsidP="00637368">
      <w:pPr>
        <w:spacing w:after="0" w:line="240" w:lineRule="auto"/>
        <w:ind w:left="-709"/>
        <w:rPr>
          <w:rFonts w:ascii="Times New Roman" w:hAnsi="Times New Roman" w:cs="Times New Roman"/>
          <w:b/>
          <w:bCs/>
          <w:color w:val="000000"/>
          <w:spacing w:val="-4"/>
          <w:sz w:val="28"/>
          <w:szCs w:val="28"/>
          <w:u w:val="single"/>
          <w:shd w:val="clear" w:color="auto" w:fill="FFFFFF"/>
        </w:rPr>
      </w:pPr>
      <w:r w:rsidRPr="00764D36">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86912" behindDoc="0" locked="0" layoutInCell="1" allowOverlap="1" wp14:anchorId="08D6D58C" wp14:editId="34CB18B4">
                <wp:simplePos x="0" y="0"/>
                <wp:positionH relativeFrom="column">
                  <wp:posOffset>-571500</wp:posOffset>
                </wp:positionH>
                <wp:positionV relativeFrom="paragraph">
                  <wp:posOffset>7320280</wp:posOffset>
                </wp:positionV>
                <wp:extent cx="247650" cy="400050"/>
                <wp:effectExtent l="0" t="0" r="0" b="0"/>
                <wp:wrapNone/>
                <wp:docPr id="13" name="Прямокутник 3"/>
                <wp:cNvGraphicFramePr/>
                <a:graphic xmlns:a="http://schemas.openxmlformats.org/drawingml/2006/main">
                  <a:graphicData uri="http://schemas.microsoft.com/office/word/2010/wordprocessingShape">
                    <wps:wsp>
                      <wps:cNvSpPr/>
                      <wps:spPr>
                        <a:xfrm>
                          <a:off x="0" y="0"/>
                          <a:ext cx="247650" cy="400050"/>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45pt;margin-top:576.4pt;width:19.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764D36">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88960" behindDoc="0" locked="0" layoutInCell="1" allowOverlap="1" wp14:anchorId="3252B625" wp14:editId="2A2281B5">
                <wp:simplePos x="0" y="0"/>
                <wp:positionH relativeFrom="column">
                  <wp:posOffset>3219450</wp:posOffset>
                </wp:positionH>
                <wp:positionV relativeFrom="paragraph">
                  <wp:posOffset>7310755</wp:posOffset>
                </wp:positionV>
                <wp:extent cx="314325" cy="40957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09575"/>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53.5pt;margin-top:575.65pt;width:24.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Pr>
          <w:noProof/>
          <w:lang w:eastAsia="uk-UA"/>
        </w:rPr>
        <w:drawing>
          <wp:anchor distT="0" distB="0" distL="114300" distR="114300" simplePos="0" relativeHeight="251680768" behindDoc="1" locked="0" layoutInCell="1" allowOverlap="1" wp14:anchorId="4DEC8305" wp14:editId="056B44E4">
            <wp:simplePos x="0" y="0"/>
            <wp:positionH relativeFrom="column">
              <wp:posOffset>-449580</wp:posOffset>
            </wp:positionH>
            <wp:positionV relativeFrom="paragraph">
              <wp:posOffset>4445</wp:posOffset>
            </wp:positionV>
            <wp:extent cx="3467100" cy="7981950"/>
            <wp:effectExtent l="0" t="0" r="19050" b="0"/>
            <wp:wrapThrough wrapText="bothSides">
              <wp:wrapPolygon edited="0">
                <wp:start x="0" y="0"/>
                <wp:lineTo x="0" y="1598"/>
                <wp:lineTo x="17327" y="1650"/>
                <wp:lineTo x="2730" y="2114"/>
                <wp:lineTo x="2730" y="2371"/>
                <wp:lineTo x="10563" y="2474"/>
                <wp:lineTo x="2967" y="2887"/>
                <wp:lineTo x="2967" y="3196"/>
                <wp:lineTo x="9969" y="3299"/>
                <wp:lineTo x="1899" y="3660"/>
                <wp:lineTo x="1899" y="3918"/>
                <wp:lineTo x="9613" y="4124"/>
                <wp:lineTo x="0" y="4433"/>
                <wp:lineTo x="0" y="4743"/>
                <wp:lineTo x="9257" y="4949"/>
                <wp:lineTo x="2136" y="5258"/>
                <wp:lineTo x="2136" y="5516"/>
                <wp:lineTo x="8782" y="5774"/>
                <wp:lineTo x="1899" y="6032"/>
                <wp:lineTo x="1899" y="6289"/>
                <wp:lineTo x="8782" y="6599"/>
                <wp:lineTo x="2136" y="6805"/>
                <wp:lineTo x="2136" y="7063"/>
                <wp:lineTo x="8070" y="7423"/>
                <wp:lineTo x="2255" y="7578"/>
                <wp:lineTo x="2255" y="7836"/>
                <wp:lineTo x="7240" y="8248"/>
                <wp:lineTo x="2492" y="8351"/>
                <wp:lineTo x="2492" y="8661"/>
                <wp:lineTo x="7240" y="9073"/>
                <wp:lineTo x="1424" y="9125"/>
                <wp:lineTo x="1424" y="9331"/>
                <wp:lineTo x="7477" y="9898"/>
                <wp:lineTo x="0" y="9949"/>
                <wp:lineTo x="0" y="10207"/>
                <wp:lineTo x="7358" y="10723"/>
                <wp:lineTo x="1305" y="10723"/>
                <wp:lineTo x="1187" y="10877"/>
                <wp:lineTo x="2730" y="11547"/>
                <wp:lineTo x="1305" y="12372"/>
                <wp:lineTo x="1305" y="12475"/>
                <wp:lineTo x="1899" y="13042"/>
                <wp:lineTo x="1305" y="13816"/>
                <wp:lineTo x="1068" y="13970"/>
                <wp:lineTo x="2018" y="14847"/>
                <wp:lineTo x="831" y="15517"/>
                <wp:lineTo x="949" y="15672"/>
                <wp:lineTo x="3323" y="15672"/>
                <wp:lineTo x="2136" y="16342"/>
                <wp:lineTo x="2374" y="16496"/>
                <wp:lineTo x="7002" y="16496"/>
                <wp:lineTo x="949" y="16960"/>
                <wp:lineTo x="949" y="17270"/>
                <wp:lineTo x="7002" y="17321"/>
                <wp:lineTo x="1780" y="17785"/>
                <wp:lineTo x="1780" y="17991"/>
                <wp:lineTo x="7002" y="18146"/>
                <wp:lineTo x="831" y="18507"/>
                <wp:lineTo x="831" y="18765"/>
                <wp:lineTo x="7002" y="18971"/>
                <wp:lineTo x="2136" y="19280"/>
                <wp:lineTo x="2136" y="19538"/>
                <wp:lineTo x="7121" y="19796"/>
                <wp:lineTo x="1543" y="20105"/>
                <wp:lineTo x="1543" y="20363"/>
                <wp:lineTo x="7002" y="20621"/>
                <wp:lineTo x="6171" y="20930"/>
                <wp:lineTo x="6290" y="21084"/>
                <wp:lineTo x="7477" y="21445"/>
                <wp:lineTo x="7240" y="21548"/>
                <wp:lineTo x="21600" y="21548"/>
                <wp:lineTo x="21600" y="7423"/>
                <wp:lineTo x="10800" y="7423"/>
                <wp:lineTo x="11275" y="6805"/>
                <wp:lineTo x="11393" y="6599"/>
                <wp:lineTo x="12462" y="5774"/>
                <wp:lineTo x="14479" y="2474"/>
                <wp:lineTo x="16497" y="2474"/>
                <wp:lineTo x="21363" y="1907"/>
                <wp:lineTo x="21600" y="1134"/>
                <wp:lineTo x="21600" y="0"/>
                <wp:lineTo x="0" y="0"/>
              </wp:wrapPolygon>
            </wp:wrapThrough>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637368">
        <w:rPr>
          <w:noProof/>
          <w:lang w:eastAsia="uk-UA"/>
        </w:rPr>
        <w:drawing>
          <wp:inline distT="0" distB="0" distL="0" distR="0" wp14:anchorId="0C3AABE7" wp14:editId="41E17BA2">
            <wp:extent cx="3619500" cy="7981950"/>
            <wp:effectExtent l="0" t="0" r="1905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0ECF" w:rsidRDefault="001E0ECF"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p>
    <w:p w:rsidR="00F9382C" w:rsidRDefault="00F9382C" w:rsidP="00F9382C">
      <w:pPr>
        <w:spacing w:after="0" w:line="240" w:lineRule="auto"/>
        <w:jc w:val="center"/>
        <w:rPr>
          <w:rFonts w:ascii="Times New Roman" w:hAnsi="Times New Roman" w:cs="Times New Roman"/>
          <w:b/>
          <w:bCs/>
          <w:color w:val="000000"/>
          <w:spacing w:val="-4"/>
          <w:sz w:val="28"/>
          <w:szCs w:val="28"/>
          <w:u w:val="single"/>
          <w:shd w:val="clear" w:color="auto" w:fill="FFFFFF"/>
        </w:rPr>
      </w:pPr>
      <w:r w:rsidRPr="007510A6">
        <w:rPr>
          <w:rFonts w:ascii="Times New Roman" w:hAnsi="Times New Roman" w:cs="Times New Roman"/>
          <w:b/>
          <w:bCs/>
          <w:color w:val="000000"/>
          <w:spacing w:val="-4"/>
          <w:sz w:val="28"/>
          <w:szCs w:val="28"/>
          <w:u w:val="single"/>
          <w:shd w:val="clear" w:color="auto" w:fill="FFFFFF"/>
        </w:rPr>
        <w:lastRenderedPageBreak/>
        <w:t>Міжбюджетні трансферти</w:t>
      </w:r>
      <w:r w:rsidR="00731AD3">
        <w:rPr>
          <w:rFonts w:ascii="Times New Roman" w:hAnsi="Times New Roman" w:cs="Times New Roman"/>
          <w:b/>
          <w:bCs/>
          <w:color w:val="000000"/>
          <w:spacing w:val="-4"/>
          <w:sz w:val="28"/>
          <w:szCs w:val="28"/>
          <w:u w:val="single"/>
          <w:shd w:val="clear" w:color="auto" w:fill="FFFFFF"/>
        </w:rPr>
        <w:t xml:space="preserve"> </w:t>
      </w:r>
      <w:r w:rsidR="00EE6622" w:rsidRPr="007510A6">
        <w:rPr>
          <w:rFonts w:ascii="Times New Roman" w:hAnsi="Times New Roman" w:cs="Times New Roman"/>
          <w:b/>
          <w:bCs/>
          <w:color w:val="000000"/>
          <w:spacing w:val="-4"/>
          <w:sz w:val="28"/>
          <w:szCs w:val="28"/>
          <w:u w:val="single"/>
          <w:shd w:val="clear" w:color="auto" w:fill="FFFFFF"/>
        </w:rPr>
        <w:t>за січень</w:t>
      </w:r>
      <w:r w:rsidR="003202C8">
        <w:rPr>
          <w:rFonts w:ascii="Times New Roman" w:hAnsi="Times New Roman" w:cs="Times New Roman"/>
          <w:b/>
          <w:bCs/>
          <w:color w:val="000000"/>
          <w:spacing w:val="-4"/>
          <w:sz w:val="28"/>
          <w:szCs w:val="28"/>
          <w:u w:val="single"/>
          <w:shd w:val="clear" w:color="auto" w:fill="FFFFFF"/>
        </w:rPr>
        <w:t>-лютий</w:t>
      </w:r>
      <w:r w:rsidR="00EE6622" w:rsidRPr="007510A6">
        <w:rPr>
          <w:rFonts w:ascii="Times New Roman" w:hAnsi="Times New Roman" w:cs="Times New Roman"/>
          <w:b/>
          <w:bCs/>
          <w:color w:val="000000"/>
          <w:spacing w:val="-4"/>
          <w:sz w:val="28"/>
          <w:szCs w:val="28"/>
          <w:u w:val="single"/>
          <w:shd w:val="clear" w:color="auto" w:fill="FFFFFF"/>
        </w:rPr>
        <w:t xml:space="preserve"> 2015 року</w:t>
      </w:r>
    </w:p>
    <w:p w:rsidR="007510A6" w:rsidRPr="00EC395B" w:rsidRDefault="007510A6" w:rsidP="00F9382C">
      <w:pPr>
        <w:spacing w:after="0" w:line="240" w:lineRule="auto"/>
        <w:jc w:val="center"/>
        <w:rPr>
          <w:rFonts w:ascii="Times New Roman" w:hAnsi="Times New Roman" w:cs="Times New Roman"/>
          <w:b/>
          <w:bCs/>
          <w:color w:val="000000"/>
          <w:spacing w:val="-4"/>
          <w:sz w:val="20"/>
          <w:szCs w:val="20"/>
          <w:u w:val="single"/>
          <w:shd w:val="clear" w:color="auto" w:fill="FFFFFF"/>
        </w:rPr>
      </w:pPr>
    </w:p>
    <w:p w:rsidR="00FB55A4" w:rsidRPr="00FB55A4" w:rsidRDefault="00FB55A4" w:rsidP="00731AD3">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FB55A4">
        <w:rPr>
          <w:rFonts w:ascii="Times New Roman" w:eastAsia="Times New Roman" w:hAnsi="Times New Roman" w:cs="Times New Roman"/>
          <w:sz w:val="28"/>
          <w:szCs w:val="28"/>
          <w:lang w:eastAsia="ru-RU"/>
        </w:rPr>
        <w:t>Зі свого боку  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FB55A4" w:rsidRDefault="00FB55A4" w:rsidP="00731AD3">
      <w:pPr>
        <w:tabs>
          <w:tab w:val="left" w:pos="720"/>
        </w:tabs>
        <w:spacing w:before="60" w:after="0" w:line="240" w:lineRule="auto"/>
        <w:ind w:firstLine="709"/>
        <w:jc w:val="both"/>
        <w:rPr>
          <w:rFonts w:ascii="Times New Roman" w:eastAsia="Times New Roman" w:hAnsi="Times New Roman" w:cs="Times New Roman"/>
          <w:sz w:val="28"/>
          <w:szCs w:val="28"/>
          <w:lang w:eastAsia="ru-RU"/>
        </w:rPr>
      </w:pPr>
      <w:r w:rsidRPr="00FB55A4">
        <w:rPr>
          <w:rFonts w:ascii="Times New Roman" w:eastAsia="Times New Roman" w:hAnsi="Times New Roman" w:cs="Times New Roman"/>
          <w:sz w:val="28"/>
          <w:szCs w:val="28"/>
          <w:lang w:eastAsia="ru-RU"/>
        </w:rPr>
        <w:t xml:space="preserve">Так, станом на 01.03.2015 місцеві бюджети одержали </w:t>
      </w:r>
      <w:r w:rsidRPr="00FB55A4">
        <w:rPr>
          <w:rFonts w:ascii="Times New Roman" w:eastAsia="Times New Roman" w:hAnsi="Times New Roman" w:cs="Times New Roman"/>
          <w:b/>
          <w:sz w:val="28"/>
          <w:szCs w:val="28"/>
          <w:lang w:eastAsia="ru-RU"/>
        </w:rPr>
        <w:t xml:space="preserve">23 493,7 </w:t>
      </w:r>
      <w:proofErr w:type="spellStart"/>
      <w:r w:rsidRPr="00FB55A4">
        <w:rPr>
          <w:rFonts w:ascii="Times New Roman" w:eastAsia="Times New Roman" w:hAnsi="Times New Roman" w:cs="Times New Roman"/>
          <w:b/>
          <w:sz w:val="28"/>
          <w:szCs w:val="28"/>
          <w:lang w:eastAsia="ru-RU"/>
        </w:rPr>
        <w:t>млн.грн</w:t>
      </w:r>
      <w:proofErr w:type="spellEnd"/>
      <w:r w:rsidRPr="00FB55A4">
        <w:rPr>
          <w:rFonts w:ascii="Times New Roman" w:eastAsia="Times New Roman" w:hAnsi="Times New Roman" w:cs="Times New Roman"/>
          <w:b/>
          <w:sz w:val="28"/>
          <w:szCs w:val="28"/>
          <w:lang w:eastAsia="ru-RU"/>
        </w:rPr>
        <w:t>.</w:t>
      </w:r>
      <w:r w:rsidRPr="00FB55A4">
        <w:rPr>
          <w:rFonts w:ascii="Times New Roman" w:eastAsia="Times New Roman" w:hAnsi="Times New Roman" w:cs="Times New Roman"/>
          <w:sz w:val="28"/>
          <w:szCs w:val="28"/>
          <w:lang w:eastAsia="ru-RU"/>
        </w:rPr>
        <w:t xml:space="preserve"> трансфертів, що складає </w:t>
      </w:r>
      <w:r w:rsidRPr="00FB55A4">
        <w:rPr>
          <w:rFonts w:ascii="Times New Roman" w:eastAsia="Times New Roman" w:hAnsi="Times New Roman" w:cs="Times New Roman"/>
          <w:b/>
          <w:sz w:val="28"/>
          <w:szCs w:val="28"/>
          <w:lang w:eastAsia="ru-RU"/>
        </w:rPr>
        <w:t>92,6%</w:t>
      </w:r>
      <w:r w:rsidRPr="00FB55A4">
        <w:rPr>
          <w:rFonts w:ascii="Times New Roman" w:eastAsia="Times New Roman" w:hAnsi="Times New Roman" w:cs="Times New Roman"/>
          <w:sz w:val="28"/>
          <w:szCs w:val="28"/>
          <w:lang w:eastAsia="ru-RU"/>
        </w:rPr>
        <w:t xml:space="preserve"> від передбачених розписом асигнувань на січень-лютий 2015 року.</w:t>
      </w:r>
    </w:p>
    <w:p w:rsidR="00FB55A4" w:rsidRPr="00FB55A4" w:rsidRDefault="00FB55A4" w:rsidP="00731AD3">
      <w:pPr>
        <w:tabs>
          <w:tab w:val="left" w:pos="720"/>
        </w:tabs>
        <w:spacing w:before="60" w:after="0" w:line="240" w:lineRule="auto"/>
        <w:ind w:firstLine="709"/>
        <w:jc w:val="both"/>
        <w:rPr>
          <w:rFonts w:ascii="Times New Roman" w:eastAsia="Times New Roman" w:hAnsi="Times New Roman" w:cs="Times New Roman"/>
          <w:sz w:val="28"/>
          <w:szCs w:val="28"/>
          <w:lang w:eastAsia="ru-RU"/>
        </w:rPr>
      </w:pPr>
      <w:r w:rsidRPr="00FB55A4">
        <w:rPr>
          <w:rFonts w:ascii="Times New Roman" w:eastAsia="Times New Roman" w:hAnsi="Times New Roman" w:cs="Times New Roman"/>
          <w:b/>
          <w:sz w:val="28"/>
          <w:szCs w:val="28"/>
          <w:lang w:eastAsia="ru-RU"/>
        </w:rPr>
        <w:t>Базова дотація</w:t>
      </w:r>
      <w:r w:rsidRPr="00FB55A4">
        <w:rPr>
          <w:rFonts w:ascii="Times New Roman" w:eastAsia="Times New Roman" w:hAnsi="Times New Roman" w:cs="Times New Roman"/>
          <w:sz w:val="28"/>
          <w:szCs w:val="28"/>
          <w:lang w:eastAsia="ru-RU"/>
        </w:rPr>
        <w:t xml:space="preserve"> перерахована в сумі </w:t>
      </w:r>
      <w:r w:rsidRPr="00FB55A4">
        <w:rPr>
          <w:rFonts w:ascii="Times New Roman" w:eastAsia="Times New Roman" w:hAnsi="Times New Roman" w:cs="Times New Roman"/>
          <w:b/>
          <w:sz w:val="28"/>
          <w:szCs w:val="28"/>
          <w:lang w:eastAsia="ru-RU"/>
        </w:rPr>
        <w:t>877,0 млн.грн</w:t>
      </w:r>
      <w:r w:rsidRPr="00FB55A4">
        <w:rPr>
          <w:rFonts w:ascii="Times New Roman" w:eastAsia="Times New Roman" w:hAnsi="Times New Roman" w:cs="Times New Roman"/>
          <w:sz w:val="28"/>
          <w:szCs w:val="28"/>
          <w:lang w:eastAsia="ru-RU"/>
        </w:rPr>
        <w:t xml:space="preserve">. або </w:t>
      </w:r>
      <w:r w:rsidRPr="00FB55A4">
        <w:rPr>
          <w:rFonts w:ascii="Times New Roman" w:eastAsia="Times New Roman" w:hAnsi="Times New Roman" w:cs="Times New Roman"/>
          <w:b/>
          <w:sz w:val="28"/>
          <w:szCs w:val="28"/>
          <w:lang w:eastAsia="ru-RU"/>
        </w:rPr>
        <w:t>98,2%</w:t>
      </w:r>
      <w:r w:rsidRPr="00FB55A4">
        <w:rPr>
          <w:rFonts w:ascii="Times New Roman" w:eastAsia="Times New Roman" w:hAnsi="Times New Roman" w:cs="Times New Roman"/>
          <w:sz w:val="28"/>
          <w:szCs w:val="28"/>
          <w:lang w:eastAsia="ru-RU"/>
        </w:rPr>
        <w:t xml:space="preserve"> розпису асигнувань на січень-лютий 2015 року.</w:t>
      </w:r>
    </w:p>
    <w:p w:rsidR="008B736C" w:rsidRPr="00EE043D" w:rsidRDefault="008B736C" w:rsidP="00731AD3">
      <w:pPr>
        <w:pStyle w:val="a3"/>
        <w:tabs>
          <w:tab w:val="left" w:pos="990"/>
        </w:tabs>
        <w:spacing w:before="60"/>
        <w:ind w:left="0" w:firstLine="709"/>
        <w:contextualSpacing w:val="0"/>
        <w:jc w:val="both"/>
        <w:rPr>
          <w:sz w:val="28"/>
          <w:szCs w:val="28"/>
          <w:lang w:val="uk-UA"/>
        </w:rPr>
      </w:pPr>
      <w:proofErr w:type="spellStart"/>
      <w:r w:rsidRPr="00FB55A4">
        <w:rPr>
          <w:b/>
          <w:sz w:val="28"/>
          <w:szCs w:val="28"/>
        </w:rPr>
        <w:t>Субвенції</w:t>
      </w:r>
      <w:proofErr w:type="spellEnd"/>
      <w:r w:rsidRPr="00FB55A4">
        <w:rPr>
          <w:b/>
          <w:sz w:val="28"/>
          <w:szCs w:val="28"/>
        </w:rPr>
        <w:t xml:space="preserve"> </w:t>
      </w:r>
      <w:r w:rsidR="00FB55A4" w:rsidRPr="00FB55A4">
        <w:rPr>
          <w:b/>
          <w:sz w:val="28"/>
          <w:szCs w:val="28"/>
        </w:rPr>
        <w:t xml:space="preserve">на </w:t>
      </w:r>
      <w:proofErr w:type="spellStart"/>
      <w:proofErr w:type="gramStart"/>
      <w:r w:rsidR="00FB55A4" w:rsidRPr="00FB55A4">
        <w:rPr>
          <w:b/>
          <w:sz w:val="28"/>
          <w:szCs w:val="28"/>
        </w:rPr>
        <w:t>соц</w:t>
      </w:r>
      <w:proofErr w:type="gramEnd"/>
      <w:r w:rsidR="00FB55A4" w:rsidRPr="00FB55A4">
        <w:rPr>
          <w:b/>
          <w:sz w:val="28"/>
          <w:szCs w:val="28"/>
        </w:rPr>
        <w:t>іальний</w:t>
      </w:r>
      <w:proofErr w:type="spellEnd"/>
      <w:r w:rsidR="00FB55A4" w:rsidRPr="00FB55A4">
        <w:rPr>
          <w:b/>
          <w:sz w:val="28"/>
          <w:szCs w:val="28"/>
        </w:rPr>
        <w:t xml:space="preserve"> </w:t>
      </w:r>
      <w:proofErr w:type="spellStart"/>
      <w:r w:rsidR="00FB55A4" w:rsidRPr="00FB55A4">
        <w:rPr>
          <w:b/>
          <w:sz w:val="28"/>
          <w:szCs w:val="28"/>
        </w:rPr>
        <w:t>захист</w:t>
      </w:r>
      <w:proofErr w:type="spellEnd"/>
      <w:r w:rsidR="00FB55A4" w:rsidRPr="00FB55A4">
        <w:rPr>
          <w:b/>
          <w:sz w:val="28"/>
          <w:szCs w:val="28"/>
        </w:rPr>
        <w:t xml:space="preserve"> </w:t>
      </w:r>
      <w:proofErr w:type="spellStart"/>
      <w:r w:rsidR="00FB55A4" w:rsidRPr="00FB55A4">
        <w:rPr>
          <w:b/>
          <w:sz w:val="28"/>
          <w:szCs w:val="28"/>
        </w:rPr>
        <w:t>населення</w:t>
      </w:r>
      <w:proofErr w:type="spellEnd"/>
      <w:r w:rsidR="00FB55A4" w:rsidRPr="00FB55A4">
        <w:rPr>
          <w:sz w:val="28"/>
          <w:szCs w:val="28"/>
        </w:rPr>
        <w:t xml:space="preserve"> </w:t>
      </w:r>
      <w:r>
        <w:rPr>
          <w:sz w:val="28"/>
          <w:szCs w:val="28"/>
          <w:lang w:val="uk-UA"/>
        </w:rPr>
        <w:t>перерахован</w:t>
      </w:r>
      <w:r w:rsidR="00731AD3">
        <w:rPr>
          <w:sz w:val="28"/>
          <w:szCs w:val="28"/>
          <w:lang w:val="uk-UA"/>
        </w:rPr>
        <w:t>і</w:t>
      </w:r>
      <w:r w:rsidR="00FB55A4" w:rsidRPr="00FB55A4">
        <w:rPr>
          <w:sz w:val="28"/>
          <w:szCs w:val="28"/>
        </w:rPr>
        <w:t xml:space="preserve"> в </w:t>
      </w:r>
      <w:proofErr w:type="spellStart"/>
      <w:r w:rsidR="00FB55A4" w:rsidRPr="00FB55A4">
        <w:rPr>
          <w:sz w:val="28"/>
          <w:szCs w:val="28"/>
        </w:rPr>
        <w:t>сумі</w:t>
      </w:r>
      <w:proofErr w:type="spellEnd"/>
      <w:r w:rsidR="00FB55A4" w:rsidRPr="00FB55A4">
        <w:rPr>
          <w:sz w:val="28"/>
          <w:szCs w:val="28"/>
        </w:rPr>
        <w:t xml:space="preserve"> 8 165,1 млн. грн. </w:t>
      </w:r>
      <w:proofErr w:type="spellStart"/>
      <w:r w:rsidR="00FB55A4" w:rsidRPr="00FB55A4">
        <w:rPr>
          <w:sz w:val="28"/>
          <w:szCs w:val="28"/>
        </w:rPr>
        <w:t>або</w:t>
      </w:r>
      <w:proofErr w:type="spellEnd"/>
      <w:r w:rsidR="00FB55A4" w:rsidRPr="00FB55A4">
        <w:rPr>
          <w:sz w:val="28"/>
          <w:szCs w:val="28"/>
        </w:rPr>
        <w:t xml:space="preserve"> 88,9% </w:t>
      </w:r>
      <w:proofErr w:type="spellStart"/>
      <w:r w:rsidR="00FB55A4" w:rsidRPr="00FB55A4">
        <w:rPr>
          <w:sz w:val="28"/>
          <w:szCs w:val="28"/>
        </w:rPr>
        <w:t>від</w:t>
      </w:r>
      <w:proofErr w:type="spellEnd"/>
      <w:r w:rsidR="00FB55A4" w:rsidRPr="00FB55A4">
        <w:rPr>
          <w:sz w:val="28"/>
          <w:szCs w:val="28"/>
        </w:rPr>
        <w:t xml:space="preserve"> </w:t>
      </w:r>
      <w:proofErr w:type="spellStart"/>
      <w:r w:rsidR="00FB55A4" w:rsidRPr="00FB55A4">
        <w:rPr>
          <w:sz w:val="28"/>
          <w:szCs w:val="28"/>
        </w:rPr>
        <w:t>передбачених</w:t>
      </w:r>
      <w:proofErr w:type="spellEnd"/>
      <w:r w:rsidR="00FB55A4" w:rsidRPr="00FB55A4">
        <w:rPr>
          <w:sz w:val="28"/>
          <w:szCs w:val="28"/>
        </w:rPr>
        <w:t xml:space="preserve"> </w:t>
      </w:r>
      <w:proofErr w:type="spellStart"/>
      <w:r w:rsidR="00FB55A4" w:rsidRPr="00FB55A4">
        <w:rPr>
          <w:sz w:val="28"/>
          <w:szCs w:val="28"/>
        </w:rPr>
        <w:t>розписом</w:t>
      </w:r>
      <w:proofErr w:type="spellEnd"/>
      <w:r w:rsidR="00FB55A4" w:rsidRPr="00FB55A4">
        <w:rPr>
          <w:sz w:val="28"/>
          <w:szCs w:val="28"/>
        </w:rPr>
        <w:t xml:space="preserve"> на </w:t>
      </w:r>
      <w:proofErr w:type="spellStart"/>
      <w:r w:rsidR="00FB55A4" w:rsidRPr="00FB55A4">
        <w:rPr>
          <w:sz w:val="28"/>
          <w:szCs w:val="28"/>
        </w:rPr>
        <w:t>цей</w:t>
      </w:r>
      <w:proofErr w:type="spellEnd"/>
      <w:r w:rsidR="00FB55A4" w:rsidRPr="00FB55A4">
        <w:rPr>
          <w:sz w:val="28"/>
          <w:szCs w:val="28"/>
        </w:rPr>
        <w:t xml:space="preserve"> </w:t>
      </w:r>
      <w:proofErr w:type="spellStart"/>
      <w:r w:rsidR="00FB55A4" w:rsidRPr="00FB55A4">
        <w:rPr>
          <w:sz w:val="28"/>
          <w:szCs w:val="28"/>
        </w:rPr>
        <w:t>період</w:t>
      </w:r>
      <w:proofErr w:type="spellEnd"/>
      <w:r>
        <w:rPr>
          <w:sz w:val="28"/>
          <w:szCs w:val="28"/>
          <w:lang w:val="uk-UA"/>
        </w:rPr>
        <w:t xml:space="preserve"> </w:t>
      </w:r>
      <w:r w:rsidR="00EE043D">
        <w:rPr>
          <w:sz w:val="28"/>
          <w:szCs w:val="28"/>
          <w:lang w:val="uk-UA"/>
        </w:rPr>
        <w:t>в</w:t>
      </w:r>
      <w:r w:rsidRPr="00EE043D">
        <w:rPr>
          <w:sz w:val="28"/>
          <w:szCs w:val="28"/>
          <w:lang w:val="uk-UA"/>
        </w:rPr>
        <w:t xml:space="preserve"> межах фактичних зобов’язан</w:t>
      </w:r>
      <w:r w:rsidR="00731AD3">
        <w:rPr>
          <w:sz w:val="28"/>
          <w:szCs w:val="28"/>
          <w:lang w:val="uk-UA"/>
        </w:rPr>
        <w:t>ь.</w:t>
      </w:r>
    </w:p>
    <w:p w:rsidR="00FB55A4" w:rsidRPr="00FB55A4"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FB55A4">
        <w:rPr>
          <w:rFonts w:ascii="Times New Roman" w:hAnsi="Times New Roman" w:cs="Times New Roman"/>
          <w:b/>
          <w:sz w:val="28"/>
          <w:szCs w:val="28"/>
        </w:rPr>
        <w:t xml:space="preserve">Освітню </w:t>
      </w:r>
      <w:r w:rsidR="00FB55A4" w:rsidRPr="00FB55A4">
        <w:rPr>
          <w:rFonts w:ascii="Times New Roman" w:hAnsi="Times New Roman" w:cs="Times New Roman"/>
          <w:b/>
          <w:sz w:val="28"/>
          <w:szCs w:val="28"/>
        </w:rPr>
        <w:t>субвенцію</w:t>
      </w:r>
      <w:r w:rsidR="00FB55A4" w:rsidRPr="00FB55A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перераховано</w:t>
      </w:r>
      <w:r w:rsidR="00FB55A4" w:rsidRPr="00FB55A4">
        <w:rPr>
          <w:rFonts w:ascii="Times New Roman" w:eastAsia="Times New Roman" w:hAnsi="Times New Roman" w:cs="Times New Roman"/>
          <w:sz w:val="28"/>
          <w:szCs w:val="28"/>
          <w:lang w:eastAsia="ru-RU"/>
        </w:rPr>
        <w:t xml:space="preserve"> в сумі  6 308,5 млн. грн. або 94,1% до розпису на відповідний період</w:t>
      </w:r>
      <w:r>
        <w:rPr>
          <w:rFonts w:ascii="Times New Roman" w:eastAsia="Times New Roman" w:hAnsi="Times New Roman" w:cs="Times New Roman"/>
          <w:sz w:val="28"/>
          <w:szCs w:val="28"/>
          <w:lang w:eastAsia="ru-RU"/>
        </w:rPr>
        <w:t>.</w:t>
      </w:r>
    </w:p>
    <w:p w:rsidR="00FB55A4" w:rsidRPr="00FB55A4"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FB55A4">
        <w:rPr>
          <w:rFonts w:ascii="Times New Roman" w:hAnsi="Times New Roman" w:cs="Times New Roman"/>
          <w:b/>
          <w:sz w:val="28"/>
          <w:szCs w:val="28"/>
        </w:rPr>
        <w:t xml:space="preserve">Медичну </w:t>
      </w:r>
      <w:r w:rsidR="00FB55A4" w:rsidRPr="00FB55A4">
        <w:rPr>
          <w:rFonts w:ascii="Times New Roman" w:hAnsi="Times New Roman" w:cs="Times New Roman"/>
          <w:b/>
          <w:sz w:val="28"/>
          <w:szCs w:val="28"/>
        </w:rPr>
        <w:t>субвенцію</w:t>
      </w:r>
      <w:r w:rsidR="00FB55A4" w:rsidRPr="00FB55A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перераховано</w:t>
      </w:r>
      <w:r w:rsidR="00FB55A4" w:rsidRPr="00FB55A4">
        <w:rPr>
          <w:rFonts w:ascii="Times New Roman" w:eastAsia="Times New Roman" w:hAnsi="Times New Roman" w:cs="Times New Roman"/>
          <w:sz w:val="28"/>
          <w:szCs w:val="28"/>
          <w:lang w:eastAsia="ru-RU"/>
        </w:rPr>
        <w:t xml:space="preserve"> в сумі  7 245,2 млн. грн. або 94,5% до розпису на відповідний період</w:t>
      </w:r>
      <w:r>
        <w:rPr>
          <w:rFonts w:ascii="Times New Roman" w:eastAsia="Times New Roman" w:hAnsi="Times New Roman" w:cs="Times New Roman"/>
          <w:sz w:val="28"/>
          <w:szCs w:val="28"/>
          <w:lang w:eastAsia="ru-RU"/>
        </w:rPr>
        <w:t>.</w:t>
      </w:r>
    </w:p>
    <w:p w:rsidR="00FB55A4" w:rsidRPr="00FB55A4"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FB55A4">
        <w:rPr>
          <w:rFonts w:ascii="Times New Roman" w:hAnsi="Times New Roman" w:cs="Times New Roman"/>
          <w:b/>
          <w:sz w:val="28"/>
          <w:szCs w:val="28"/>
        </w:rPr>
        <w:t xml:space="preserve">Субвенцію </w:t>
      </w:r>
      <w:r w:rsidR="00FB55A4" w:rsidRPr="00FB55A4">
        <w:rPr>
          <w:rFonts w:ascii="Times New Roman" w:hAnsi="Times New Roman" w:cs="Times New Roman"/>
          <w:b/>
          <w:sz w:val="28"/>
          <w:szCs w:val="28"/>
        </w:rPr>
        <w:t>на підготовку робітничих кадрів</w:t>
      </w:r>
      <w:r w:rsidR="00FB55A4" w:rsidRPr="00FB55A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перераховано</w:t>
      </w:r>
      <w:r w:rsidR="00FB55A4" w:rsidRPr="00FB55A4">
        <w:rPr>
          <w:rFonts w:ascii="Times New Roman" w:eastAsia="Times New Roman" w:hAnsi="Times New Roman" w:cs="Times New Roman"/>
          <w:sz w:val="28"/>
          <w:szCs w:val="28"/>
          <w:lang w:eastAsia="ru-RU"/>
        </w:rPr>
        <w:t xml:space="preserve"> в сумі  896,5 млн. грн. або 99,4% до розпису на відповідний період.</w:t>
      </w:r>
    </w:p>
    <w:p w:rsidR="00FB55A4" w:rsidRPr="00FB55A4" w:rsidRDefault="00731AD3" w:rsidP="00731AD3">
      <w:pPr>
        <w:tabs>
          <w:tab w:val="left" w:pos="720"/>
        </w:tabs>
        <w:spacing w:before="6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spellStart"/>
      <w:r w:rsidR="00FB55A4" w:rsidRPr="00FB55A4">
        <w:rPr>
          <w:rFonts w:ascii="Times New Roman" w:eastAsia="Times New Roman" w:hAnsi="Times New Roman" w:cs="Times New Roman"/>
          <w:sz w:val="28"/>
          <w:szCs w:val="28"/>
          <w:lang w:eastAsia="ru-RU"/>
        </w:rPr>
        <w:t>Недоперерахування</w:t>
      </w:r>
      <w:proofErr w:type="spellEnd"/>
      <w:r w:rsidR="00FB55A4" w:rsidRPr="00FB55A4">
        <w:rPr>
          <w:rFonts w:ascii="Times New Roman" w:eastAsia="Times New Roman" w:hAnsi="Times New Roman" w:cs="Times New Roman"/>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9F6C02" w:rsidRDefault="009F6C02" w:rsidP="00731AD3">
      <w:pPr>
        <w:tabs>
          <w:tab w:val="left" w:pos="720"/>
        </w:tabs>
        <w:spacing w:before="120" w:after="0"/>
        <w:ind w:firstLine="902"/>
        <w:jc w:val="center"/>
        <w:rPr>
          <w:rFonts w:ascii="Times New Roman" w:hAnsi="Times New Roman" w:cs="Times New Roman"/>
          <w:sz w:val="28"/>
          <w:szCs w:val="28"/>
        </w:rPr>
      </w:pPr>
      <w:r w:rsidRPr="009F6C02">
        <w:rPr>
          <w:rFonts w:ascii="Times New Roman" w:hAnsi="Times New Roman" w:cs="Times New Roman"/>
          <w:b/>
          <w:bCs/>
          <w:color w:val="000000"/>
          <w:spacing w:val="-4"/>
          <w:sz w:val="28"/>
          <w:szCs w:val="28"/>
          <w:u w:val="single"/>
          <w:shd w:val="clear" w:color="auto" w:fill="FFFFFF"/>
        </w:rPr>
        <w:t>Показники соціально-економічного розвитку регіонів</w:t>
      </w:r>
      <w:r w:rsidRPr="009F6C02">
        <w:rPr>
          <w:rFonts w:ascii="Times New Roman" w:hAnsi="Times New Roman" w:cs="Times New Roman"/>
          <w:sz w:val="28"/>
          <w:szCs w:val="28"/>
        </w:rPr>
        <w:t> </w:t>
      </w:r>
    </w:p>
    <w:p w:rsidR="00A26407" w:rsidRDefault="00A26407" w:rsidP="009F6C02">
      <w:pPr>
        <w:tabs>
          <w:tab w:val="left" w:pos="720"/>
        </w:tabs>
        <w:spacing w:after="0"/>
        <w:ind w:firstLine="902"/>
        <w:jc w:val="center"/>
        <w:rPr>
          <w:rFonts w:ascii="Times New Roman" w:hAnsi="Times New Roman" w:cs="Times New Roman"/>
          <w:b/>
          <w:bCs/>
          <w:color w:val="000000"/>
          <w:spacing w:val="-4"/>
          <w:sz w:val="28"/>
          <w:szCs w:val="28"/>
          <w:u w:val="single"/>
          <w:shd w:val="clear" w:color="auto" w:fill="FFFFFF"/>
        </w:rPr>
      </w:pPr>
      <w:r>
        <w:rPr>
          <w:rFonts w:ascii="Times New Roman" w:hAnsi="Times New Roman" w:cs="Times New Roman"/>
          <w:b/>
          <w:bCs/>
          <w:color w:val="000000"/>
          <w:spacing w:val="-4"/>
          <w:sz w:val="28"/>
          <w:szCs w:val="28"/>
          <w:u w:val="single"/>
          <w:shd w:val="clear" w:color="auto" w:fill="FFFFFF"/>
        </w:rPr>
        <w:t>за січень 2015 року</w:t>
      </w:r>
    </w:p>
    <w:p w:rsidR="009F6C02" w:rsidRPr="00EE6622" w:rsidRDefault="00BF342E" w:rsidP="00EC395B">
      <w:pPr>
        <w:tabs>
          <w:tab w:val="left" w:pos="720"/>
        </w:tabs>
        <w:spacing w:after="0"/>
        <w:ind w:hanging="567"/>
        <w:jc w:val="center"/>
        <w:rPr>
          <w:rFonts w:ascii="Times New Roman" w:hAnsi="Times New Roman" w:cs="Times New Roman"/>
          <w:b/>
          <w:bCs/>
          <w:color w:val="000000"/>
          <w:spacing w:val="-4"/>
          <w:sz w:val="28"/>
          <w:szCs w:val="28"/>
          <w:u w:val="single"/>
          <w:shd w:val="clear" w:color="auto" w:fill="FFFFFF"/>
        </w:rPr>
      </w:pPr>
      <w:r w:rsidRPr="00764D36">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91008" behindDoc="0" locked="0" layoutInCell="1" allowOverlap="1" wp14:anchorId="629AEF4F" wp14:editId="6CDB9093">
                <wp:simplePos x="0" y="0"/>
                <wp:positionH relativeFrom="column">
                  <wp:posOffset>6313805</wp:posOffset>
                </wp:positionH>
                <wp:positionV relativeFrom="paragraph">
                  <wp:posOffset>4330065</wp:posOffset>
                </wp:positionV>
                <wp:extent cx="542925" cy="419100"/>
                <wp:effectExtent l="0" t="0" r="0" b="0"/>
                <wp:wrapNone/>
                <wp:docPr id="23" name="Прямокутник 3"/>
                <wp:cNvGraphicFramePr/>
                <a:graphic xmlns:a="http://schemas.openxmlformats.org/drawingml/2006/main">
                  <a:graphicData uri="http://schemas.microsoft.com/office/word/2010/wordprocessingShape">
                    <wps:wsp>
                      <wps:cNvSpPr/>
                      <wps:spPr>
                        <a:xfrm>
                          <a:off x="0" y="0"/>
                          <a:ext cx="542925" cy="419100"/>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497.15pt;margin-top:340.95pt;width:42.7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00731AD3" w:rsidRPr="00EC395B">
        <w:rPr>
          <w:rFonts w:ascii="Times New Roman" w:hAnsi="Times New Roman" w:cs="Times New Roman"/>
          <w:b/>
          <w:bCs/>
          <w:color w:val="000000"/>
          <w:spacing w:val="-4"/>
          <w:sz w:val="28"/>
          <w:szCs w:val="28"/>
          <w:shd w:val="clear" w:color="auto" w:fill="FFFFFF"/>
        </w:rPr>
        <w:object w:dxaOrig="7799"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35pt;height:366.05pt" o:ole="">
            <v:imagedata r:id="rId12" o:title=""/>
          </v:shape>
          <o:OLEObject Type="Embed" ProgID="PowerPoint.Slide.12" ShapeID="_x0000_i1025" DrawAspect="Content" ObjectID="_1488781720" r:id="rId13"/>
        </w:object>
      </w:r>
    </w:p>
    <w:sectPr w:rsidR="009F6C02" w:rsidRPr="00EE6622" w:rsidSect="00AE5BC9">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5087"/>
    <w:rsid w:val="00006FF1"/>
    <w:rsid w:val="0006466B"/>
    <w:rsid w:val="000661C9"/>
    <w:rsid w:val="00086D9E"/>
    <w:rsid w:val="000C37D9"/>
    <w:rsid w:val="00105DD3"/>
    <w:rsid w:val="001123E1"/>
    <w:rsid w:val="00163832"/>
    <w:rsid w:val="001E0ECF"/>
    <w:rsid w:val="002033AC"/>
    <w:rsid w:val="002B5F79"/>
    <w:rsid w:val="00306715"/>
    <w:rsid w:val="003202C8"/>
    <w:rsid w:val="00323C80"/>
    <w:rsid w:val="00355D1F"/>
    <w:rsid w:val="00362F99"/>
    <w:rsid w:val="003E51FC"/>
    <w:rsid w:val="004D6394"/>
    <w:rsid w:val="00510183"/>
    <w:rsid w:val="00531AA0"/>
    <w:rsid w:val="00552011"/>
    <w:rsid w:val="005B51C2"/>
    <w:rsid w:val="00630026"/>
    <w:rsid w:val="00637368"/>
    <w:rsid w:val="00644950"/>
    <w:rsid w:val="00693B43"/>
    <w:rsid w:val="006A3935"/>
    <w:rsid w:val="006C3F3C"/>
    <w:rsid w:val="006E7551"/>
    <w:rsid w:val="00713E82"/>
    <w:rsid w:val="007178E4"/>
    <w:rsid w:val="00731AD3"/>
    <w:rsid w:val="007510A6"/>
    <w:rsid w:val="00764D36"/>
    <w:rsid w:val="00813B79"/>
    <w:rsid w:val="0083274F"/>
    <w:rsid w:val="008B736C"/>
    <w:rsid w:val="00902BD5"/>
    <w:rsid w:val="009F6B05"/>
    <w:rsid w:val="009F6C02"/>
    <w:rsid w:val="00A26407"/>
    <w:rsid w:val="00A33027"/>
    <w:rsid w:val="00AE5BC9"/>
    <w:rsid w:val="00B72C76"/>
    <w:rsid w:val="00BA75CA"/>
    <w:rsid w:val="00BD01D8"/>
    <w:rsid w:val="00BF342E"/>
    <w:rsid w:val="00C254D5"/>
    <w:rsid w:val="00C46198"/>
    <w:rsid w:val="00CB58BA"/>
    <w:rsid w:val="00CF5611"/>
    <w:rsid w:val="00D665C5"/>
    <w:rsid w:val="00DD261E"/>
    <w:rsid w:val="00DE1D65"/>
    <w:rsid w:val="00DE60AD"/>
    <w:rsid w:val="00E2766E"/>
    <w:rsid w:val="00EC395B"/>
    <w:rsid w:val="00EC62C2"/>
    <w:rsid w:val="00EE043D"/>
    <w:rsid w:val="00EE6622"/>
    <w:rsid w:val="00F23EF2"/>
    <w:rsid w:val="00F45BD2"/>
    <w:rsid w:val="00F73018"/>
    <w:rsid w:val="00F9382C"/>
    <w:rsid w:val="00FB55A4"/>
    <w:rsid w:val="00FC3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package" Target="embeddings/______Microsoft_PowerPoint1.sldx"/><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onischuk\AppData\Local\Microsoft\Windows\Temporary%20Internet%20Files\Content.Outlook\SR9F97PG\&#1044;&#1086;%20&#1085;&#1072;&#1088;&#1072;&#1076;.xls"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onischuk\AppData\Local\Microsoft\Windows\Temporary%20Internet%20Files\Content.Outlook\SR9F97PG\&#1044;&#1086;%20&#1085;&#1072;&#1088;&#1072;&#1076;.xls"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nischuk\AppData\Local\Microsoft\Windows\Temporary%20Internet%20Files\Content.Outlook\SR9F97PG\&#1044;&#1086;%20&#1085;&#1072;&#1088;&#1072;&#1076;.xls"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onischuk\AppData\Local\Microsoft\Windows\Temporary%20Internet%20Files\Content.Outlook\SR9F97PG\&#1044;&#1086;%20&#1085;&#1072;&#1088;&#1072;&#1076;.xls"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onischuk\AppData\Local\Microsoft\Windows\Temporary%20Internet%20Files\Content.Outlook\SR9F97PG\&#1044;&#1086;%20&#1085;&#1072;&#1088;&#1072;&#1076;.xls"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onischuk\AppData\Local\Microsoft\Windows\Temporary%20Internet%20Files\Content.Outlook\SR9F97PG\&#1044;&#1086;%20&#1085;&#1072;&#1088;&#1072;&#1076;.xls"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CCFFCC"/>
              </a:solidFill>
              <a:ln w="12700">
                <a:solidFill>
                  <a:srgbClr val="000000"/>
                </a:solidFill>
                <a:prstDash val="solid"/>
              </a:ln>
            </c:spPr>
          </c:dPt>
          <c:dPt>
            <c:idx val="3"/>
            <c:invertIfNegative val="0"/>
            <c:bubble3D val="0"/>
            <c:spPr>
              <a:solidFill>
                <a:srgbClr val="CCFFCC"/>
              </a:solidFill>
              <a:ln w="12700">
                <a:solidFill>
                  <a:srgbClr val="000000"/>
                </a:solidFill>
                <a:prstDash val="solid"/>
              </a:ln>
            </c:spPr>
          </c:dPt>
          <c:dPt>
            <c:idx val="4"/>
            <c:invertIfNegative val="0"/>
            <c:bubble3D val="0"/>
            <c:spPr>
              <a:solidFill>
                <a:srgbClr val="CCFFCC"/>
              </a:solidFill>
              <a:ln w="12700">
                <a:solidFill>
                  <a:srgbClr val="000000"/>
                </a:solidFill>
                <a:prstDash val="solid"/>
              </a:ln>
            </c:spPr>
          </c:dPt>
          <c:dPt>
            <c:idx val="5"/>
            <c:invertIfNegative val="0"/>
            <c:bubble3D val="0"/>
            <c:spPr>
              <a:solidFill>
                <a:srgbClr val="CCFFCC"/>
              </a:solidFill>
              <a:ln w="12700">
                <a:solidFill>
                  <a:srgbClr val="000000"/>
                </a:solidFill>
                <a:prstDash val="solid"/>
              </a:ln>
            </c:spPr>
          </c:dPt>
          <c:dPt>
            <c:idx val="6"/>
            <c:invertIfNegative val="0"/>
            <c:bubble3D val="0"/>
            <c:spPr>
              <a:solidFill>
                <a:srgbClr val="CCFFCC"/>
              </a:solidFill>
              <a:ln w="12700">
                <a:solidFill>
                  <a:srgbClr val="000000"/>
                </a:solidFill>
                <a:prstDash val="solid"/>
              </a:ln>
            </c:spPr>
          </c:dPt>
          <c:dPt>
            <c:idx val="7"/>
            <c:invertIfNegative val="0"/>
            <c:bubble3D val="0"/>
            <c:spPr>
              <a:solidFill>
                <a:srgbClr val="CCFFCC"/>
              </a:solidFill>
              <a:ln w="12700">
                <a:solidFill>
                  <a:srgbClr val="000000"/>
                </a:solidFill>
                <a:prstDash val="solid"/>
              </a:ln>
            </c:spPr>
          </c:dPt>
          <c:dPt>
            <c:idx val="8"/>
            <c:invertIfNegative val="0"/>
            <c:bubble3D val="0"/>
            <c:spPr>
              <a:solidFill>
                <a:srgbClr val="CCFFCC"/>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0"/>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latin typeface="Arial Black" pitchFamily="34" charset="0"/>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5E-3"/>
                  <c:y val="-1.2554927809165107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доходи МБ\Книга 2015\лютий\[Книга січень без Крима підконтрольні.xls]для сортировки'!$G$4:$G$29</c:f>
              <c:strCache>
                <c:ptCount val="26"/>
                <c:pt idx="0">
                  <c:v>Донецька  </c:v>
                </c:pt>
                <c:pt idx="1">
                  <c:v>Луганська  </c:v>
                </c:pt>
                <c:pt idx="2">
                  <c:v>Херсонська  </c:v>
                </c:pt>
                <c:pt idx="3">
                  <c:v>Сумська  </c:v>
                </c:pt>
                <c:pt idx="4">
                  <c:v>Запорізька  </c:v>
                </c:pt>
                <c:pt idx="5">
                  <c:v>Миколаївська  </c:v>
                </c:pt>
                <c:pt idx="6">
                  <c:v>Харківська  </c:v>
                </c:pt>
                <c:pt idx="7">
                  <c:v>Одеська  </c:v>
                </c:pt>
                <c:pt idx="8">
                  <c:v>Дніпропетровська  </c:v>
                </c:pt>
                <c:pt idx="9">
                  <c:v>м. Київ</c:v>
                </c:pt>
                <c:pt idx="10">
                  <c:v>Україна</c:v>
                </c:pt>
                <c:pt idx="11">
                  <c:v>Черкаська  </c:v>
                </c:pt>
                <c:pt idx="12">
                  <c:v>Кіровоградська  </c:v>
                </c:pt>
                <c:pt idx="13">
                  <c:v>Полтавська  </c:v>
                </c:pt>
                <c:pt idx="14">
                  <c:v>Вінницька  </c:v>
                </c:pt>
                <c:pt idx="15">
                  <c:v>Івано-Франківська  </c:v>
                </c:pt>
                <c:pt idx="16">
                  <c:v>Хмельницька  </c:v>
                </c:pt>
                <c:pt idx="17">
                  <c:v>Житомирська   </c:v>
                </c:pt>
                <c:pt idx="18">
                  <c:v>Київська  </c:v>
                </c:pt>
                <c:pt idx="19">
                  <c:v>Чернівецька  </c:v>
                </c:pt>
                <c:pt idx="20">
                  <c:v>Чернігівська  </c:v>
                </c:pt>
                <c:pt idx="21">
                  <c:v>Волинська  </c:v>
                </c:pt>
                <c:pt idx="22">
                  <c:v>Тернопільська  </c:v>
                </c:pt>
                <c:pt idx="23">
                  <c:v>Львівська   </c:v>
                </c:pt>
                <c:pt idx="24">
                  <c:v>Рівненська  </c:v>
                </c:pt>
                <c:pt idx="25">
                  <c:v>Закарпатська  </c:v>
                </c:pt>
              </c:strCache>
            </c:strRef>
          </c:cat>
          <c:val>
            <c:numRef>
              <c:f>'\Книга доходи МБ\Книга 2015\лютий\[Книга січень без Крима підконтрольні.xls]для сортировки'!$H$4:$H$29</c:f>
              <c:numCache>
                <c:formatCode>General</c:formatCode>
                <c:ptCount val="26"/>
                <c:pt idx="0">
                  <c:v>96.287610772739072</c:v>
                </c:pt>
                <c:pt idx="1">
                  <c:v>106.89030906351644</c:v>
                </c:pt>
                <c:pt idx="2">
                  <c:v>108.38936183569258</c:v>
                </c:pt>
                <c:pt idx="3">
                  <c:v>109.89511599700674</c:v>
                </c:pt>
                <c:pt idx="4">
                  <c:v>111.69718754552567</c:v>
                </c:pt>
                <c:pt idx="5">
                  <c:v>111.74884515017112</c:v>
                </c:pt>
                <c:pt idx="6">
                  <c:v>112.84324010096707</c:v>
                </c:pt>
                <c:pt idx="7">
                  <c:v>115.76806045099323</c:v>
                </c:pt>
                <c:pt idx="8">
                  <c:v>116.14067811124266</c:v>
                </c:pt>
                <c:pt idx="9">
                  <c:v>116.44010255495954</c:v>
                </c:pt>
                <c:pt idx="10">
                  <c:v>116.78404843419602</c:v>
                </c:pt>
                <c:pt idx="11">
                  <c:v>117.32136501013521</c:v>
                </c:pt>
                <c:pt idx="12">
                  <c:v>117.52705957738748</c:v>
                </c:pt>
                <c:pt idx="13">
                  <c:v>117.65238689538818</c:v>
                </c:pt>
                <c:pt idx="14">
                  <c:v>119.97859815974216</c:v>
                </c:pt>
                <c:pt idx="15">
                  <c:v>121.21437216387578</c:v>
                </c:pt>
                <c:pt idx="16">
                  <c:v>122.37961588245894</c:v>
                </c:pt>
                <c:pt idx="17">
                  <c:v>124.14780497534767</c:v>
                </c:pt>
                <c:pt idx="18">
                  <c:v>124.68013694466502</c:v>
                </c:pt>
                <c:pt idx="19">
                  <c:v>126.36422855676605</c:v>
                </c:pt>
                <c:pt idx="20">
                  <c:v>127.33305837599302</c:v>
                </c:pt>
                <c:pt idx="21">
                  <c:v>127.79175081410152</c:v>
                </c:pt>
                <c:pt idx="22">
                  <c:v>129.47879271717397</c:v>
                </c:pt>
                <c:pt idx="23">
                  <c:v>130.23897797679706</c:v>
                </c:pt>
                <c:pt idx="24">
                  <c:v>134.06556566441355</c:v>
                </c:pt>
                <c:pt idx="25">
                  <c:v>135.69193670408546</c:v>
                </c:pt>
              </c:numCache>
            </c:numRef>
          </c:val>
        </c:ser>
        <c:dLbls>
          <c:showLegendKey val="0"/>
          <c:showVal val="0"/>
          <c:showCatName val="0"/>
          <c:showSerName val="0"/>
          <c:showPercent val="0"/>
          <c:showBubbleSize val="0"/>
        </c:dLbls>
        <c:gapWidth val="99"/>
        <c:axId val="126186624"/>
        <c:axId val="126188160"/>
      </c:barChart>
      <c:catAx>
        <c:axId val="1261866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26188160"/>
        <c:crossesAt val="30"/>
        <c:auto val="1"/>
        <c:lblAlgn val="ctr"/>
        <c:lblOffset val="100"/>
        <c:tickLblSkip val="1"/>
        <c:tickMarkSkip val="1"/>
        <c:noMultiLvlLbl val="0"/>
      </c:catAx>
      <c:valAx>
        <c:axId val="12618816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2618662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CCFFCC"/>
              </a:solidFill>
              <a:ln w="12700">
                <a:solidFill>
                  <a:srgbClr val="000000"/>
                </a:solidFill>
                <a:prstDash val="solid"/>
              </a:ln>
            </c:spPr>
          </c:dPt>
          <c:dPt>
            <c:idx val="3"/>
            <c:invertIfNegative val="0"/>
            <c:bubble3D val="0"/>
            <c:spPr>
              <a:solidFill>
                <a:srgbClr val="CCFFCC"/>
              </a:solidFill>
              <a:ln w="12700">
                <a:solidFill>
                  <a:srgbClr val="000000"/>
                </a:solidFill>
                <a:prstDash val="solid"/>
              </a:ln>
            </c:spPr>
          </c:dPt>
          <c:dPt>
            <c:idx val="4"/>
            <c:invertIfNegative val="0"/>
            <c:bubble3D val="0"/>
            <c:spPr>
              <a:solidFill>
                <a:srgbClr val="CCFFCC"/>
              </a:solidFill>
              <a:ln w="12700">
                <a:solidFill>
                  <a:srgbClr val="000000"/>
                </a:solidFill>
                <a:prstDash val="solid"/>
              </a:ln>
            </c:spPr>
          </c:dPt>
          <c:dPt>
            <c:idx val="5"/>
            <c:invertIfNegative val="0"/>
            <c:bubble3D val="0"/>
            <c:spPr>
              <a:solidFill>
                <a:srgbClr val="CCFFCC"/>
              </a:solidFill>
              <a:ln w="12700">
                <a:solidFill>
                  <a:srgbClr val="000000"/>
                </a:solidFill>
                <a:prstDash val="solid"/>
              </a:ln>
            </c:spPr>
          </c:dPt>
          <c:dPt>
            <c:idx val="6"/>
            <c:invertIfNegative val="0"/>
            <c:bubble3D val="0"/>
            <c:spPr>
              <a:solidFill>
                <a:srgbClr val="CCFFCC"/>
              </a:solidFill>
              <a:ln w="12700">
                <a:solidFill>
                  <a:srgbClr val="000000"/>
                </a:solidFill>
                <a:prstDash val="solid"/>
              </a:ln>
            </c:spPr>
          </c:dPt>
          <c:dPt>
            <c:idx val="7"/>
            <c:invertIfNegative val="0"/>
            <c:bubble3D val="0"/>
            <c:spPr>
              <a:solidFill>
                <a:srgbClr val="CCFFCC"/>
              </a:solidFill>
              <a:ln w="12700">
                <a:solidFill>
                  <a:srgbClr val="000000"/>
                </a:solidFill>
                <a:prstDash val="solid"/>
              </a:ln>
            </c:spPr>
          </c:dPt>
          <c:dPt>
            <c:idx val="8"/>
            <c:invertIfNegative val="0"/>
            <c:bubble3D val="0"/>
            <c:spPr>
              <a:solidFill>
                <a:srgbClr val="CCFFCC"/>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2"/>
              <c:tx>
                <c:rich>
                  <a:bodyPr/>
                  <a:lstStyle/>
                  <a:p>
                    <a:r>
                      <a:rPr lang="en-US" sz="900">
                        <a:solidFill>
                          <a:schemeClr val="tx1"/>
                        </a:solidFill>
                      </a:rPr>
                      <a:t>103,9</a:t>
                    </a:r>
                    <a:endParaRPr lang="en-US" sz="1200">
                      <a:solidFill>
                        <a:schemeClr val="tx1"/>
                      </a:solidFill>
                    </a:endParaRPr>
                  </a:p>
                </c:rich>
              </c:tx>
              <c:showLegendKey val="0"/>
              <c:showVal val="0"/>
              <c:showCatName val="0"/>
              <c:showSerName val="0"/>
              <c:showPercent val="0"/>
              <c:showBubbleSize val="0"/>
            </c:dLbl>
            <c:dLbl>
              <c:idx val="10"/>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latin typeface="Arial Black" pitchFamily="34" charset="0"/>
                    </a:defRPr>
                  </a:pPr>
                  <a:endParaRPr lang="uk-UA"/>
                </a:p>
              </c:txPr>
              <c:showLegendKey val="0"/>
              <c:showVal val="1"/>
              <c:showCatName val="0"/>
              <c:showSerName val="0"/>
              <c:showPercent val="0"/>
              <c:showBubbleSize val="0"/>
            </c:dLbl>
            <c:dLbl>
              <c:idx val="14"/>
              <c:layout>
                <c:manualLayout>
                  <c:x val="1.0884353741496601E-2"/>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E-3"/>
                  <c:y val="-1.2554927809165105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доходи МБ\Книга 2015\лютий\[Книга січень без Крима підконтрольні.xls]для сортировки'!$D$4:$D$29</c:f>
              <c:strCache>
                <c:ptCount val="26"/>
                <c:pt idx="0">
                  <c:v>Луганська  </c:v>
                </c:pt>
                <c:pt idx="1">
                  <c:v>Донецька  </c:v>
                </c:pt>
                <c:pt idx="2">
                  <c:v>Херсонська  </c:v>
                </c:pt>
                <c:pt idx="3">
                  <c:v>Сумська  </c:v>
                </c:pt>
                <c:pt idx="4">
                  <c:v>Полтавська  </c:v>
                </c:pt>
                <c:pt idx="5">
                  <c:v>Кіровоградська  </c:v>
                </c:pt>
                <c:pt idx="6">
                  <c:v>Рівненська  </c:v>
                </c:pt>
                <c:pt idx="7">
                  <c:v>Запорізька  </c:v>
                </c:pt>
                <c:pt idx="8">
                  <c:v>Тернопільська  </c:v>
                </c:pt>
                <c:pt idx="9">
                  <c:v>Черкаська  </c:v>
                </c:pt>
                <c:pt idx="10">
                  <c:v>Україна</c:v>
                </c:pt>
                <c:pt idx="11">
                  <c:v>Одеська  </c:v>
                </c:pt>
                <c:pt idx="12">
                  <c:v>Харківська  </c:v>
                </c:pt>
                <c:pt idx="13">
                  <c:v>Хмельницька  </c:v>
                </c:pt>
                <c:pt idx="14">
                  <c:v>Вінницька  </c:v>
                </c:pt>
                <c:pt idx="15">
                  <c:v>Івано-Франківська  </c:v>
                </c:pt>
                <c:pt idx="16">
                  <c:v>Чернігівська  </c:v>
                </c:pt>
                <c:pt idx="17">
                  <c:v>Київська  </c:v>
                </c:pt>
                <c:pt idx="18">
                  <c:v>Миколаївська  </c:v>
                </c:pt>
                <c:pt idx="19">
                  <c:v>Закарпатська  </c:v>
                </c:pt>
                <c:pt idx="20">
                  <c:v>Львівська   </c:v>
                </c:pt>
                <c:pt idx="21">
                  <c:v>Дніпропетровська  </c:v>
                </c:pt>
                <c:pt idx="22">
                  <c:v>Волинська  </c:v>
                </c:pt>
                <c:pt idx="23">
                  <c:v>Житомирська   </c:v>
                </c:pt>
                <c:pt idx="24">
                  <c:v>Чернівецька  </c:v>
                </c:pt>
                <c:pt idx="25">
                  <c:v>м. Київ</c:v>
                </c:pt>
              </c:strCache>
            </c:strRef>
          </c:cat>
          <c:val>
            <c:numRef>
              <c:f>'\Книга доходи МБ\Книга 2015\лютий\[Книга січень без Крима підконтрольні.xls]для сортировки'!$E$4:$E$29</c:f>
              <c:numCache>
                <c:formatCode>General</c:formatCode>
                <c:ptCount val="26"/>
                <c:pt idx="0">
                  <c:v>71.292227931496399</c:v>
                </c:pt>
                <c:pt idx="1">
                  <c:v>85.648673366612911</c:v>
                </c:pt>
                <c:pt idx="2">
                  <c:v>106.45166089272942</c:v>
                </c:pt>
                <c:pt idx="3">
                  <c:v>108.3798540097916</c:v>
                </c:pt>
                <c:pt idx="4">
                  <c:v>108.54567581557968</c:v>
                </c:pt>
                <c:pt idx="5">
                  <c:v>110.08703162514036</c:v>
                </c:pt>
                <c:pt idx="6">
                  <c:v>110.29514374850147</c:v>
                </c:pt>
                <c:pt idx="7">
                  <c:v>110.66795237189611</c:v>
                </c:pt>
                <c:pt idx="8">
                  <c:v>110.70542137179906</c:v>
                </c:pt>
                <c:pt idx="9">
                  <c:v>112.04526615259044</c:v>
                </c:pt>
                <c:pt idx="10">
                  <c:v>112.14278202305177</c:v>
                </c:pt>
                <c:pt idx="11">
                  <c:v>112.14725635251858</c:v>
                </c:pt>
                <c:pt idx="12">
                  <c:v>113.16973330265247</c:v>
                </c:pt>
                <c:pt idx="13">
                  <c:v>113.17822531266366</c:v>
                </c:pt>
                <c:pt idx="14">
                  <c:v>113.38544013669811</c:v>
                </c:pt>
                <c:pt idx="15">
                  <c:v>113.39999825977178</c:v>
                </c:pt>
                <c:pt idx="16">
                  <c:v>113.47031043544192</c:v>
                </c:pt>
                <c:pt idx="17">
                  <c:v>114.76286230531352</c:v>
                </c:pt>
                <c:pt idx="18">
                  <c:v>115.22221228420253</c:v>
                </c:pt>
                <c:pt idx="19">
                  <c:v>115.55672636443592</c:v>
                </c:pt>
                <c:pt idx="20">
                  <c:v>117.15718831652973</c:v>
                </c:pt>
                <c:pt idx="21">
                  <c:v>118.11602714020411</c:v>
                </c:pt>
                <c:pt idx="22">
                  <c:v>118.95513407127802</c:v>
                </c:pt>
                <c:pt idx="23">
                  <c:v>119.86554136740838</c:v>
                </c:pt>
                <c:pt idx="24">
                  <c:v>120.65294915448186</c:v>
                </c:pt>
                <c:pt idx="25">
                  <c:v>122.80002885247356</c:v>
                </c:pt>
              </c:numCache>
            </c:numRef>
          </c:val>
        </c:ser>
        <c:dLbls>
          <c:showLegendKey val="0"/>
          <c:showVal val="0"/>
          <c:showCatName val="0"/>
          <c:showSerName val="0"/>
          <c:showPercent val="0"/>
          <c:showBubbleSize val="0"/>
        </c:dLbls>
        <c:gapWidth val="99"/>
        <c:axId val="126659584"/>
        <c:axId val="126665472"/>
      </c:barChart>
      <c:catAx>
        <c:axId val="1266595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26665472"/>
        <c:crossesAt val="30"/>
        <c:auto val="1"/>
        <c:lblAlgn val="ctr"/>
        <c:lblOffset val="100"/>
        <c:tickLblSkip val="1"/>
        <c:tickMarkSkip val="1"/>
        <c:noMultiLvlLbl val="0"/>
      </c:catAx>
      <c:valAx>
        <c:axId val="126665472"/>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2665958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45E-2"/>
          <c:y val="6.8411912358158508E-2"/>
          <c:w val="0.94475938323992092"/>
          <c:h val="0.71710763303291059"/>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0000"/>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1165604981505557"/>
                </c:manualLayout>
              </c:layout>
              <c:dLblPos val="outEnd"/>
              <c:showLegendKey val="0"/>
              <c:showVal val="1"/>
              <c:showCatName val="0"/>
              <c:showSerName val="0"/>
              <c:showPercent val="0"/>
              <c:showBubbleSize val="0"/>
            </c:dLbl>
            <c:dLbl>
              <c:idx val="1"/>
              <c:layout>
                <c:manualLayout>
                  <c:x val="-3.7488288599604818E-3"/>
                  <c:y val="0.30281065480730335"/>
                </c:manualLayout>
              </c:layout>
              <c:dLblPos val="outEnd"/>
              <c:showLegendKey val="0"/>
              <c:showVal val="1"/>
              <c:showCatName val="0"/>
              <c:showSerName val="0"/>
              <c:showPercent val="0"/>
              <c:showBubbleSize val="0"/>
            </c:dLbl>
            <c:dLbl>
              <c:idx val="2"/>
              <c:layout>
                <c:manualLayout>
                  <c:x val="-1.2496096199868269E-3"/>
                  <c:y val="0.29728616801481"/>
                </c:manualLayout>
              </c:layout>
              <c:dLblPos val="outEnd"/>
              <c:showLegendKey val="0"/>
              <c:showVal val="1"/>
              <c:showCatName val="0"/>
              <c:showSerName val="0"/>
              <c:showPercent val="0"/>
              <c:showBubbleSize val="0"/>
            </c:dLbl>
            <c:dLbl>
              <c:idx val="3"/>
              <c:layout>
                <c:manualLayout>
                  <c:x val="1.2496096199868269E-3"/>
                  <c:y val="0.2878074142505721"/>
                </c:manualLayout>
              </c:layout>
              <c:dLblPos val="outEnd"/>
              <c:showLegendKey val="0"/>
              <c:showVal val="1"/>
              <c:showCatName val="0"/>
              <c:showSerName val="0"/>
              <c:showPercent val="0"/>
              <c:showBubbleSize val="0"/>
            </c:dLbl>
            <c:dLbl>
              <c:idx val="4"/>
              <c:layout>
                <c:manualLayout>
                  <c:x val="2.4992192399736538E-3"/>
                  <c:y val="0.28115643116233935"/>
                </c:manualLayout>
              </c:layout>
              <c:dLblPos val="outEnd"/>
              <c:showLegendKey val="0"/>
              <c:showVal val="1"/>
              <c:showCatName val="0"/>
              <c:showSerName val="0"/>
              <c:showPercent val="0"/>
              <c:showBubbleSize val="0"/>
            </c:dLbl>
            <c:dLbl>
              <c:idx val="5"/>
              <c:layout>
                <c:manualLayout>
                  <c:x val="3.7488288599604818E-3"/>
                  <c:y val="0.27579264733790948"/>
                </c:manualLayout>
              </c:layout>
              <c:dLblPos val="outEnd"/>
              <c:showLegendKey val="0"/>
              <c:showVal val="1"/>
              <c:showCatName val="0"/>
              <c:showSerName val="0"/>
              <c:showPercent val="0"/>
              <c:showBubbleSize val="0"/>
            </c:dLbl>
            <c:dLbl>
              <c:idx val="6"/>
              <c:layout>
                <c:manualLayout>
                  <c:x val="2.4992192399736538E-3"/>
                  <c:y val="0.26590970126005742"/>
                </c:manualLayout>
              </c:layout>
              <c:dLblPos val="outEnd"/>
              <c:showLegendKey val="0"/>
              <c:showVal val="1"/>
              <c:showCatName val="0"/>
              <c:showSerName val="0"/>
              <c:showPercent val="0"/>
              <c:showBubbleSize val="0"/>
            </c:dLbl>
            <c:dLbl>
              <c:idx val="7"/>
              <c:layout>
                <c:manualLayout>
                  <c:x val="0"/>
                  <c:y val="0.25093897369240847"/>
                </c:manualLayout>
              </c:layout>
              <c:dLblPos val="outEnd"/>
              <c:showLegendKey val="0"/>
              <c:showVal val="1"/>
              <c:showCatName val="0"/>
              <c:showSerName val="0"/>
              <c:showPercent val="0"/>
              <c:showBubbleSize val="0"/>
            </c:dLbl>
            <c:dLbl>
              <c:idx val="10"/>
              <c:layout>
                <c:manualLayout>
                  <c:x val="0"/>
                  <c:y val="0.22951062222269966"/>
                </c:manualLayout>
              </c:layout>
              <c:dLblPos val="outEnd"/>
              <c:showLegendKey val="0"/>
              <c:showVal val="1"/>
              <c:showCatName val="0"/>
              <c:showSerName val="0"/>
              <c:showPercent val="0"/>
              <c:showBubbleSize val="0"/>
            </c:dLbl>
            <c:dLbl>
              <c:idx val="11"/>
              <c:layout>
                <c:manualLayout>
                  <c:x val="0"/>
                  <c:y val="0.22027936821676275"/>
                </c:manualLayout>
              </c:layout>
              <c:dLblPos val="outEnd"/>
              <c:showLegendKey val="0"/>
              <c:showVal val="1"/>
              <c:showCatName val="0"/>
              <c:showSerName val="0"/>
              <c:showPercent val="0"/>
              <c:showBubbleSize val="0"/>
            </c:dLbl>
            <c:dLbl>
              <c:idx val="12"/>
              <c:layout>
                <c:manualLayout>
                  <c:x val="0"/>
                  <c:y val="0.2142368220343534"/>
                </c:manualLayout>
              </c:layout>
              <c:dLblPos val="outEnd"/>
              <c:showLegendKey val="0"/>
              <c:showVal val="1"/>
              <c:showCatName val="0"/>
              <c:showSerName val="0"/>
              <c:showPercent val="0"/>
              <c:showBubbleSize val="0"/>
            </c:dLbl>
            <c:dLbl>
              <c:idx val="13"/>
              <c:layout>
                <c:manualLayout>
                  <c:x val="1.2496096199868269E-3"/>
                  <c:y val="0.21719550404084892"/>
                </c:manualLayout>
              </c:layout>
              <c:dLblPos val="outEnd"/>
              <c:showLegendKey val="0"/>
              <c:showVal val="1"/>
              <c:showCatName val="0"/>
              <c:showSerName val="0"/>
              <c:showPercent val="0"/>
              <c:showBubbleSize val="0"/>
            </c:dLbl>
            <c:dLbl>
              <c:idx val="14"/>
              <c:layout>
                <c:manualLayout>
                  <c:x val="0"/>
                  <c:y val="0.21595585681394194"/>
                </c:manualLayout>
              </c:layout>
              <c:dLblPos val="outEnd"/>
              <c:showLegendKey val="0"/>
              <c:showVal val="1"/>
              <c:showCatName val="0"/>
              <c:showSerName val="0"/>
              <c:showPercent val="0"/>
              <c:showBubbleSize val="0"/>
            </c:dLbl>
            <c:dLbl>
              <c:idx val="15"/>
              <c:layout>
                <c:manualLayout>
                  <c:x val="3.7488288599604818E-3"/>
                  <c:y val="0.21493048021111957"/>
                </c:manualLayout>
              </c:layout>
              <c:dLblPos val="outEnd"/>
              <c:showLegendKey val="0"/>
              <c:showVal val="1"/>
              <c:showCatName val="0"/>
              <c:showSerName val="0"/>
              <c:showPercent val="0"/>
              <c:showBubbleSize val="0"/>
            </c:dLbl>
            <c:dLbl>
              <c:idx val="16"/>
              <c:layout>
                <c:manualLayout>
                  <c:x val="0"/>
                  <c:y val="-9.3613059622663138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rgbClr val="FF0000"/>
                      </a:solidFill>
                    </a:defRPr>
                  </a:pPr>
                  <a:endParaRPr lang="uk-UA"/>
                </a:p>
              </c:txPr>
              <c:dLblPos val="outEnd"/>
              <c:showLegendKey val="0"/>
              <c:showVal val="1"/>
              <c:showCatName val="0"/>
              <c:showSerName val="0"/>
              <c:showPercent val="0"/>
              <c:showBubbleSize val="0"/>
            </c:dLbl>
            <c:dLbl>
              <c:idx val="17"/>
              <c:layout>
                <c:manualLayout>
                  <c:x val="-1.2496096199868269E-3"/>
                  <c:y val="0.21661342127595579"/>
                </c:manualLayout>
              </c:layout>
              <c:dLblPos val="outEnd"/>
              <c:showLegendKey val="0"/>
              <c:showVal val="1"/>
              <c:showCatName val="0"/>
              <c:showSerName val="0"/>
              <c:showPercent val="0"/>
              <c:showBubbleSize val="0"/>
            </c:dLbl>
            <c:dLbl>
              <c:idx val="18"/>
              <c:layout>
                <c:manualLayout>
                  <c:x val="0"/>
                  <c:y val="0.21486301933949936"/>
                </c:manualLayout>
              </c:layout>
              <c:dLblPos val="outEnd"/>
              <c:showLegendKey val="0"/>
              <c:showVal val="1"/>
              <c:showCatName val="0"/>
              <c:showSerName val="0"/>
              <c:showPercent val="0"/>
              <c:showBubbleSize val="0"/>
            </c:dLbl>
            <c:dLbl>
              <c:idx val="19"/>
              <c:layout>
                <c:manualLayout>
                  <c:x val="0"/>
                  <c:y val="0.20762451078335539"/>
                </c:manualLayout>
              </c:layout>
              <c:dLblPos val="outEnd"/>
              <c:showLegendKey val="0"/>
              <c:showVal val="1"/>
              <c:showCatName val="0"/>
              <c:showSerName val="0"/>
              <c:showPercent val="0"/>
              <c:showBubbleSize val="0"/>
            </c:dLbl>
            <c:dLbl>
              <c:idx val="20"/>
              <c:layout>
                <c:manualLayout>
                  <c:x val="1.2496096199868269E-3"/>
                  <c:y val="0.20330701499965986"/>
                </c:manualLayout>
              </c:layout>
              <c:dLblPos val="outEnd"/>
              <c:showLegendKey val="0"/>
              <c:showVal val="1"/>
              <c:showCatName val="0"/>
              <c:showSerName val="0"/>
              <c:showPercent val="0"/>
              <c:showBubbleSize val="0"/>
            </c:dLbl>
            <c:dLbl>
              <c:idx val="21"/>
              <c:layout>
                <c:manualLayout>
                  <c:x val="-9.163698020081911E-17"/>
                  <c:y val="0.20737557873478635"/>
                </c:manualLayout>
              </c:layout>
              <c:dLblPos val="outEnd"/>
              <c:showLegendKey val="0"/>
              <c:showVal val="1"/>
              <c:showCatName val="0"/>
              <c:showSerName val="0"/>
              <c:showPercent val="0"/>
              <c:showBubbleSize val="0"/>
            </c:dLbl>
            <c:dLbl>
              <c:idx val="22"/>
              <c:layout>
                <c:manualLayout>
                  <c:x val="0"/>
                  <c:y val="0.20690707658814139"/>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19838036616500701"/>
                </c:manualLayout>
              </c:layout>
              <c:dLblPos val="outEnd"/>
              <c:showLegendKey val="0"/>
              <c:showVal val="1"/>
              <c:showCatName val="0"/>
              <c:showSerName val="0"/>
              <c:showPercent val="0"/>
              <c:showBubbleSize val="0"/>
            </c:dLbl>
            <c:dLbl>
              <c:idx val="25"/>
              <c:layout>
                <c:manualLayout>
                  <c:x val="0"/>
                  <c:y val="0.28996816734879494"/>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chemeClr val="tx1"/>
                    </a:solidFill>
                  </a:defRPr>
                </a:pPr>
                <a:endParaRPr lang="uk-UA"/>
              </a:p>
            </c:txPr>
            <c:dLblPos val="ctr"/>
            <c:showLegendKey val="0"/>
            <c:showVal val="1"/>
            <c:showCatName val="0"/>
            <c:showSerName val="0"/>
            <c:showPercent val="0"/>
            <c:showBubbleSize val="0"/>
            <c:showLeaderLines val="0"/>
          </c:dLbls>
          <c:cat>
            <c:strRef>
              <c:f>'C:\Книга доходи МБ\Книга 2015\лютий\[Книга січень без Крима підконтрольні.xls]для сортировки'!$A$4:$A$29</c:f>
              <c:strCache>
                <c:ptCount val="26"/>
                <c:pt idx="0">
                  <c:v>Луганська  </c:v>
                </c:pt>
                <c:pt idx="1">
                  <c:v>Вінницька  </c:v>
                </c:pt>
                <c:pt idx="2">
                  <c:v>Херсонська  </c:v>
                </c:pt>
                <c:pt idx="3">
                  <c:v>Кіровоградська  </c:v>
                </c:pt>
                <c:pt idx="4">
                  <c:v>Тернопільська  </c:v>
                </c:pt>
                <c:pt idx="5">
                  <c:v>Черкаська  </c:v>
                </c:pt>
                <c:pt idx="6">
                  <c:v>Сумська  </c:v>
                </c:pt>
                <c:pt idx="7">
                  <c:v>Хмельницька  </c:v>
                </c:pt>
                <c:pt idx="8">
                  <c:v>Рівненська  </c:v>
                </c:pt>
                <c:pt idx="9">
                  <c:v>Львівська   </c:v>
                </c:pt>
                <c:pt idx="10">
                  <c:v>Миколаївська  </c:v>
                </c:pt>
                <c:pt idx="11">
                  <c:v>Запорізька  </c:v>
                </c:pt>
                <c:pt idx="12">
                  <c:v>Чернігівська  </c:v>
                </c:pt>
                <c:pt idx="13">
                  <c:v>Одеська  </c:v>
                </c:pt>
                <c:pt idx="14">
                  <c:v>Харківська  </c:v>
                </c:pt>
                <c:pt idx="15">
                  <c:v>Житомирська   </c:v>
                </c:pt>
                <c:pt idx="16">
                  <c:v>Україна</c:v>
                </c:pt>
                <c:pt idx="17">
                  <c:v>Полтавська  </c:v>
                </c:pt>
                <c:pt idx="18">
                  <c:v>Дніпропетровська  </c:v>
                </c:pt>
                <c:pt idx="19">
                  <c:v>Волинська  </c:v>
                </c:pt>
                <c:pt idx="20">
                  <c:v>Закарпатська  </c:v>
                </c:pt>
                <c:pt idx="21">
                  <c:v>Чернівецька  </c:v>
                </c:pt>
                <c:pt idx="22">
                  <c:v>м. Київ</c:v>
                </c:pt>
                <c:pt idx="23">
                  <c:v>Київська  </c:v>
                </c:pt>
                <c:pt idx="24">
                  <c:v>Івано-Франківська  </c:v>
                </c:pt>
                <c:pt idx="25">
                  <c:v>Донецька  </c:v>
                </c:pt>
              </c:strCache>
            </c:strRef>
          </c:cat>
          <c:val>
            <c:numRef>
              <c:f>'C:\Книга доходи МБ\Книга 2015\лютий\[Книга січень без Крима підконтрольні.xls]для сортировки'!$B$4:$B$29</c:f>
              <c:numCache>
                <c:formatCode>General</c:formatCode>
                <c:ptCount val="26"/>
                <c:pt idx="0">
                  <c:v>12.800961816374217</c:v>
                </c:pt>
                <c:pt idx="1">
                  <c:v>13.706175419282896</c:v>
                </c:pt>
                <c:pt idx="2">
                  <c:v>13.82829699456844</c:v>
                </c:pt>
                <c:pt idx="3">
                  <c:v>14.308862742281637</c:v>
                </c:pt>
                <c:pt idx="4">
                  <c:v>14.479267573083824</c:v>
                </c:pt>
                <c:pt idx="5">
                  <c:v>14.485778364034511</c:v>
                </c:pt>
                <c:pt idx="6">
                  <c:v>14.938156018715073</c:v>
                </c:pt>
                <c:pt idx="7">
                  <c:v>15.035793891856294</c:v>
                </c:pt>
                <c:pt idx="8">
                  <c:v>15.104785033042036</c:v>
                </c:pt>
                <c:pt idx="9">
                  <c:v>15.139069800554502</c:v>
                </c:pt>
                <c:pt idx="10">
                  <c:v>15.19049937312626</c:v>
                </c:pt>
                <c:pt idx="11">
                  <c:v>15.307827872771954</c:v>
                </c:pt>
                <c:pt idx="12">
                  <c:v>15.593911931984362</c:v>
                </c:pt>
                <c:pt idx="13">
                  <c:v>15.600129912374683</c:v>
                </c:pt>
                <c:pt idx="14">
                  <c:v>15.767349261360991</c:v>
                </c:pt>
                <c:pt idx="15">
                  <c:v>15.822683949608068</c:v>
                </c:pt>
                <c:pt idx="16">
                  <c:v>15.896986274721003</c:v>
                </c:pt>
                <c:pt idx="17">
                  <c:v>15.940031330019199</c:v>
                </c:pt>
                <c:pt idx="18">
                  <c:v>16.071640074023861</c:v>
                </c:pt>
                <c:pt idx="19">
                  <c:v>16.074257907875598</c:v>
                </c:pt>
                <c:pt idx="20">
                  <c:v>16.153710647653469</c:v>
                </c:pt>
                <c:pt idx="21">
                  <c:v>16.310561837517021</c:v>
                </c:pt>
                <c:pt idx="22">
                  <c:v>16.531551101686869</c:v>
                </c:pt>
                <c:pt idx="23">
                  <c:v>16.597542496039694</c:v>
                </c:pt>
                <c:pt idx="24">
                  <c:v>16.824838908491838</c:v>
                </c:pt>
                <c:pt idx="25">
                  <c:v>22.449779144791183</c:v>
                </c:pt>
              </c:numCache>
            </c:numRef>
          </c:val>
        </c:ser>
        <c:dLbls>
          <c:showLegendKey val="0"/>
          <c:showVal val="0"/>
          <c:showCatName val="0"/>
          <c:showSerName val="0"/>
          <c:showPercent val="0"/>
          <c:showBubbleSize val="0"/>
        </c:dLbls>
        <c:gapWidth val="99"/>
        <c:axId val="133085824"/>
        <c:axId val="133464448"/>
      </c:barChart>
      <c:catAx>
        <c:axId val="133085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33464448"/>
        <c:crossesAt val="0"/>
        <c:auto val="1"/>
        <c:lblAlgn val="ctr"/>
        <c:lblOffset val="100"/>
        <c:tickLblSkip val="1"/>
        <c:tickMarkSkip val="1"/>
        <c:noMultiLvlLbl val="0"/>
      </c:catAx>
      <c:valAx>
        <c:axId val="133464448"/>
        <c:scaling>
          <c:orientation val="minMax"/>
          <c:max val="2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33085824"/>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4400415573053367"/>
                </c:manualLayout>
              </c:layout>
              <c:dLblPos val="outEnd"/>
              <c:showLegendKey val="0"/>
              <c:showVal val="1"/>
              <c:showCatName val="0"/>
              <c:showSerName val="0"/>
              <c:showPercent val="0"/>
              <c:showBubbleSize val="0"/>
            </c:dLbl>
            <c:dLbl>
              <c:idx val="1"/>
              <c:layout>
                <c:manualLayout>
                  <c:x val="2.4992192399736538E-3"/>
                  <c:y val="0.26824949064177339"/>
                </c:manualLayout>
              </c:layout>
              <c:dLblPos val="outEnd"/>
              <c:showLegendKey val="0"/>
              <c:showVal val="1"/>
              <c:showCatName val="0"/>
              <c:showSerName val="0"/>
              <c:showPercent val="0"/>
              <c:showBubbleSize val="0"/>
            </c:dLbl>
            <c:dLbl>
              <c:idx val="2"/>
              <c:layout>
                <c:manualLayout>
                  <c:x val="3.7488288599604818E-3"/>
                  <c:y val="0.26272500384928016"/>
                </c:manualLayout>
              </c:layout>
              <c:dLblPos val="outEnd"/>
              <c:showLegendKey val="0"/>
              <c:showVal val="1"/>
              <c:showCatName val="0"/>
              <c:showSerName val="0"/>
              <c:showPercent val="0"/>
              <c:showBubbleSize val="0"/>
            </c:dLbl>
            <c:dLbl>
              <c:idx val="3"/>
              <c:layout>
                <c:manualLayout>
                  <c:x val="1.2496096199868269E-3"/>
                  <c:y val="0.24778922416416915"/>
                </c:manualLayout>
              </c:layout>
              <c:dLblPos val="outEnd"/>
              <c:showLegendKey val="0"/>
              <c:showVal val="1"/>
              <c:showCatName val="0"/>
              <c:showSerName val="0"/>
              <c:showPercent val="0"/>
              <c:showBubbleSize val="0"/>
            </c:dLbl>
            <c:dLbl>
              <c:idx val="4"/>
              <c:layout>
                <c:manualLayout>
                  <c:x val="2.4992192399736538E-3"/>
                  <c:y val="0.23931923243564543"/>
                </c:manualLayout>
              </c:layout>
              <c:dLblPos val="outEnd"/>
              <c:showLegendKey val="0"/>
              <c:showVal val="1"/>
              <c:showCatName val="0"/>
              <c:showSerName val="0"/>
              <c:showPercent val="0"/>
              <c:showBubbleSize val="0"/>
            </c:dLbl>
            <c:dLbl>
              <c:idx val="5"/>
              <c:layout>
                <c:manualLayout>
                  <c:x val="3.7488288599604818E-3"/>
                  <c:y val="0.23031743133063348"/>
                </c:manualLayout>
              </c:layout>
              <c:dLblPos val="outEnd"/>
              <c:showLegendKey val="0"/>
              <c:showVal val="1"/>
              <c:showCatName val="0"/>
              <c:showSerName val="0"/>
              <c:showPercent val="0"/>
              <c:showBubbleSize val="0"/>
            </c:dLbl>
            <c:dLbl>
              <c:idx val="6"/>
              <c:layout>
                <c:manualLayout>
                  <c:x val="2.4992192399736538E-3"/>
                  <c:y val="0.21315845069161718"/>
                </c:manualLayout>
              </c:layout>
              <c:dLblPos val="outEnd"/>
              <c:showLegendKey val="0"/>
              <c:showVal val="1"/>
              <c:showCatName val="0"/>
              <c:showSerName val="0"/>
              <c:showPercent val="0"/>
              <c:showBubbleSize val="0"/>
            </c:dLbl>
            <c:dLbl>
              <c:idx val="7"/>
              <c:layout>
                <c:manualLayout>
                  <c:x val="4.9984384799473085E-3"/>
                  <c:y val="0.21092078360600561"/>
                </c:manualLayout>
              </c:layout>
              <c:dLblPos val="outEnd"/>
              <c:showLegendKey val="0"/>
              <c:showVal val="1"/>
              <c:showCatName val="0"/>
              <c:showSerName val="0"/>
              <c:showPercent val="0"/>
              <c:showBubbleSize val="0"/>
            </c:dLbl>
            <c:dLbl>
              <c:idx val="8"/>
              <c:layout>
                <c:manualLayout>
                  <c:x val="3.7488288599604818E-3"/>
                  <c:y val="0.20398592058666612"/>
                </c:manualLayout>
              </c:layout>
              <c:dLblPos val="outEnd"/>
              <c:showLegendKey val="0"/>
              <c:showVal val="1"/>
              <c:showCatName val="0"/>
              <c:showSerName val="0"/>
              <c:showPercent val="0"/>
              <c:showBubbleSize val="0"/>
            </c:dLbl>
            <c:dLbl>
              <c:idx val="9"/>
              <c:layout>
                <c:manualLayout>
                  <c:x val="1.2496096199868729E-3"/>
                  <c:y val="0.2037314026060521"/>
                </c:manualLayout>
              </c:layout>
              <c:dLblPos val="outEnd"/>
              <c:showLegendKey val="0"/>
              <c:showVal val="1"/>
              <c:showCatName val="0"/>
              <c:showSerName val="0"/>
              <c:showPercent val="0"/>
              <c:showBubbleSize val="0"/>
            </c:dLbl>
            <c:dLbl>
              <c:idx val="10"/>
              <c:layout>
                <c:manualLayout>
                  <c:x val="0"/>
                  <c:y val="2.1345421863194795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rgbClr val="FF0000"/>
                      </a:solidFill>
                    </a:defRPr>
                  </a:pPr>
                  <a:endParaRPr lang="uk-UA"/>
                </a:p>
              </c:txPr>
              <c:dLblPos val="outEnd"/>
              <c:showLegendKey val="0"/>
              <c:showVal val="1"/>
              <c:showCatName val="0"/>
              <c:showSerName val="0"/>
              <c:showPercent val="0"/>
              <c:showBubbleSize val="0"/>
            </c:dLbl>
            <c:dLbl>
              <c:idx val="11"/>
              <c:layout>
                <c:manualLayout>
                  <c:x val="1.2496096199868269E-3"/>
                  <c:y val="0.19481324725268823"/>
                </c:manualLayout>
              </c:layout>
              <c:dLblPos val="outEnd"/>
              <c:showLegendKey val="0"/>
              <c:showVal val="1"/>
              <c:showCatName val="0"/>
              <c:showSerName val="0"/>
              <c:showPercent val="0"/>
              <c:showBubbleSize val="0"/>
            </c:dLbl>
            <c:dLbl>
              <c:idx val="12"/>
              <c:layout>
                <c:manualLayout>
                  <c:x val="0"/>
                  <c:y val="0.18695169242998788"/>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400" b="1">
                      <a:solidFill>
                        <a:schemeClr val="tx1"/>
                      </a:solidFill>
                    </a:defRPr>
                  </a:pPr>
                  <a:endParaRPr lang="uk-UA"/>
                </a:p>
              </c:txPr>
              <c:dLblPos val="outEnd"/>
              <c:showLegendKey val="0"/>
              <c:showVal val="1"/>
              <c:showCatName val="0"/>
              <c:showSerName val="0"/>
              <c:showPercent val="0"/>
              <c:showBubbleSize val="0"/>
            </c:dLbl>
            <c:dLbl>
              <c:idx val="13"/>
              <c:layout>
                <c:manualLayout>
                  <c:x val="1.2496096199868269E-3"/>
                  <c:y val="0.18991037443648334"/>
                </c:manualLayout>
              </c:layout>
              <c:dLblPos val="outEnd"/>
              <c:showLegendKey val="0"/>
              <c:showVal val="1"/>
              <c:showCatName val="0"/>
              <c:showSerName val="0"/>
              <c:showPercent val="0"/>
              <c:showBubbleSize val="0"/>
            </c:dLbl>
            <c:dLbl>
              <c:idx val="14"/>
              <c:layout>
                <c:manualLayout>
                  <c:x val="0"/>
                  <c:y val="0.2014037876916136"/>
                </c:manualLayout>
              </c:layout>
              <c:dLblPos val="outEnd"/>
              <c:showLegendKey val="0"/>
              <c:showVal val="1"/>
              <c:showCatName val="0"/>
              <c:showSerName val="0"/>
              <c:showPercent val="0"/>
              <c:showBubbleSize val="0"/>
            </c:dLbl>
            <c:dLbl>
              <c:idx val="15"/>
              <c:layout>
                <c:manualLayout>
                  <c:x val="3.7488288599604818E-3"/>
                  <c:y val="0.20219741972908228"/>
                </c:manualLayout>
              </c:layout>
              <c:dLblPos val="outEnd"/>
              <c:showLegendKey val="0"/>
              <c:showVal val="1"/>
              <c:showCatName val="0"/>
              <c:showSerName val="0"/>
              <c:showPercent val="0"/>
              <c:showBubbleSize val="0"/>
            </c:dLbl>
            <c:dLbl>
              <c:idx val="16"/>
              <c:layout>
                <c:manualLayout>
                  <c:x val="3.7488288599604818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1.2496096199868269E-3"/>
                  <c:y val="0.20394896749775315"/>
                </c:manualLayout>
              </c:layout>
              <c:dLblPos val="outEnd"/>
              <c:showLegendKey val="0"/>
              <c:showVal val="1"/>
              <c:showCatName val="0"/>
              <c:showSerName val="0"/>
              <c:showPercent val="0"/>
              <c:showBubbleSize val="0"/>
            </c:dLbl>
            <c:dLbl>
              <c:idx val="19"/>
              <c:layout>
                <c:manualLayout>
                  <c:x val="2.4992192399736538E-3"/>
                  <c:y val="0.19671045894160913"/>
                </c:manualLayout>
              </c:layout>
              <c:dLblPos val="outEnd"/>
              <c:showLegendKey val="0"/>
              <c:showVal val="1"/>
              <c:showCatName val="0"/>
              <c:showSerName val="0"/>
              <c:showPercent val="0"/>
              <c:showBubbleSize val="0"/>
            </c:dLbl>
            <c:dLbl>
              <c:idx val="20"/>
              <c:layout>
                <c:manualLayout>
                  <c:x val="1.2496096199868269E-3"/>
                  <c:y val="0.20330701499965984"/>
                </c:manualLayout>
              </c:layout>
              <c:dLblPos val="outEnd"/>
              <c:showLegendKey val="0"/>
              <c:showVal val="1"/>
              <c:showCatName val="0"/>
              <c:showSerName val="0"/>
              <c:showPercent val="0"/>
              <c:showBubbleSize val="0"/>
            </c:dLbl>
            <c:dLbl>
              <c:idx val="21"/>
              <c:layout>
                <c:manualLayout>
                  <c:x val="-9.1636980200819221E-17"/>
                  <c:y val="0.20737557873478632"/>
                </c:manualLayout>
              </c:layout>
              <c:dLblPos val="outEnd"/>
              <c:showLegendKey val="0"/>
              <c:showVal val="1"/>
              <c:showCatName val="0"/>
              <c:showSerName val="0"/>
              <c:showPercent val="0"/>
              <c:showBubbleSize val="0"/>
            </c:dLbl>
            <c:dLbl>
              <c:idx val="22"/>
              <c:layout>
                <c:manualLayout>
                  <c:x val="0"/>
                  <c:y val="0.20690707658814142"/>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19838036616500701"/>
                </c:manualLayout>
              </c:layout>
              <c:dLblPos val="outEnd"/>
              <c:showLegendKey val="0"/>
              <c:showVal val="1"/>
              <c:showCatName val="0"/>
              <c:showSerName val="0"/>
              <c:showPercent val="0"/>
              <c:showBubbleSize val="0"/>
            </c:dLbl>
            <c:dLbl>
              <c:idx val="25"/>
              <c:layout>
                <c:manualLayout>
                  <c:x val="3.7488288599604818E-3"/>
                  <c:y val="0.20811277853569804"/>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chemeClr val="tx1"/>
                    </a:solidFill>
                  </a:defRPr>
                </a:pPr>
                <a:endParaRPr lang="uk-UA"/>
              </a:p>
            </c:txPr>
            <c:dLblPos val="ctr"/>
            <c:showLegendKey val="0"/>
            <c:showVal val="1"/>
            <c:showCatName val="0"/>
            <c:showSerName val="0"/>
            <c:showPercent val="0"/>
            <c:showBubbleSize val="0"/>
            <c:showLeaderLines val="0"/>
          </c:dLbls>
          <c:cat>
            <c:strRef>
              <c:f>'\Книга доходи МБ\Книга 2015\лютий\[Книга січень без Крима підконтрольні.xls]для сортировки'!$S$4:$S$29</c:f>
              <c:strCache>
                <c:ptCount val="26"/>
                <c:pt idx="0">
                  <c:v>м. Київ</c:v>
                </c:pt>
                <c:pt idx="1">
                  <c:v>Кіровоградська  </c:v>
                </c:pt>
                <c:pt idx="2">
                  <c:v>Черкаська  </c:v>
                </c:pt>
                <c:pt idx="3">
                  <c:v>Херсонська  </c:v>
                </c:pt>
                <c:pt idx="4">
                  <c:v>Івано-Франківська  </c:v>
                </c:pt>
                <c:pt idx="5">
                  <c:v>Вінницька  </c:v>
                </c:pt>
                <c:pt idx="6">
                  <c:v>Полтавська  </c:v>
                </c:pt>
                <c:pt idx="7">
                  <c:v>Запорізька  </c:v>
                </c:pt>
                <c:pt idx="8">
                  <c:v>Донецька  </c:v>
                </c:pt>
                <c:pt idx="9">
                  <c:v>Одеська  </c:v>
                </c:pt>
                <c:pt idx="10">
                  <c:v>Україна</c:v>
                </c:pt>
                <c:pt idx="11">
                  <c:v>Миколаївська  </c:v>
                </c:pt>
                <c:pt idx="12">
                  <c:v>Луганська  </c:v>
                </c:pt>
                <c:pt idx="13">
                  <c:v>Харківська  </c:v>
                </c:pt>
                <c:pt idx="14">
                  <c:v>Волинська  </c:v>
                </c:pt>
                <c:pt idx="15">
                  <c:v>Тернопільська  </c:v>
                </c:pt>
                <c:pt idx="16">
                  <c:v>Чернігівська  </c:v>
                </c:pt>
                <c:pt idx="17">
                  <c:v>Рівненська  </c:v>
                </c:pt>
                <c:pt idx="18">
                  <c:v>Хмельницька  </c:v>
                </c:pt>
                <c:pt idx="19">
                  <c:v>Сумська  </c:v>
                </c:pt>
                <c:pt idx="20">
                  <c:v>Чернівецька  </c:v>
                </c:pt>
                <c:pt idx="21">
                  <c:v>Львівська   </c:v>
                </c:pt>
                <c:pt idx="22">
                  <c:v>Житомирська   </c:v>
                </c:pt>
                <c:pt idx="23">
                  <c:v>Київська  </c:v>
                </c:pt>
                <c:pt idx="24">
                  <c:v>Дніпропетровська  </c:v>
                </c:pt>
                <c:pt idx="25">
                  <c:v>Закарпатська  </c:v>
                </c:pt>
              </c:strCache>
            </c:strRef>
          </c:cat>
          <c:val>
            <c:numRef>
              <c:f>'\Книга доходи МБ\Книга 2015\лютий\[Книга січень без Крима підконтрольні.xls]для сортировки'!$T$4:$T$29</c:f>
              <c:numCache>
                <c:formatCode>General</c:formatCode>
                <c:ptCount val="26"/>
                <c:pt idx="0">
                  <c:v>14.663257014583333</c:v>
                </c:pt>
                <c:pt idx="1">
                  <c:v>15.87659926254266</c:v>
                </c:pt>
                <c:pt idx="2">
                  <c:v>16.16221630670502</c:v>
                </c:pt>
                <c:pt idx="3">
                  <c:v>16.259641565272894</c:v>
                </c:pt>
                <c:pt idx="4">
                  <c:v>16.62207452399598</c:v>
                </c:pt>
                <c:pt idx="5">
                  <c:v>16.718517288874619</c:v>
                </c:pt>
                <c:pt idx="6">
                  <c:v>16.848631386944408</c:v>
                </c:pt>
                <c:pt idx="7">
                  <c:v>16.894689348993751</c:v>
                </c:pt>
                <c:pt idx="8">
                  <c:v>16.962021455135311</c:v>
                </c:pt>
                <c:pt idx="9">
                  <c:v>17.071105504571008</c:v>
                </c:pt>
                <c:pt idx="10">
                  <c:v>17.383029636469839</c:v>
                </c:pt>
                <c:pt idx="11">
                  <c:v>17.393228251931276</c:v>
                </c:pt>
                <c:pt idx="12">
                  <c:v>17.508440178187058</c:v>
                </c:pt>
                <c:pt idx="13">
                  <c:v>17.524081842318186</c:v>
                </c:pt>
                <c:pt idx="14">
                  <c:v>18.117195998426048</c:v>
                </c:pt>
                <c:pt idx="15">
                  <c:v>18.272744229949257</c:v>
                </c:pt>
                <c:pt idx="16">
                  <c:v>18.342449933792569</c:v>
                </c:pt>
                <c:pt idx="17">
                  <c:v>18.395562456670049</c:v>
                </c:pt>
                <c:pt idx="18">
                  <c:v>18.491746348517999</c:v>
                </c:pt>
                <c:pt idx="19">
                  <c:v>18.549063794969499</c:v>
                </c:pt>
                <c:pt idx="20">
                  <c:v>18.810143879646319</c:v>
                </c:pt>
                <c:pt idx="21">
                  <c:v>18.993643552105237</c:v>
                </c:pt>
                <c:pt idx="22">
                  <c:v>19.277346421112114</c:v>
                </c:pt>
                <c:pt idx="23">
                  <c:v>19.747995595560504</c:v>
                </c:pt>
                <c:pt idx="24">
                  <c:v>20.456287991418311</c:v>
                </c:pt>
                <c:pt idx="25">
                  <c:v>21.144865387058889</c:v>
                </c:pt>
              </c:numCache>
            </c:numRef>
          </c:val>
        </c:ser>
        <c:dLbls>
          <c:showLegendKey val="0"/>
          <c:showVal val="0"/>
          <c:showCatName val="0"/>
          <c:showSerName val="0"/>
          <c:showPercent val="0"/>
          <c:showBubbleSize val="0"/>
        </c:dLbls>
        <c:gapWidth val="99"/>
        <c:axId val="140289152"/>
        <c:axId val="140290688"/>
      </c:barChart>
      <c:catAx>
        <c:axId val="14028915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40290688"/>
        <c:crossesAt val="0"/>
        <c:auto val="1"/>
        <c:lblAlgn val="ctr"/>
        <c:lblOffset val="100"/>
        <c:tickLblSkip val="1"/>
        <c:tickMarkSkip val="1"/>
        <c:noMultiLvlLbl val="0"/>
      </c:catAx>
      <c:valAx>
        <c:axId val="140290688"/>
        <c:scaling>
          <c:orientation val="minMax"/>
          <c:max val="2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0289152"/>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доходи МБ\Книга 2015\лютий\[Книга січень без Крима підконтрольні.xls]для сортировки'!$M$4:$M$28</c:f>
              <c:strCache>
                <c:ptCount val="25"/>
                <c:pt idx="0">
                  <c:v>Чернівецька  </c:v>
                </c:pt>
                <c:pt idx="1">
                  <c:v>Рівненська  </c:v>
                </c:pt>
                <c:pt idx="2">
                  <c:v>Кіровоградська  </c:v>
                </c:pt>
                <c:pt idx="3">
                  <c:v>Херсонська  </c:v>
                </c:pt>
                <c:pt idx="4">
                  <c:v>Тернопільська  </c:v>
                </c:pt>
                <c:pt idx="5">
                  <c:v>Луганська  </c:v>
                </c:pt>
                <c:pt idx="6">
                  <c:v>Житомирська   </c:v>
                </c:pt>
                <c:pt idx="7">
                  <c:v>Волинська  </c:v>
                </c:pt>
                <c:pt idx="8">
                  <c:v>Миколаївська  </c:v>
                </c:pt>
                <c:pt idx="9">
                  <c:v>Вінницька  </c:v>
                </c:pt>
                <c:pt idx="10">
                  <c:v>Хмельницька  </c:v>
                </c:pt>
                <c:pt idx="11">
                  <c:v>Сумська  </c:v>
                </c:pt>
                <c:pt idx="12">
                  <c:v>Закарпатська  </c:v>
                </c:pt>
                <c:pt idx="13">
                  <c:v>Івано-Франківська  </c:v>
                </c:pt>
                <c:pt idx="14">
                  <c:v>Чернігівська  </c:v>
                </c:pt>
                <c:pt idx="15">
                  <c:v>Донецька  </c:v>
                </c:pt>
                <c:pt idx="16">
                  <c:v>Запорізька  </c:v>
                </c:pt>
                <c:pt idx="17">
                  <c:v>Черкаська  </c:v>
                </c:pt>
                <c:pt idx="18">
                  <c:v>Полтавська  </c:v>
                </c:pt>
                <c:pt idx="19">
                  <c:v>Львівська   </c:v>
                </c:pt>
                <c:pt idx="20">
                  <c:v>Дніпропетровська  </c:v>
                </c:pt>
                <c:pt idx="21">
                  <c:v>Харківська  </c:v>
                </c:pt>
                <c:pt idx="22">
                  <c:v>Одеська  </c:v>
                </c:pt>
                <c:pt idx="23">
                  <c:v>Київська  </c:v>
                </c:pt>
                <c:pt idx="24">
                  <c:v>м. Київ</c:v>
                </c:pt>
              </c:strCache>
            </c:strRef>
          </c:cat>
          <c:val>
            <c:numRef>
              <c:f>'\Книга доходи МБ\Книга 2015\лютий\[Книга січень без Крима підконтрольні.xls]для сортировки'!$N$4:$N$28</c:f>
              <c:numCache>
                <c:formatCode>General</c:formatCode>
                <c:ptCount val="25"/>
                <c:pt idx="0">
                  <c:v>248.17421999999999</c:v>
                </c:pt>
                <c:pt idx="1">
                  <c:v>263.17412000000002</c:v>
                </c:pt>
                <c:pt idx="2">
                  <c:v>272.81726000000003</c:v>
                </c:pt>
                <c:pt idx="3">
                  <c:v>284.30786000000001</c:v>
                </c:pt>
                <c:pt idx="4">
                  <c:v>286.53332</c:v>
                </c:pt>
                <c:pt idx="5">
                  <c:v>296.17876000000001</c:v>
                </c:pt>
                <c:pt idx="6">
                  <c:v>308.57916999999998</c:v>
                </c:pt>
                <c:pt idx="7">
                  <c:v>325.24779999999998</c:v>
                </c:pt>
                <c:pt idx="8">
                  <c:v>326.69328999999999</c:v>
                </c:pt>
                <c:pt idx="9">
                  <c:v>335.18943999999999</c:v>
                </c:pt>
                <c:pt idx="10">
                  <c:v>374.19491000000005</c:v>
                </c:pt>
                <c:pt idx="11">
                  <c:v>376.33261000000005</c:v>
                </c:pt>
                <c:pt idx="12">
                  <c:v>386.68726000000004</c:v>
                </c:pt>
                <c:pt idx="13">
                  <c:v>474.65776999999997</c:v>
                </c:pt>
                <c:pt idx="14">
                  <c:v>503.33492999999999</c:v>
                </c:pt>
                <c:pt idx="15">
                  <c:v>578.18655999999999</c:v>
                </c:pt>
                <c:pt idx="16">
                  <c:v>612.91620999999998</c:v>
                </c:pt>
                <c:pt idx="17">
                  <c:v>635.88765000000001</c:v>
                </c:pt>
                <c:pt idx="18">
                  <c:v>886.4078300000001</c:v>
                </c:pt>
                <c:pt idx="19">
                  <c:v>1092.72333</c:v>
                </c:pt>
                <c:pt idx="20">
                  <c:v>1372.89176</c:v>
                </c:pt>
                <c:pt idx="21">
                  <c:v>1580.36996</c:v>
                </c:pt>
                <c:pt idx="22">
                  <c:v>1759.1713399999999</c:v>
                </c:pt>
                <c:pt idx="23">
                  <c:v>2096.2286199999999</c:v>
                </c:pt>
                <c:pt idx="24">
                  <c:v>5518.3102100000006</c:v>
                </c:pt>
              </c:numCache>
            </c:numRef>
          </c:val>
        </c:ser>
        <c:dLbls>
          <c:showLegendKey val="0"/>
          <c:showVal val="0"/>
          <c:showCatName val="0"/>
          <c:showSerName val="0"/>
          <c:showPercent val="0"/>
          <c:showBubbleSize val="0"/>
        </c:dLbls>
        <c:gapWidth val="99"/>
        <c:axId val="142701696"/>
        <c:axId val="142703232"/>
      </c:barChart>
      <c:catAx>
        <c:axId val="1427016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42703232"/>
        <c:crossesAt val="0"/>
        <c:auto val="1"/>
        <c:lblAlgn val="ctr"/>
        <c:lblOffset val="100"/>
        <c:tickLblSkip val="1"/>
        <c:tickMarkSkip val="1"/>
        <c:noMultiLvlLbl val="0"/>
      </c:catAx>
      <c:valAx>
        <c:axId val="142703232"/>
        <c:scaling>
          <c:orientation val="minMax"/>
          <c:max val="7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2701696"/>
        <c:crosses val="autoZero"/>
        <c:crossBetween val="between"/>
        <c:majorUnit val="5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0000"/>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доходи МБ\Книга 2015\лютий\[Книга січень без Крима підконтрольні.xls]для сортировки'!$P$4:$P$29</c:f>
              <c:strCache>
                <c:ptCount val="26"/>
                <c:pt idx="0">
                  <c:v>Луганська  </c:v>
                </c:pt>
                <c:pt idx="1">
                  <c:v>Донецька  </c:v>
                </c:pt>
                <c:pt idx="2">
                  <c:v>Сумська  </c:v>
                </c:pt>
                <c:pt idx="3">
                  <c:v>Чернігівська  </c:v>
                </c:pt>
                <c:pt idx="4">
                  <c:v>Кіровоградська  </c:v>
                </c:pt>
                <c:pt idx="5">
                  <c:v>Тернопільська  </c:v>
                </c:pt>
                <c:pt idx="6">
                  <c:v>Вінницька  </c:v>
                </c:pt>
                <c:pt idx="7">
                  <c:v>Миколаївська  </c:v>
                </c:pt>
                <c:pt idx="8">
                  <c:v>Хмельницька  </c:v>
                </c:pt>
                <c:pt idx="9">
                  <c:v>Херсонська  </c:v>
                </c:pt>
                <c:pt idx="10">
                  <c:v>Черкаська  </c:v>
                </c:pt>
                <c:pt idx="11">
                  <c:v>Івано-Франківська  </c:v>
                </c:pt>
                <c:pt idx="12">
                  <c:v>Рівненська  </c:v>
                </c:pt>
                <c:pt idx="13">
                  <c:v>Харківська  </c:v>
                </c:pt>
                <c:pt idx="14">
                  <c:v>Житомирська   </c:v>
                </c:pt>
                <c:pt idx="15">
                  <c:v>Україна</c:v>
                </c:pt>
                <c:pt idx="16">
                  <c:v>Запорізька  </c:v>
                </c:pt>
                <c:pt idx="17">
                  <c:v>Полтавська  </c:v>
                </c:pt>
                <c:pt idx="18">
                  <c:v>Волинська  </c:v>
                </c:pt>
                <c:pt idx="19">
                  <c:v>Одеська  </c:v>
                </c:pt>
                <c:pt idx="20">
                  <c:v>Дніпропетровська  </c:v>
                </c:pt>
                <c:pt idx="21">
                  <c:v>Чернівецька  </c:v>
                </c:pt>
                <c:pt idx="22">
                  <c:v>Львівська   </c:v>
                </c:pt>
                <c:pt idx="23">
                  <c:v>Закарпатська  </c:v>
                </c:pt>
                <c:pt idx="24">
                  <c:v>Київська  </c:v>
                </c:pt>
                <c:pt idx="25">
                  <c:v>м. Київ</c:v>
                </c:pt>
              </c:strCache>
            </c:strRef>
          </c:cat>
          <c:val>
            <c:numRef>
              <c:f>'\Книга доходи МБ\Книга 2015\лютий\[Книга січень без Крима підконтрольні.xls]для сортировки'!$Q$4:$Q$29</c:f>
              <c:numCache>
                <c:formatCode>General</c:formatCode>
                <c:ptCount val="26"/>
                <c:pt idx="0">
                  <c:v>2.5238818507747132</c:v>
                </c:pt>
                <c:pt idx="1">
                  <c:v>5.2723780250016006</c:v>
                </c:pt>
                <c:pt idx="2">
                  <c:v>8.9243345157848015</c:v>
                </c:pt>
                <c:pt idx="3">
                  <c:v>9.2818287799509971</c:v>
                </c:pt>
                <c:pt idx="4">
                  <c:v>10.411189703968851</c:v>
                </c:pt>
                <c:pt idx="5">
                  <c:v>10.607232670006438</c:v>
                </c:pt>
                <c:pt idx="6">
                  <c:v>10.631218226714832</c:v>
                </c:pt>
                <c:pt idx="7">
                  <c:v>10.896459629296146</c:v>
                </c:pt>
                <c:pt idx="8">
                  <c:v>10.98171170137231</c:v>
                </c:pt>
                <c:pt idx="9">
                  <c:v>11.276857072798249</c:v>
                </c:pt>
                <c:pt idx="10">
                  <c:v>11.337597886277072</c:v>
                </c:pt>
                <c:pt idx="11">
                  <c:v>11.900887615621491</c:v>
                </c:pt>
                <c:pt idx="12">
                  <c:v>12.255164002965005</c:v>
                </c:pt>
                <c:pt idx="13">
                  <c:v>12.436815111707331</c:v>
                </c:pt>
                <c:pt idx="14">
                  <c:v>12.462860598552725</c:v>
                </c:pt>
                <c:pt idx="15">
                  <c:v>12.572700680842253</c:v>
                </c:pt>
                <c:pt idx="16">
                  <c:v>12.801760554061108</c:v>
                </c:pt>
                <c:pt idx="17">
                  <c:v>13.139099996228239</c:v>
                </c:pt>
                <c:pt idx="18">
                  <c:v>14.028366930662832</c:v>
                </c:pt>
                <c:pt idx="19">
                  <c:v>14.482927043809436</c:v>
                </c:pt>
                <c:pt idx="20">
                  <c:v>14.547088270035118</c:v>
                </c:pt>
                <c:pt idx="21">
                  <c:v>14.827638050517992</c:v>
                </c:pt>
                <c:pt idx="22">
                  <c:v>15.316033199182488</c:v>
                </c:pt>
                <c:pt idx="23">
                  <c:v>18.823760759040457</c:v>
                </c:pt>
                <c:pt idx="24">
                  <c:v>20.938482884163111</c:v>
                </c:pt>
                <c:pt idx="25">
                  <c:v>24.04347833619525</c:v>
                </c:pt>
              </c:numCache>
            </c:numRef>
          </c:val>
        </c:ser>
        <c:dLbls>
          <c:showLegendKey val="0"/>
          <c:showVal val="0"/>
          <c:showCatName val="0"/>
          <c:showSerName val="0"/>
          <c:showPercent val="0"/>
          <c:showBubbleSize val="0"/>
        </c:dLbls>
        <c:gapWidth val="99"/>
        <c:axId val="143083776"/>
        <c:axId val="143114240"/>
      </c:barChart>
      <c:catAx>
        <c:axId val="14308377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43114240"/>
        <c:crossesAt val="0"/>
        <c:auto val="1"/>
        <c:lblAlgn val="ctr"/>
        <c:lblOffset val="100"/>
        <c:tickLblSkip val="1"/>
        <c:tickMarkSkip val="1"/>
        <c:noMultiLvlLbl val="0"/>
      </c:catAx>
      <c:valAx>
        <c:axId val="143114240"/>
        <c:scaling>
          <c:orientation val="minMax"/>
          <c:max val="4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3083776"/>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6.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0.71132</cdr:x>
      <cdr:y>0.40459</cdr:y>
    </cdr:from>
    <cdr:to>
      <cdr:x>0.84476</cdr:x>
      <cdr:y>0.49558</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0.66165</cdr:x>
      <cdr:y>0.84639</cdr:y>
    </cdr:from>
    <cdr:to>
      <cdr:x>0.95489</cdr:x>
      <cdr:y>0.95498</cdr:y>
    </cdr:to>
    <cdr:sp macro="" textlink="">
      <cdr:nvSpPr>
        <cdr:cNvPr id="30" name="Прямокутник 29"/>
        <cdr:cNvSpPr/>
      </cdr:nvSpPr>
      <cdr:spPr>
        <a:xfrm xmlns:a="http://schemas.openxmlformats.org/drawingml/2006/main">
          <a:off x="2514600" y="5401450"/>
          <a:ext cx="1114425" cy="69299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2 006,0 млн.грн.</a:t>
          </a:r>
        </a:p>
      </cdr:txBody>
    </cdr:sp>
  </cdr:relSizeAnchor>
  <cdr:relSizeAnchor xmlns:cdr="http://schemas.openxmlformats.org/drawingml/2006/chartDrawing">
    <cdr:from>
      <cdr:x>0.73935</cdr:x>
      <cdr:y>0.23757</cdr:y>
    </cdr:from>
    <cdr:to>
      <cdr:x>0.95238</cdr:x>
      <cdr:y>0.38806</cdr:y>
    </cdr:to>
    <cdr:sp macro="" textlink="">
      <cdr:nvSpPr>
        <cdr:cNvPr id="31" name="Прямокутник 30"/>
        <cdr:cNvSpPr/>
      </cdr:nvSpPr>
      <cdr:spPr>
        <a:xfrm xmlns:a="http://schemas.openxmlformats.org/drawingml/2006/main">
          <a:off x="2809875" y="1516142"/>
          <a:ext cx="809625" cy="960358"/>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15 регіонах темп росту вище середного по  Україні</a:t>
          </a:r>
        </a:p>
      </cdr:txBody>
    </cdr:sp>
  </cdr:relSizeAnchor>
  <cdr:relSizeAnchor xmlns:cdr="http://schemas.openxmlformats.org/drawingml/2006/chartDrawing">
    <cdr:from>
      <cdr:x>0.7193</cdr:x>
      <cdr:y>0.51152</cdr:y>
    </cdr:from>
    <cdr:to>
      <cdr:x>0.95386</cdr:x>
      <cdr:y>0.66667</cdr:y>
    </cdr:to>
    <cdr:sp macro="" textlink="">
      <cdr:nvSpPr>
        <cdr:cNvPr id="32" name="Прямокутник 31"/>
        <cdr:cNvSpPr/>
      </cdr:nvSpPr>
      <cdr:spPr>
        <a:xfrm xmlns:a="http://schemas.openxmlformats.org/drawingml/2006/main">
          <a:off x="2733675" y="3171824"/>
          <a:ext cx="891455" cy="96202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10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3795306" cy="324512"/>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плати за землю  за січень-лютий  2015 р. до  січня-лютого 2014р.(%)  </a:t>
          </a:r>
          <a:endParaRPr lang="uk-UA" sz="1000">
            <a:solidFill>
              <a:sysClr val="windowText" lastClr="000000"/>
            </a:solidFill>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0.71132</cdr:x>
      <cdr:y>0.40459</cdr:y>
    </cdr:from>
    <cdr:to>
      <cdr:x>0.84476</cdr:x>
      <cdr:y>0.49558</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0.58951</cdr:x>
      <cdr:y>0.88693</cdr:y>
    </cdr:from>
    <cdr:to>
      <cdr:x>0.94041</cdr:x>
      <cdr:y>0.95498</cdr:y>
    </cdr:to>
    <cdr:sp macro="" textlink="">
      <cdr:nvSpPr>
        <cdr:cNvPr id="30" name="Прямокутник 29"/>
        <cdr:cNvSpPr/>
      </cdr:nvSpPr>
      <cdr:spPr>
        <a:xfrm xmlns:a="http://schemas.openxmlformats.org/drawingml/2006/main">
          <a:off x="2167422" y="5660166"/>
          <a:ext cx="1290153" cy="434278"/>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6</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767,7 млн.грн.</a:t>
          </a:r>
        </a:p>
      </cdr:txBody>
    </cdr:sp>
  </cdr:relSizeAnchor>
  <cdr:relSizeAnchor xmlns:cdr="http://schemas.openxmlformats.org/drawingml/2006/chartDrawing">
    <cdr:from>
      <cdr:x>0.71131</cdr:x>
      <cdr:y>0.17612</cdr:y>
    </cdr:from>
    <cdr:to>
      <cdr:x>0.94883</cdr:x>
      <cdr:y>0.31194</cdr:y>
    </cdr:to>
    <cdr:sp macro="" textlink="">
      <cdr:nvSpPr>
        <cdr:cNvPr id="31" name="Прямокутник 30"/>
        <cdr:cNvSpPr/>
      </cdr:nvSpPr>
      <cdr:spPr>
        <a:xfrm xmlns:a="http://schemas.openxmlformats.org/drawingml/2006/main">
          <a:off x="2655871" y="1123954"/>
          <a:ext cx="886852" cy="866769"/>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15 регіонах темп росту вище середного по  Україні</a:t>
          </a:r>
        </a:p>
      </cdr:txBody>
    </cdr:sp>
  </cdr:relSizeAnchor>
  <cdr:relSizeAnchor xmlns:cdr="http://schemas.openxmlformats.org/drawingml/2006/chartDrawing">
    <cdr:from>
      <cdr:x>0.70789</cdr:x>
      <cdr:y>0.49701</cdr:y>
    </cdr:from>
    <cdr:to>
      <cdr:x>0.95408</cdr:x>
      <cdr:y>0.64694</cdr:y>
    </cdr:to>
    <cdr:sp macro="" textlink="">
      <cdr:nvSpPr>
        <cdr:cNvPr id="32" name="Прямокутник 31"/>
        <cdr:cNvSpPr/>
      </cdr:nvSpPr>
      <cdr:spPr>
        <a:xfrm xmlns:a="http://schemas.openxmlformats.org/drawingml/2006/main">
          <a:off x="2643117" y="3171824"/>
          <a:ext cx="919233" cy="956769"/>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10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0.00136</cdr:x>
      <cdr:y>0</cdr:y>
    </cdr:from>
    <cdr:to>
      <cdr:x>0.97449</cdr:x>
      <cdr:y>0.05522</cdr:y>
    </cdr:to>
    <cdr:sp macro="" textlink="">
      <cdr:nvSpPr>
        <cdr:cNvPr id="6" name="Прямокутник 5"/>
        <cdr:cNvSpPr/>
      </cdr:nvSpPr>
      <cdr:spPr>
        <a:xfrm xmlns:a="http://schemas.openxmlformats.org/drawingml/2006/main">
          <a:off x="5078" y="0"/>
          <a:ext cx="3633472" cy="352424"/>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ПДФО за січень-лютий  2015 р. до  січня -лютого 2014р.(%)  </a:t>
          </a:r>
          <a:endParaRPr lang="uk-UA" sz="1000">
            <a:solidFill>
              <a:sysClr val="windowText" lastClr="00000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0.02774</cdr:x>
      <cdr:y>0.37953</cdr:y>
    </cdr:from>
    <cdr:to>
      <cdr:x>0.98569</cdr:x>
      <cdr:y>0.3809</cdr:y>
    </cdr:to>
    <cdr:sp macro="" textlink="">
      <cdr:nvSpPr>
        <cdr:cNvPr id="8" name="Пряма сполучна лінія 7"/>
        <cdr:cNvSpPr/>
      </cdr:nvSpPr>
      <cdr:spPr>
        <a:xfrm xmlns:a="http://schemas.openxmlformats.org/drawingml/2006/main" flipV="1">
          <a:off x="380999" y="2628900"/>
          <a:ext cx="9639300" cy="9525"/>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0.70482</cdr:x>
      <cdr:y>0.40709</cdr:y>
    </cdr:from>
    <cdr:to>
      <cdr:x>0.83776</cdr:x>
      <cdr:y>0.49908</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rgbClr val="000000"/>
              </a:solidFill>
            </a:rPr>
            <a:t>Виконання річних</a:t>
          </a:r>
          <a:r>
            <a:rPr lang="uk-UA" sz="1000" b="1" i="1" strike="noStrike" baseline="0">
              <a:solidFill>
                <a:srgbClr val="000000"/>
              </a:solidFill>
            </a:rPr>
            <a:t> затвержених показників  по</a:t>
          </a:r>
          <a:r>
            <a:rPr lang="uk-UA" sz="1000" b="1" i="1" strike="noStrike">
              <a:solidFill>
                <a:srgbClr val="000000"/>
              </a:solidFill>
            </a:rPr>
            <a:t> податку</a:t>
          </a:r>
          <a:r>
            <a:rPr lang="uk-UA" sz="1000" b="1" i="1" strike="noStrike" baseline="0">
              <a:solidFill>
                <a:srgbClr val="000000"/>
              </a:solidFill>
            </a:rPr>
            <a:t> на доходи фізичних осіб за </a:t>
          </a:r>
          <a:r>
            <a:rPr lang="uk-UA" sz="1000" b="1" i="1" strike="noStrike">
              <a:solidFill>
                <a:srgbClr val="000000"/>
              </a:solidFill>
            </a:rPr>
            <a:t>січень-лютий 2015 року(%)</a:t>
          </a:r>
        </a:p>
      </cdr:txBody>
    </cdr:sp>
  </cdr:relSizeAnchor>
  <cdr:relSizeAnchor xmlns:cdr="http://schemas.openxmlformats.org/drawingml/2006/chartDrawing">
    <cdr:from>
      <cdr:x>0.11003</cdr:x>
      <cdr:y>0.07407</cdr:y>
    </cdr:from>
    <cdr:to>
      <cdr:x>0.32971</cdr:x>
      <cdr:y>0.23747</cdr:y>
    </cdr:to>
    <cdr:sp macro="" textlink="">
      <cdr:nvSpPr>
        <cdr:cNvPr id="9" name="Прямокутна виноска 8"/>
        <cdr:cNvSpPr/>
      </cdr:nvSpPr>
      <cdr:spPr>
        <a:xfrm xmlns:a="http://schemas.openxmlformats.org/drawingml/2006/main">
          <a:off x="816420" y="323849"/>
          <a:ext cx="1630020" cy="714375"/>
        </a:xfrm>
        <a:prstGeom xmlns:a="http://schemas.openxmlformats.org/drawingml/2006/main" prst="wedgeRectCallout">
          <a:avLst>
            <a:gd name="adj1" fmla="val -63282"/>
            <a:gd name="adj2" fmla="val 105586"/>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січня-лютого в році за 2012-2014 роки</a:t>
          </a:r>
        </a:p>
      </cdr:txBody>
    </cdr:sp>
  </cdr:relSizeAnchor>
  <cdr:relSizeAnchor xmlns:cdr="http://schemas.openxmlformats.org/drawingml/2006/chartDrawing">
    <cdr:from>
      <cdr:x>0.02302</cdr:x>
      <cdr:y>0.31088</cdr:y>
    </cdr:from>
    <cdr:to>
      <cdr:x>0.11553</cdr:x>
      <cdr:y>0.40087</cdr:y>
    </cdr:to>
    <cdr:sp macro="" textlink="">
      <cdr:nvSpPr>
        <cdr:cNvPr id="10" name="TextBox 9"/>
        <cdr:cNvSpPr txBox="1"/>
      </cdr:nvSpPr>
      <cdr:spPr>
        <a:xfrm xmlns:a="http://schemas.openxmlformats.org/drawingml/2006/main">
          <a:off x="170780" y="1359163"/>
          <a:ext cx="686470" cy="39343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600" b="1">
              <a:solidFill>
                <a:srgbClr val="FF0000"/>
              </a:solidFill>
            </a:rPr>
            <a:t>14,3</a:t>
          </a:r>
          <a:endParaRPr lang="uk-UA" sz="2000" b="1">
            <a:solidFill>
              <a:srgbClr val="FF0000"/>
            </a:solidFill>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0.70482</cdr:x>
      <cdr:y>0.40709</cdr:y>
    </cdr:from>
    <cdr:to>
      <cdr:x>0.83776</cdr:x>
      <cdr:y>0.49908</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chemeClr val="tx1"/>
              </a:solidFill>
            </a:rPr>
            <a:t>Виконання річних затвержених показників  по  </a:t>
          </a:r>
          <a:r>
            <a:rPr lang="uk-UA" sz="1000" b="1" i="1" strike="noStrike">
              <a:solidFill>
                <a:srgbClr val="000000"/>
              </a:solidFill>
            </a:rPr>
            <a:t>платі за землю</a:t>
          </a:r>
          <a:r>
            <a:rPr lang="uk-UA" sz="1000" b="1" i="1" strike="noStrike" baseline="0">
              <a:solidFill>
                <a:srgbClr val="000000"/>
              </a:solidFill>
            </a:rPr>
            <a:t> за </a:t>
          </a:r>
          <a:r>
            <a:rPr lang="uk-UA" sz="1000" b="1" i="1" strike="noStrike">
              <a:solidFill>
                <a:srgbClr val="000000"/>
              </a:solidFill>
            </a:rPr>
            <a:t>січень-лютий 2015 року(%)</a:t>
          </a:r>
        </a:p>
      </cdr:txBody>
    </cdr:sp>
  </cdr:relSizeAnchor>
  <cdr:relSizeAnchor xmlns:cdr="http://schemas.openxmlformats.org/drawingml/2006/chartDrawing">
    <cdr:from>
      <cdr:x>0.02868</cdr:x>
      <cdr:y>0.34902</cdr:y>
    </cdr:from>
    <cdr:to>
      <cdr:x>0.98663</cdr:x>
      <cdr:y>0.35064</cdr:y>
    </cdr:to>
    <cdr:sp macro="" textlink="">
      <cdr:nvSpPr>
        <cdr:cNvPr id="8" name="Пряма сполучна лінія 7"/>
        <cdr:cNvSpPr/>
      </cdr:nvSpPr>
      <cdr:spPr>
        <a:xfrm xmlns:a="http://schemas.openxmlformats.org/drawingml/2006/main" flipV="1">
          <a:off x="390542" y="2419317"/>
          <a:ext cx="9639263" cy="9565"/>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0.06386</cdr:x>
      <cdr:y>0.0719</cdr:y>
    </cdr:from>
    <cdr:to>
      <cdr:x>0.28329</cdr:x>
      <cdr:y>0.22876</cdr:y>
    </cdr:to>
    <cdr:sp macro="" textlink="">
      <cdr:nvSpPr>
        <cdr:cNvPr id="9" name="Прямокутна виноска 8"/>
        <cdr:cNvSpPr/>
      </cdr:nvSpPr>
      <cdr:spPr>
        <a:xfrm xmlns:a="http://schemas.openxmlformats.org/drawingml/2006/main">
          <a:off x="473840" y="316379"/>
          <a:ext cx="1628165" cy="690283"/>
        </a:xfrm>
        <a:prstGeom xmlns:a="http://schemas.openxmlformats.org/drawingml/2006/main" prst="wedgeRectCallout">
          <a:avLst>
            <a:gd name="adj1" fmla="val -46642"/>
            <a:gd name="adj2" fmla="val 86939"/>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січня-лютого в році за 2012-2014 роки</a:t>
          </a:r>
        </a:p>
      </cdr:txBody>
    </cdr:sp>
  </cdr:relSizeAnchor>
  <cdr:relSizeAnchor xmlns:cdr="http://schemas.openxmlformats.org/drawingml/2006/chartDrawing">
    <cdr:from>
      <cdr:x>0.01155</cdr:x>
      <cdr:y>0.27246</cdr:y>
    </cdr:from>
    <cdr:to>
      <cdr:x>0.0839</cdr:x>
      <cdr:y>0.37473</cdr:y>
    </cdr:to>
    <cdr:sp macro="" textlink="">
      <cdr:nvSpPr>
        <cdr:cNvPr id="10" name="TextBox 9"/>
        <cdr:cNvSpPr txBox="1"/>
      </cdr:nvSpPr>
      <cdr:spPr>
        <a:xfrm xmlns:a="http://schemas.openxmlformats.org/drawingml/2006/main">
          <a:off x="85725" y="1191210"/>
          <a:ext cx="536835" cy="44709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600" b="1">
              <a:solidFill>
                <a:srgbClr val="FF0000"/>
              </a:solidFill>
            </a:rPr>
            <a:t>15,6</a:t>
          </a:r>
        </a:p>
      </cdr:txBody>
    </cdr:sp>
  </cdr:relSizeAnchor>
</c:userShapes>
</file>

<file path=word/drawings/drawing5.xml><?xml version="1.0" encoding="utf-8"?>
<c:userShapes xmlns:c="http://schemas.openxmlformats.org/drawingml/2006/chart">
  <cdr:relSizeAnchor xmlns:cdr="http://schemas.openxmlformats.org/drawingml/2006/chartDrawing">
    <cdr:from>
      <cdr:x>0.71257</cdr:x>
      <cdr:y>0.40434</cdr:y>
    </cdr:from>
    <cdr:to>
      <cdr:x>0.84626</cdr:x>
      <cdr:y>0.49633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0.53709</cdr:x>
      <cdr:y>0.35616</cdr:y>
    </cdr:from>
    <cdr:to>
      <cdr:x>0.90429</cdr:x>
      <cdr:y>0.45469</cdr:y>
    </cdr:to>
    <cdr:sp macro="" textlink="">
      <cdr:nvSpPr>
        <cdr:cNvPr id="30" name="Прямокутник 29"/>
        <cdr:cNvSpPr/>
      </cdr:nvSpPr>
      <cdr:spPr>
        <a:xfrm xmlns:a="http://schemas.openxmlformats.org/drawingml/2006/main">
          <a:off x="1862130" y="2476500"/>
          <a:ext cx="1273119" cy="68508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21 195,2  тис.грн.</a:t>
          </a:r>
        </a:p>
      </cdr:txBody>
    </cdr:sp>
  </cdr:relSizeAnchor>
  <cdr:relSizeAnchor xmlns:cdr="http://schemas.openxmlformats.org/drawingml/2006/chartDrawing">
    <cdr:from>
      <cdr:x>0.00136</cdr:x>
      <cdr:y>0</cdr:y>
    </cdr:from>
    <cdr:to>
      <cdr:x>1</cdr:x>
      <cdr:y>0.05085</cdr:y>
    </cdr:to>
    <cdr:sp macro="" textlink="">
      <cdr:nvSpPr>
        <cdr:cNvPr id="6" name="Прямокутник 5"/>
        <cdr:cNvSpPr/>
      </cdr:nvSpPr>
      <cdr:spPr>
        <a:xfrm xmlns:a="http://schemas.openxmlformats.org/drawingml/2006/main">
          <a:off x="5985" y="0"/>
          <a:ext cx="4394565" cy="456739"/>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січень-лютий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0.83242</cdr:x>
      <cdr:y>0.01823</cdr:y>
    </cdr:from>
    <cdr:to>
      <cdr:x>0.9625</cdr:x>
      <cdr:y>0.06575</cdr:y>
    </cdr:to>
    <cdr:sp macro="" textlink="">
      <cdr:nvSpPr>
        <cdr:cNvPr id="7" name="TextBox 6"/>
        <cdr:cNvSpPr txBox="1"/>
      </cdr:nvSpPr>
      <cdr:spPr>
        <a:xfrm xmlns:a="http://schemas.openxmlformats.org/drawingml/2006/main">
          <a:off x="2886075" y="126782"/>
          <a:ext cx="451009" cy="33041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0.71032</cdr:x>
      <cdr:y>0.40459</cdr:y>
    </cdr:from>
    <cdr:to>
      <cdr:x>0.84351</cdr:x>
      <cdr:y>0.49558</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0.61564</cdr:x>
      <cdr:y>0.35216</cdr:y>
    </cdr:from>
    <cdr:to>
      <cdr:x>0.96316</cdr:x>
      <cdr:y>0.45152</cdr:y>
    </cdr:to>
    <cdr:sp macro="" textlink="">
      <cdr:nvSpPr>
        <cdr:cNvPr id="30" name="Прямокутник 29"/>
        <cdr:cNvSpPr/>
      </cdr:nvSpPr>
      <cdr:spPr>
        <a:xfrm xmlns:a="http://schemas.openxmlformats.org/drawingml/2006/main">
          <a:off x="2228303" y="2421813"/>
          <a:ext cx="1257847" cy="683337"/>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541,5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акцизного податку  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січень-лютий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0.8385</cdr:x>
      <cdr:y>0.02295</cdr:y>
    </cdr:from>
    <cdr:to>
      <cdr:x>1</cdr:x>
      <cdr:y>0.06094</cdr:y>
    </cdr:to>
    <cdr:sp macro="" textlink="">
      <cdr:nvSpPr>
        <cdr:cNvPr id="7" name="TextBox 6"/>
        <cdr:cNvSpPr txBox="1"/>
      </cdr:nvSpPr>
      <cdr:spPr>
        <a:xfrm xmlns:a="http://schemas.openxmlformats.org/drawingml/2006/main">
          <a:off x="3034949" y="157822"/>
          <a:ext cx="584551" cy="2612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1673</Words>
  <Characters>955</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Користувач Windows</cp:lastModifiedBy>
  <cp:revision>35</cp:revision>
  <cp:lastPrinted>2015-03-24T16:30:00Z</cp:lastPrinted>
  <dcterms:created xsi:type="dcterms:W3CDTF">2015-03-24T15:21:00Z</dcterms:created>
  <dcterms:modified xsi:type="dcterms:W3CDTF">2015-03-25T07:42:00Z</dcterms:modified>
</cp:coreProperties>
</file>