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Звичайний"/>
        <w:spacing w:before="120" w:after="120"/>
        <w:ind w:firstLine="540"/>
        <w:jc w:val="center"/>
      </w:pPr>
      <w:r>
        <w:rPr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</w:t>
      </w:r>
    </w:p>
    <w:p>
      <w:pPr>
        <w:pStyle w:val="Звичайний"/>
        <w:ind w:left="5220" w:hanging="5220"/>
      </w:pPr>
    </w:p>
    <w:p>
      <w:pPr>
        <w:pStyle w:val="Звичайний"/>
        <w:ind w:left="5220" w:hanging="5220"/>
      </w:pPr>
    </w:p>
    <w:p>
      <w:pPr>
        <w:pStyle w:val="Звичайний"/>
        <w:ind w:firstLine="539"/>
        <w:jc w:val="both"/>
      </w:pPr>
      <w:r>
        <w:rPr>
          <w:sz w:val="28"/>
          <w:szCs w:val="28"/>
          <w:rtl w:val="0"/>
        </w:rPr>
        <w:t>Процес</w:t>
      </w:r>
      <w:r>
        <w:rPr>
          <w:sz w:val="28"/>
          <w:szCs w:val="28"/>
          <w:rtl w:val="0"/>
          <w:lang w:val="ru-RU"/>
        </w:rPr>
        <w:t xml:space="preserve"> затвердження місцевих бюджетів</w:t>
      </w:r>
      <w:r>
        <w:rPr>
          <w:sz w:val="28"/>
          <w:szCs w:val="28"/>
          <w:rtl w:val="0"/>
        </w:rPr>
        <w:t xml:space="preserve"> усіх</w:t>
      </w:r>
      <w:r>
        <w:rPr>
          <w:sz w:val="28"/>
          <w:szCs w:val="28"/>
          <w:rtl w:val="0"/>
          <w:lang w:val="ru-RU"/>
        </w:rPr>
        <w:t xml:space="preserve"> рівнів на </w:t>
      </w:r>
      <w:r>
        <w:rPr>
          <w:sz w:val="28"/>
          <w:szCs w:val="28"/>
          <w:rtl w:val="0"/>
          <w:lang w:val="ru-RU"/>
        </w:rPr>
        <w:t>201</w:t>
      </w:r>
      <w:r>
        <w:rPr>
          <w:sz w:val="28"/>
          <w:szCs w:val="28"/>
          <w:rtl w:val="0"/>
        </w:rPr>
        <w:t>7</w:t>
      </w:r>
      <w:r>
        <w:rPr>
          <w:sz w:val="28"/>
          <w:szCs w:val="28"/>
          <w:rtl w:val="0"/>
          <w:lang w:val="ru-RU"/>
        </w:rPr>
        <w:t xml:space="preserve"> рік</w:t>
      </w:r>
      <w:r>
        <w:rPr>
          <w:sz w:val="28"/>
          <w:szCs w:val="28"/>
          <w:rtl w:val="0"/>
        </w:rPr>
        <w:t xml:space="preserve"> триває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t xml:space="preserve"> </w:t>
      </w:r>
    </w:p>
    <w:p>
      <w:pPr>
        <w:pStyle w:val="Звичайний"/>
        <w:spacing w:before="120" w:after="120"/>
        <w:ind w:firstLine="539"/>
        <w:jc w:val="both"/>
      </w:pPr>
      <w:r>
        <w:rPr>
          <w:sz w:val="28"/>
          <w:szCs w:val="28"/>
          <w:rtl w:val="0"/>
          <w:lang w:val="en-US"/>
        </w:rPr>
        <w:t>C</w:t>
      </w:r>
      <w:r>
        <w:rPr>
          <w:sz w:val="28"/>
          <w:szCs w:val="28"/>
          <w:rtl w:val="0"/>
          <w:lang w:val="ru-RU"/>
        </w:rPr>
        <w:t xml:space="preserve">таном на </w:t>
      </w:r>
      <w:r>
        <w:rPr>
          <w:sz w:val="28"/>
          <w:szCs w:val="28"/>
          <w:rtl w:val="0"/>
        </w:rPr>
        <w:t xml:space="preserve">13 </w:t>
      </w:r>
      <w:r>
        <w:rPr>
          <w:sz w:val="28"/>
          <w:szCs w:val="28"/>
          <w:rtl w:val="0"/>
        </w:rPr>
        <w:t>січня</w:t>
      </w:r>
      <w:r>
        <w:rPr>
          <w:sz w:val="28"/>
          <w:szCs w:val="28"/>
          <w:rtl w:val="0"/>
          <w:lang w:val="ru-RU"/>
        </w:rPr>
        <w:t xml:space="preserve"> 201</w:t>
      </w:r>
      <w:r>
        <w:rPr>
          <w:sz w:val="28"/>
          <w:szCs w:val="28"/>
          <w:rtl w:val="0"/>
        </w:rPr>
        <w:t>7</w:t>
      </w:r>
      <w:r>
        <w:rPr>
          <w:sz w:val="28"/>
          <w:szCs w:val="28"/>
          <w:rtl w:val="0"/>
          <w:lang w:val="ru-RU"/>
        </w:rPr>
        <w:t xml:space="preserve"> року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 xml:space="preserve">затверджено </w:t>
      </w:r>
      <w:r>
        <w:rPr>
          <w:b w:val="1"/>
          <w:bCs w:val="1"/>
          <w:sz w:val="28"/>
          <w:szCs w:val="28"/>
          <w:rtl w:val="0"/>
        </w:rPr>
        <w:t>10 049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місцевих бюджетів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або </w:t>
      </w:r>
      <w:r>
        <w:rPr>
          <w:b w:val="1"/>
          <w:bCs w:val="1"/>
          <w:sz w:val="28"/>
          <w:szCs w:val="28"/>
          <w:rtl w:val="0"/>
        </w:rPr>
        <w:t>99,5</w:t>
      </w:r>
      <w:r>
        <w:rPr>
          <w:b w:val="1"/>
          <w:bCs w:val="1"/>
          <w:sz w:val="28"/>
          <w:szCs w:val="28"/>
          <w:rtl w:val="0"/>
          <w:lang w:val="ru-RU"/>
        </w:rPr>
        <w:t>%</w:t>
      </w:r>
      <w:r>
        <w:rPr>
          <w:sz w:val="28"/>
          <w:szCs w:val="28"/>
          <w:rtl w:val="0"/>
          <w:lang w:val="ru-RU"/>
        </w:rPr>
        <w:t xml:space="preserve"> їх загальної кількості</w:t>
      </w:r>
      <w:r>
        <w:rPr>
          <w:sz w:val="28"/>
          <w:szCs w:val="28"/>
          <w:rtl w:val="0"/>
        </w:rPr>
        <w:t xml:space="preserve"> (10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101).</w:t>
      </w:r>
    </w:p>
    <w:p>
      <w:pPr>
        <w:pStyle w:val="Звичайний"/>
        <w:spacing w:before="120" w:after="120"/>
        <w:ind w:firstLine="539"/>
        <w:jc w:val="both"/>
      </w:pPr>
      <w:r>
        <w:rPr>
          <w:sz w:val="28"/>
          <w:szCs w:val="28"/>
          <w:rtl w:val="0"/>
        </w:rPr>
        <w:t>Затверджено усі місцеві бюджети у Закарпатській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Кіровоградській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Луганській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Львівській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Миколаївській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Сумській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Харківській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Чернівецькій областях та бюджет міста Києва</w:t>
      </w:r>
      <w:r>
        <w:rPr>
          <w:sz w:val="28"/>
          <w:szCs w:val="28"/>
          <w:rtl w:val="0"/>
        </w:rPr>
        <w:t>.</w:t>
      </w:r>
    </w:p>
    <w:p>
      <w:pPr>
        <w:pStyle w:val="Звичайний"/>
        <w:spacing w:before="120" w:after="120"/>
        <w:ind w:left="567" w:firstLine="0"/>
        <w:jc w:val="both"/>
      </w:pPr>
      <w:r>
        <w:rPr>
          <w:sz w:val="28"/>
          <w:szCs w:val="28"/>
          <w:rtl w:val="0"/>
        </w:rPr>
        <w:t xml:space="preserve">Залишаються незатвердженими </w:t>
      </w:r>
      <w:r>
        <w:rPr>
          <w:sz w:val="28"/>
          <w:szCs w:val="28"/>
          <w:rtl w:val="0"/>
        </w:rPr>
        <w:t xml:space="preserve">52 </w:t>
      </w:r>
      <w:r>
        <w:rPr>
          <w:sz w:val="28"/>
          <w:szCs w:val="28"/>
          <w:rtl w:val="0"/>
        </w:rPr>
        <w:t>місцевих бюджети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 тому числі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Звичайний"/>
        <w:numPr>
          <w:ilvl w:val="0"/>
          <w:numId w:val="2"/>
        </w:numPr>
        <w:bidi w:val="0"/>
        <w:spacing w:before="120" w:after="120"/>
        <w:ind w:right="0"/>
        <w:jc w:val="both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</w:rPr>
        <w:t xml:space="preserve">2 </w:t>
      </w:r>
      <w:r>
        <w:rPr>
          <w:sz w:val="28"/>
          <w:szCs w:val="28"/>
          <w:u w:val="single"/>
          <w:rtl w:val="0"/>
          <w:lang w:val="ru-RU"/>
        </w:rPr>
        <w:t>обласн</w:t>
      </w:r>
      <w:r>
        <w:rPr>
          <w:sz w:val="28"/>
          <w:szCs w:val="28"/>
          <w:u w:val="single"/>
          <w:rtl w:val="0"/>
        </w:rPr>
        <w:t>их</w:t>
      </w:r>
      <w:r>
        <w:rPr>
          <w:sz w:val="28"/>
          <w:szCs w:val="28"/>
          <w:rtl w:val="0"/>
        </w:rPr>
        <w:t xml:space="preserve"> (</w:t>
      </w:r>
      <w:r>
        <w:rPr>
          <w:sz w:val="28"/>
          <w:szCs w:val="28"/>
          <w:rtl w:val="0"/>
        </w:rPr>
        <w:t>Волинської та Запорізької областей</w:t>
      </w:r>
      <w:r>
        <w:rPr>
          <w:sz w:val="28"/>
          <w:szCs w:val="28"/>
          <w:rtl w:val="0"/>
        </w:rPr>
        <w:t>);</w:t>
      </w:r>
    </w:p>
    <w:p>
      <w:pPr>
        <w:pStyle w:val="Звичайний"/>
        <w:numPr>
          <w:ilvl w:val="0"/>
          <w:numId w:val="3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3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u w:val="single"/>
          <w:rtl w:val="0"/>
          <w:lang w:val="ru-RU"/>
        </w:rPr>
        <w:t>міськ</w:t>
      </w:r>
      <w:r>
        <w:rPr>
          <w:sz w:val="28"/>
          <w:szCs w:val="28"/>
          <w:u w:val="single"/>
          <w:rtl w:val="0"/>
        </w:rPr>
        <w:t>их</w:t>
      </w:r>
      <w:r>
        <w:rPr>
          <w:sz w:val="28"/>
          <w:szCs w:val="28"/>
          <w:u w:val="single"/>
          <w:rtl w:val="0"/>
          <w:lang w:val="ru-RU"/>
        </w:rPr>
        <w:t xml:space="preserve"> міст обласного значення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3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6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u w:val="single"/>
          <w:rtl w:val="0"/>
          <w:lang w:val="ru-RU"/>
        </w:rPr>
        <w:t>районних та  районних у містах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3"/>
        </w:numPr>
        <w:bidi w:val="0"/>
        <w:spacing w:before="120" w:after="120"/>
        <w:ind w:right="0"/>
        <w:jc w:val="both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18</w:t>
      </w:r>
      <w:r>
        <w:rPr>
          <w:sz w:val="28"/>
          <w:szCs w:val="28"/>
          <w:rtl w:val="0"/>
          <w:lang w:val="ru-RU"/>
        </w:rPr>
        <w:t xml:space="preserve"> об’єднаних територіальних громад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3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 xml:space="preserve">3 </w:t>
      </w:r>
      <w:r>
        <w:rPr>
          <w:sz w:val="28"/>
          <w:szCs w:val="28"/>
          <w:u w:val="single"/>
          <w:rtl w:val="0"/>
          <w:lang w:val="ru-RU"/>
        </w:rPr>
        <w:t>місь</w:t>
      </w:r>
      <w:r>
        <w:rPr>
          <w:sz w:val="28"/>
          <w:szCs w:val="28"/>
          <w:u w:val="single"/>
          <w:rtl w:val="0"/>
        </w:rPr>
        <w:t>ких</w:t>
      </w:r>
      <w:r>
        <w:rPr>
          <w:sz w:val="28"/>
          <w:szCs w:val="28"/>
          <w:u w:val="single"/>
          <w:rtl w:val="0"/>
          <w:lang w:val="ru-RU"/>
        </w:rPr>
        <w:t xml:space="preserve"> міст районного значення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3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4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u w:val="single"/>
          <w:rtl w:val="0"/>
          <w:lang w:val="ru-RU"/>
        </w:rPr>
        <w:t>селищних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3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16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u w:val="single"/>
          <w:rtl w:val="0"/>
        </w:rPr>
        <w:t>сільських</w:t>
      </w:r>
      <w:r>
        <w:rPr>
          <w:i w:val="1"/>
          <w:iCs w:val="1"/>
          <w:sz w:val="28"/>
          <w:szCs w:val="28"/>
          <w:rtl w:val="0"/>
        </w:rPr>
        <w:t>.</w:t>
      </w: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719" w:right="850" w:bottom="719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899" w:hanging="33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1607" w:hanging="3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315" w:hanging="3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3059"/>
        </w:tabs>
        <w:ind w:left="3250" w:hanging="52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779"/>
        </w:tabs>
        <w:ind w:left="3970" w:hanging="52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499"/>
        </w:tabs>
        <w:ind w:left="4690" w:hanging="52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219"/>
        </w:tabs>
        <w:ind w:left="5410" w:hanging="52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939"/>
        </w:tabs>
        <w:ind w:left="6130" w:hanging="52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659"/>
        </w:tabs>
        <w:ind w:left="6850" w:hanging="52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08"/>
          </w:tabs>
          <w:ind w:left="899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416"/>
          </w:tabs>
          <w:ind w:left="1607" w:hanging="3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2124"/>
          </w:tabs>
          <w:ind w:left="2315" w:hanging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2832"/>
          </w:tabs>
          <w:ind w:left="3023" w:hanging="3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o"/>
        <w:lvlJc w:val="left"/>
        <w:pPr>
          <w:ind w:left="3731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4248"/>
          </w:tabs>
          <w:ind w:left="4439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5219"/>
          </w:tabs>
          <w:ind w:left="5410" w:hanging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num" w:pos="5939"/>
          </w:tabs>
          <w:ind w:left="6130" w:hanging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num" w:pos="6659"/>
          </w:tabs>
          <w:ind w:left="6850" w:hanging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Звичайний">
    <w:name w:val="Звичайний"/>
    <w:next w:val="Звичайн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Імпортований стиль 1">
    <w:name w:val="Імпортований стиль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