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вичайний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Звичайний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Звичайний"/>
        <w:spacing w:before="120" w:after="12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Міністерство фінансів України в рамках наданих йому повноважень щороку здійснює моніторинг стану затвердження місцевих бюджетів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Звичайний"/>
        <w:spacing w:before="120" w:after="12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Відповідно до частини другої статті </w:t>
      </w:r>
      <w:r>
        <w:rPr>
          <w:rFonts w:ascii="Times New Roman" w:hAnsi="Times New Roman"/>
          <w:sz w:val="28"/>
          <w:szCs w:val="28"/>
          <w:rtl w:val="0"/>
        </w:rPr>
        <w:t xml:space="preserve">77 </w:t>
      </w:r>
      <w:r>
        <w:rPr>
          <w:rFonts w:ascii="Times New Roman" w:hAnsi="Times New Roman" w:hint="default"/>
          <w:kern w:val="24"/>
          <w:sz w:val="28"/>
          <w:szCs w:val="28"/>
          <w:rtl w:val="0"/>
        </w:rPr>
        <w:t xml:space="preserve">Бюджетного кодексу України граничний термін прийняття місцевих бюджетів на </w:t>
      </w:r>
      <w:r>
        <w:rPr>
          <w:rFonts w:ascii="Times New Roman" w:hAnsi="Times New Roman"/>
          <w:kern w:val="24"/>
          <w:sz w:val="28"/>
          <w:szCs w:val="28"/>
          <w:rtl w:val="0"/>
        </w:rPr>
        <w:t xml:space="preserve">2017 </w:t>
      </w:r>
      <w:r>
        <w:rPr>
          <w:rFonts w:ascii="Times New Roman" w:hAnsi="Times New Roman" w:hint="default"/>
          <w:kern w:val="24"/>
          <w:sz w:val="28"/>
          <w:szCs w:val="28"/>
          <w:rtl w:val="0"/>
        </w:rPr>
        <w:t xml:space="preserve">рік  – </w:t>
      </w:r>
      <w:r>
        <w:rPr>
          <w:rFonts w:ascii="Times New Roman" w:hAnsi="Times New Roman"/>
          <w:kern w:val="24"/>
          <w:sz w:val="28"/>
          <w:szCs w:val="28"/>
          <w:rtl w:val="0"/>
        </w:rPr>
        <w:t xml:space="preserve">25 </w:t>
      </w:r>
      <w:r>
        <w:rPr>
          <w:rFonts w:ascii="Times New Roman" w:hAnsi="Times New Roman" w:hint="default"/>
          <w:kern w:val="24"/>
          <w:sz w:val="28"/>
          <w:szCs w:val="28"/>
          <w:rtl w:val="0"/>
        </w:rPr>
        <w:t>грудня п</w:t>
      </w:r>
      <w:r>
        <w:rPr>
          <w:rFonts w:ascii="Times New Roman" w:hAnsi="Times New Roman"/>
          <w:kern w:val="24"/>
          <w:sz w:val="28"/>
          <w:szCs w:val="28"/>
          <w:rtl w:val="0"/>
        </w:rPr>
        <w:t>.</w:t>
      </w:r>
      <w:r>
        <w:rPr>
          <w:rFonts w:ascii="Times New Roman" w:hAnsi="Times New Roman" w:hint="default"/>
          <w:kern w:val="24"/>
          <w:sz w:val="28"/>
          <w:szCs w:val="28"/>
          <w:rtl w:val="0"/>
        </w:rPr>
        <w:t>р</w:t>
      </w:r>
      <w:r>
        <w:rPr>
          <w:rFonts w:ascii="Times New Roman" w:hAnsi="Times New Roman"/>
          <w:kern w:val="24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Звичайний"/>
        <w:spacing w:before="120" w:after="12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Своєчасно затверджено </w:t>
      </w:r>
      <w:r>
        <w:rPr>
          <w:rFonts w:ascii="Times New Roman" w:hAnsi="Times New Roman"/>
          <w:sz w:val="28"/>
          <w:szCs w:val="28"/>
          <w:rtl w:val="0"/>
        </w:rPr>
        <w:t>8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</w:rPr>
        <w:t xml:space="preserve">520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місцевих бюджетів усіх рівнів або </w:t>
      </w:r>
      <w:r>
        <w:rPr>
          <w:rFonts w:ascii="Times New Roman" w:hAnsi="Times New Roman"/>
          <w:sz w:val="28"/>
          <w:szCs w:val="28"/>
          <w:rtl w:val="0"/>
        </w:rPr>
        <w:t xml:space="preserve">84,3%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їх загальної кількості </w:t>
      </w:r>
      <w:r>
        <w:rPr>
          <w:rFonts w:ascii="Times New Roman" w:hAnsi="Times New Roman"/>
          <w:sz w:val="28"/>
          <w:szCs w:val="28"/>
          <w:rtl w:val="0"/>
        </w:rPr>
        <w:t>(10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 </w:t>
      </w:r>
      <w:r>
        <w:rPr>
          <w:rFonts w:ascii="Times New Roman" w:hAnsi="Times New Roman"/>
          <w:sz w:val="28"/>
          <w:szCs w:val="28"/>
          <w:rtl w:val="0"/>
        </w:rPr>
        <w:t xml:space="preserve">101), </w:t>
      </w:r>
      <w:r>
        <w:rPr>
          <w:rFonts w:ascii="Times New Roman" w:hAnsi="Times New Roman" w:hint="default"/>
          <w:sz w:val="28"/>
          <w:szCs w:val="28"/>
          <w:rtl w:val="0"/>
        </w:rPr>
        <w:t>у тому числі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Звичайний"/>
        <w:numPr>
          <w:ilvl w:val="0"/>
          <w:numId w:val="2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20 </w:t>
      </w:r>
      <w:r>
        <w:rPr>
          <w:rFonts w:ascii="Times New Roman" w:hAnsi="Times New Roman" w:hint="default"/>
          <w:sz w:val="28"/>
          <w:szCs w:val="28"/>
          <w:u w:val="single"/>
          <w:rtl w:val="0"/>
        </w:rPr>
        <w:t>обласних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бюджетів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(83,3 %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від кількості таких бюджетів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2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 бюджет міста Києва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31 </w:t>
      </w:r>
      <w:r>
        <w:rPr>
          <w:rFonts w:ascii="Times New Roman" w:hAnsi="Times New Roman" w:hint="default"/>
          <w:sz w:val="28"/>
          <w:szCs w:val="28"/>
          <w:u w:val="single"/>
          <w:rtl w:val="0"/>
        </w:rPr>
        <w:t xml:space="preserve">міських міст обласного значення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(88,5 %)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421 </w:t>
      </w:r>
      <w:r>
        <w:rPr>
          <w:rFonts w:ascii="Times New Roman" w:hAnsi="Times New Roman" w:hint="default"/>
          <w:sz w:val="28"/>
          <w:szCs w:val="28"/>
          <w:u w:val="single"/>
          <w:rtl w:val="0"/>
        </w:rPr>
        <w:t>районних та  районних у містах</w:t>
      </w:r>
      <w:r>
        <w:rPr>
          <w:rFonts w:ascii="Times New Roman" w:hAnsi="Times New Roman"/>
          <w:sz w:val="28"/>
          <w:szCs w:val="28"/>
          <w:rtl w:val="0"/>
        </w:rPr>
        <w:t xml:space="preserve"> 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(85,7 %)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192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u w:val="single"/>
          <w:rtl w:val="0"/>
        </w:rPr>
        <w:t>об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en-US"/>
        </w:rPr>
        <w:t>’</w:t>
      </w:r>
      <w:r>
        <w:rPr>
          <w:rFonts w:ascii="Times New Roman" w:hAnsi="Times New Roman" w:hint="default"/>
          <w:sz w:val="28"/>
          <w:szCs w:val="28"/>
          <w:u w:val="single"/>
          <w:rtl w:val="0"/>
        </w:rPr>
        <w:t>єднаних територіальних громад</w:t>
      </w:r>
      <w:r>
        <w:rPr>
          <w:rFonts w:ascii="Times New Roman" w:hAnsi="Times New Roman"/>
          <w:sz w:val="28"/>
          <w:szCs w:val="28"/>
          <w:rtl w:val="0"/>
        </w:rPr>
        <w:t xml:space="preserve"> (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52,5 %</w:t>
      </w:r>
      <w:r>
        <w:rPr>
          <w:rFonts w:ascii="Times New Roman" w:hAnsi="Times New Roman"/>
          <w:sz w:val="28"/>
          <w:szCs w:val="28"/>
          <w:rtl w:val="0"/>
        </w:rPr>
        <w:t>);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162 </w:t>
      </w:r>
      <w:r>
        <w:rPr>
          <w:rFonts w:ascii="Times New Roman" w:hAnsi="Times New Roman" w:hint="default"/>
          <w:sz w:val="28"/>
          <w:szCs w:val="28"/>
          <w:u w:val="single"/>
          <w:rtl w:val="0"/>
        </w:rPr>
        <w:t>міських міст районного значення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(83,1 %)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449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u w:val="single"/>
          <w:rtl w:val="0"/>
        </w:rPr>
        <w:t>селищних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(87,0 %)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7 144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u w:val="single"/>
          <w:rtl w:val="0"/>
        </w:rPr>
        <w:t>сільських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(85,5%).</w:t>
      </w:r>
    </w:p>
    <w:p>
      <w:pPr>
        <w:pStyle w:val="Звичайний"/>
        <w:spacing w:before="120" w:after="12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Найбільша кількість вчасно прийнятих бюджетів у Харківській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(99,8%),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Дніпропетровській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(99,1%),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Луганській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(99,0%),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Черкаській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(98,9%),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Кіровоградській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(98,8%),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Закарпатській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(98,6%),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Донецькій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(98,4%),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Чернівецькій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(97,5%),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Вінницькій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(96,8%),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Одеській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(96,2%)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областях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</w:p>
    <w:p>
      <w:pPr>
        <w:pStyle w:val="Звичайний"/>
        <w:spacing w:before="120" w:after="12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Із </w:t>
      </w:r>
      <w:r>
        <w:rPr>
          <w:rFonts w:ascii="Times New Roman" w:hAnsi="Times New Roman"/>
          <w:sz w:val="28"/>
          <w:szCs w:val="28"/>
          <w:rtl w:val="0"/>
        </w:rPr>
        <w:t xml:space="preserve">998 </w:t>
      </w:r>
      <w:r>
        <w:rPr>
          <w:rFonts w:ascii="Times New Roman" w:hAnsi="Times New Roman" w:hint="default"/>
          <w:sz w:val="28"/>
          <w:szCs w:val="28"/>
          <w:rtl w:val="0"/>
        </w:rPr>
        <w:t>місцевих бюджетів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мають взаємовідносини з державним бюджетом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 термін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визначений законодавством</w:t>
      </w:r>
      <w:r>
        <w:rPr>
          <w:rFonts w:ascii="Times New Roman" w:hAnsi="Times New Roman"/>
          <w:sz w:val="28"/>
          <w:szCs w:val="28"/>
          <w:rtl w:val="0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затверджено </w:t>
      </w:r>
      <w:r>
        <w:rPr>
          <w:rFonts w:ascii="Times New Roman" w:hAnsi="Times New Roman"/>
          <w:sz w:val="28"/>
          <w:szCs w:val="28"/>
          <w:rtl w:val="0"/>
        </w:rPr>
        <w:t xml:space="preserve">745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бюджетів або </w:t>
      </w:r>
      <w:r>
        <w:rPr>
          <w:rFonts w:ascii="Times New Roman" w:hAnsi="Times New Roman"/>
          <w:sz w:val="28"/>
          <w:szCs w:val="28"/>
          <w:rtl w:val="0"/>
        </w:rPr>
        <w:t xml:space="preserve">74,6% </w:t>
      </w:r>
      <w:r>
        <w:rPr>
          <w:rFonts w:ascii="Times New Roman" w:hAnsi="Times New Roman" w:hint="default"/>
          <w:sz w:val="28"/>
          <w:szCs w:val="28"/>
          <w:rtl w:val="0"/>
        </w:rPr>
        <w:t>їх загальної кількості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Зокрема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у Харківській області усі такі бюджеті прийнято своєчасно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Звичайний"/>
        <w:spacing w:before="120" w:after="12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Станом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на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грудня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2016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року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із загальної кількості місцевих бюджетів усіх рівнів залишаються незатвердженими – </w:t>
      </w:r>
      <w:r>
        <w:rPr>
          <w:rFonts w:ascii="Times New Roman" w:hAnsi="Times New Roman"/>
          <w:sz w:val="28"/>
          <w:szCs w:val="28"/>
          <w:rtl w:val="0"/>
        </w:rPr>
        <w:t xml:space="preserve">691 (6,8%), </w:t>
      </w:r>
      <w:r>
        <w:rPr>
          <w:rFonts w:ascii="Times New Roman" w:hAnsi="Times New Roman" w:hint="default"/>
          <w:sz w:val="28"/>
          <w:szCs w:val="28"/>
          <w:rtl w:val="0"/>
        </w:rPr>
        <w:t>у тому числі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3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обласних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Волинської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Запорізької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Херсонської областей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(12,5 %)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9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міських міст обласного значення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(6,1 %)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38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районних та  районних у містах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(7,7 %)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153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об’єднаних територіальних громад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(41,8 %)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18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міських міст районного значення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(9,2 %)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29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селищних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(5,6 %)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Звичайний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441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сільських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(5,3 %)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Звичайний"/>
        <w:spacing w:before="120" w:after="12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Серед місцевих бюджетів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мають взаємовідносини з державним бюджетом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 прийнято </w:t>
      </w:r>
      <w:r>
        <w:rPr>
          <w:rFonts w:ascii="Times New Roman" w:hAnsi="Times New Roman"/>
          <w:sz w:val="28"/>
          <w:szCs w:val="28"/>
          <w:rtl w:val="0"/>
        </w:rPr>
        <w:t xml:space="preserve">195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бюджетів або </w:t>
      </w:r>
      <w:r>
        <w:rPr>
          <w:rFonts w:ascii="Times New Roman" w:hAnsi="Times New Roman"/>
          <w:sz w:val="28"/>
          <w:szCs w:val="28"/>
          <w:rtl w:val="0"/>
        </w:rPr>
        <w:t xml:space="preserve">(19,5%), </w:t>
      </w:r>
      <w:r>
        <w:rPr>
          <w:rFonts w:ascii="Times New Roman" w:hAnsi="Times New Roman" w:hint="default"/>
          <w:sz w:val="28"/>
          <w:szCs w:val="28"/>
          <w:rtl w:val="0"/>
        </w:rPr>
        <w:t>з них найбільше бюджетів об’єднаних територіальних громад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у яких у грудні </w:t>
      </w:r>
      <w:r>
        <w:rPr>
          <w:rFonts w:ascii="Times New Roman" w:hAnsi="Times New Roman"/>
          <w:sz w:val="28"/>
          <w:szCs w:val="28"/>
          <w:rtl w:val="0"/>
        </w:rPr>
        <w:t xml:space="preserve">2016 </w:t>
      </w:r>
      <w:r>
        <w:rPr>
          <w:rFonts w:ascii="Times New Roman" w:hAnsi="Times New Roman" w:hint="default"/>
          <w:sz w:val="28"/>
          <w:szCs w:val="28"/>
          <w:rtl w:val="0"/>
        </w:rPr>
        <w:t>року відбулися перші місцеві вибори</w:t>
      </w:r>
      <w:r>
        <w:rPr>
          <w:rFonts w:ascii="Times New Roman" w:hAnsi="Times New Roman"/>
          <w:sz w:val="28"/>
          <w:szCs w:val="28"/>
          <w:rtl w:val="0"/>
        </w:rPr>
        <w:t xml:space="preserve">, (153 </w:t>
      </w:r>
      <w:r>
        <w:rPr>
          <w:rFonts w:ascii="Times New Roman" w:hAnsi="Times New Roman" w:hint="default"/>
          <w:sz w:val="28"/>
          <w:szCs w:val="28"/>
          <w:rtl w:val="0"/>
        </w:rPr>
        <w:t>таких бюджетів</w:t>
      </w:r>
      <w:r>
        <w:rPr>
          <w:rFonts w:ascii="Times New Roman" w:hAnsi="Times New Roman"/>
          <w:sz w:val="28"/>
          <w:szCs w:val="28"/>
          <w:rtl w:val="0"/>
        </w:rPr>
        <w:t>.)</w:t>
      </w:r>
    </w:p>
    <w:p>
      <w:pPr>
        <w:pStyle w:val="Звичайний"/>
        <w:spacing w:before="120" w:after="120" w:line="240" w:lineRule="auto"/>
        <w:ind w:firstLine="709"/>
        <w:jc w:val="both"/>
      </w:pPr>
      <w:r>
        <w:rPr>
          <w:rFonts w:ascii="Times New Roman" w:hAnsi="Times New Roman" w:hint="default"/>
          <w:sz w:val="28"/>
          <w:szCs w:val="28"/>
          <w:rtl w:val="0"/>
        </w:rPr>
        <w:t>Водночас слід зазначити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що усі такі бюджети прийняті у </w:t>
      </w:r>
      <w:r>
        <w:rPr>
          <w:rFonts w:ascii="Times New Roman" w:hAnsi="Times New Roman"/>
          <w:sz w:val="28"/>
          <w:szCs w:val="28"/>
          <w:rtl w:val="0"/>
        </w:rPr>
        <w:t>3-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х областях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Дніпропетровській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Луганській та Харківській областях</w:t>
      </w:r>
      <w:r>
        <w:rPr>
          <w:rFonts w:ascii="Times New Roman" w:hAnsi="Times New Roman"/>
          <w:sz w:val="28"/>
          <w:szCs w:val="28"/>
          <w:rtl w:val="0"/>
        </w:rPr>
        <w:t>).</w:t>
      </w:r>
    </w:p>
    <w:sectPr>
      <w:headerReference w:type="default" r:id="rId4"/>
      <w:footerReference w:type="default" r:id="rId5"/>
      <w:pgSz w:w="11900" w:h="16840" w:orient="portrait"/>
      <w:pgMar w:top="851" w:right="851" w:bottom="851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1"/>
  </w:abstractNum>
  <w:abstractNum w:abstractNumId="1">
    <w:multiLevelType w:val="hybridMultilevel"/>
    <w:styleLink w:val="Імпортований стиль 1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899" w:hanging="3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1607" w:hanging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315" w:hanging="3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059"/>
        </w:tabs>
        <w:ind w:left="325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779"/>
        </w:tabs>
        <w:ind w:left="397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499"/>
        </w:tabs>
        <w:ind w:left="469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219"/>
        </w:tabs>
        <w:ind w:left="541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939"/>
        </w:tabs>
        <w:ind w:left="613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659"/>
        </w:tabs>
        <w:ind w:left="6850" w:hanging="52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08"/>
          </w:tabs>
          <w:ind w:left="899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6"/>
          </w:tabs>
          <w:ind w:left="1607" w:hanging="3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24"/>
          </w:tabs>
          <w:ind w:left="2315" w:hanging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32"/>
          </w:tabs>
          <w:ind w:left="3023" w:hanging="3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o"/>
        <w:lvlJc w:val="left"/>
        <w:pPr>
          <w:ind w:left="3731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48"/>
          </w:tabs>
          <w:ind w:left="4439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219"/>
          </w:tabs>
          <w:ind w:left="5410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939"/>
          </w:tabs>
          <w:ind w:left="6130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659"/>
          </w:tabs>
          <w:ind w:left="6850" w:hanging="5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Імпортований стиль 1">
    <w:name w:val="Імпортований стиль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