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EB" w:rsidRDefault="00FA480C" w:rsidP="001D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ВИМОГИ</w:t>
      </w:r>
    </w:p>
    <w:p w:rsidR="00FA480C" w:rsidRDefault="00FA480C" w:rsidP="001D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ДО ІНСТИТУТІВ ГРОМАДЯНСЬКОГО СУСПІЛЬСТВА ТА КАНДИДАТІВ, ЯКИХ ВОНИ ДЕЛЕГУЮТЬ ДО СКЛАДУ ГРОМАДСЬКО</w:t>
      </w:r>
      <w:r w:rsidR="001D73E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Ї РАДИ ПРИ МІНІСТЕРСТВІ ФІНАНСІВ УКРАЇНИ</w:t>
      </w:r>
    </w:p>
    <w:p w:rsidR="001D73EB" w:rsidRPr="001D73EB" w:rsidRDefault="001D73EB" w:rsidP="001D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норм Типового положення </w:t>
      </w:r>
      <w:r w:rsidR="00FD1A2D"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затверджене постановою Кабінету Міністрів України від 03 листопада 2010 року № 996 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громадської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– інститути громадянського суспільства), які зареєстровані в установленому порядку.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громадської ради можуть бути обрані представники інститутів громадянського суспільства, які </w:t>
      </w:r>
      <w:r w:rsidRPr="001D73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менше шести місяців до дати оприлюднення</w:t>
      </w:r>
      <w:r w:rsid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Міністерством фінансів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повідомлення про формування складу громадської ради провадять свою діяльність, реалізують свої проекти у сфері, пов’язаній з діяльністю відповідного органу виконавчої влади, що підтверджується інформацією про результати діяльності інституту громадянського суспільства, та в статуті (положенні) яких визначені відповідні цілі і завдання діяльності.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провадженням інститутом громадянського суспільства діяльності у сфері, що пов’язана з діяльністю Міністерства</w:t>
      </w:r>
      <w:r w:rsid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розуміється проведення інститутом громадянського суспільства заходів, досліджень, надання послуг, реалізація проектів тощо з питань, пов’язаних з визначеною законодавством сферою діяльності органу виконавчої влади.</w:t>
      </w:r>
    </w:p>
    <w:p w:rsidR="00FA480C" w:rsidRDefault="00570E74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5" w:tgtFrame="_blank" w:history="1"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>Сфери</w:t>
        </w:r>
      </w:hyperlink>
      <w:hyperlink r:id="rId6" w:tgtFrame="_blank" w:history="1"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 діяльності </w:t>
        </w:r>
        <w:r w:rsidR="00B504C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та завдання Міністерства фінансів </w:t>
        </w:r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 визначені Поло</w:t>
        </w:r>
        <w:r w:rsidR="001D73EB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женням  про Міністерство фінансів </w:t>
        </w:r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 України, затвердженим постановою К</w:t>
        </w:r>
        <w:r w:rsidR="001D73EB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абінету Міністрів України від 20 </w:t>
        </w:r>
        <w:r w:rsidR="00FA480C" w:rsidRP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 xml:space="preserve"> липня 2014 року № </w:t>
        </w:r>
        <w:r w:rsidR="001D73EB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uk-UA"/>
          </w:rPr>
          <w:t>375</w:t>
        </w:r>
      </w:hyperlink>
      <w:r w:rsidR="00FA480C" w:rsidRPr="001D7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громадської ради можуть бути обрані представники інститутів громадянського суспільства, які є фахівцями у відповідних сферах, що підтверджується наявністю відповідної освіти, наукового ступеня, публікацій, досліджень, а також інформацією про участь у реалізації проектів </w:t>
      </w:r>
      <w:r w:rsidRPr="00570E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менш як за 12 місяців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дати оп</w:t>
      </w:r>
      <w:r w:rsid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рилюднення Міністерством фінансів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повідомлення про формування складу громадської ради.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для участі в установчих зборах делегує </w:t>
      </w:r>
      <w:r w:rsidRPr="00FD1A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одного представника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одночасно є кандидатом на обрання до складу громадської ради.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Пов’язані інститути громадянського суспільства (два і більше інститути громадянського суспільства мають одного і того ж керівника чи спільних членів 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керівних органів тощо) не можуть делегувати своїх представників до складу однієї громадської ради.</w:t>
      </w:r>
    </w:p>
    <w:p w:rsidR="00FA480C" w:rsidRPr="001D73EB" w:rsidRDefault="00FA480C" w:rsidP="00FD1A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громадської ради </w:t>
      </w:r>
      <w:r w:rsidRPr="00FD1A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не можуть бути</w:t>
      </w:r>
      <w:r w:rsidRPr="001D73EB">
        <w:rPr>
          <w:rFonts w:ascii="Times New Roman" w:eastAsia="Times New Roman" w:hAnsi="Times New Roman" w:cs="Times New Roman"/>
          <w:sz w:val="28"/>
          <w:szCs w:val="28"/>
          <w:lang w:eastAsia="uk-UA"/>
        </w:rPr>
        <w:t> 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FA480C" w:rsidRPr="00FA480C" w:rsidRDefault="00FA480C" w:rsidP="00FA480C">
      <w:pPr>
        <w:spacing w:after="375" w:line="375" w:lineRule="atLeast"/>
        <w:rPr>
          <w:rFonts w:ascii="Arial" w:eastAsia="Times New Roman" w:hAnsi="Arial" w:cs="Arial"/>
          <w:b/>
          <w:bCs/>
          <w:color w:val="FFFFFF"/>
          <w:sz w:val="18"/>
          <w:szCs w:val="18"/>
          <w:lang w:eastAsia="uk-UA"/>
        </w:rPr>
      </w:pPr>
      <w:r w:rsidRPr="00FA480C">
        <w:rPr>
          <w:rFonts w:ascii="Arial" w:eastAsia="Times New Roman" w:hAnsi="Arial" w:cs="Arial"/>
          <w:b/>
          <w:bCs/>
          <w:color w:val="FFFFFF"/>
          <w:sz w:val="18"/>
          <w:szCs w:val="18"/>
          <w:lang w:eastAsia="uk-UA"/>
        </w:rPr>
        <w:t>© Міністерство юстиції України</w:t>
      </w:r>
    </w:p>
    <w:p w:rsidR="001D73EB" w:rsidRDefault="001D73EB">
      <w:bookmarkStart w:id="0" w:name="_GoBack"/>
      <w:bookmarkEnd w:id="0"/>
    </w:p>
    <w:sectPr w:rsidR="001D7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7BA0"/>
    <w:multiLevelType w:val="multilevel"/>
    <w:tmpl w:val="F6F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C"/>
    <w:rsid w:val="00196280"/>
    <w:rsid w:val="001D73EB"/>
    <w:rsid w:val="00570E74"/>
    <w:rsid w:val="007626E9"/>
    <w:rsid w:val="00B504C7"/>
    <w:rsid w:val="00FA480C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4AC8"/>
  <w15:chartTrackingRefBased/>
  <w15:docId w15:val="{3A3BF019-4634-4BE6-9BBF-DB111A5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504C7"/>
    <w:rPr>
      <w:color w:val="0000FF"/>
      <w:u w:val="single"/>
    </w:rPr>
  </w:style>
  <w:style w:type="character" w:styleId="a5">
    <w:name w:val="Emphasis"/>
    <w:basedOn w:val="a0"/>
    <w:uiPriority w:val="20"/>
    <w:qFormat/>
    <w:rsid w:val="00B504C7"/>
    <w:rPr>
      <w:i/>
      <w:iCs/>
    </w:rPr>
  </w:style>
  <w:style w:type="character" w:styleId="a6">
    <w:name w:val="Strong"/>
    <w:basedOn w:val="a0"/>
    <w:uiPriority w:val="22"/>
    <w:qFormat/>
    <w:rsid w:val="00B5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15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234">
              <w:marLeft w:val="0"/>
              <w:marRight w:val="0"/>
              <w:marTop w:val="16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0689">
              <w:marLeft w:val="0"/>
              <w:marRight w:val="0"/>
              <w:marTop w:val="525"/>
              <w:marBottom w:val="0"/>
              <w:divBdr>
                <w:top w:val="dotted" w:sz="6" w:space="0" w:color="FFC000"/>
                <w:left w:val="dotted" w:sz="6" w:space="0" w:color="FFC000"/>
                <w:bottom w:val="dotted" w:sz="6" w:space="0" w:color="FFC000"/>
                <w:right w:val="dotted" w:sz="6" w:space="0" w:color="FFC000"/>
              </w:divBdr>
            </w:div>
            <w:div w:id="235097213">
              <w:marLeft w:val="0"/>
              <w:marRight w:val="0"/>
              <w:marTop w:val="540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8-2014-%D0%BF" TargetMode="External"/><Relationship Id="rId5" Type="http://schemas.openxmlformats.org/officeDocument/2006/relationships/hyperlink" Target="https://zakon.rada.gov.ua/laws/show/228-2014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44A9F0B3</Template>
  <TotalTime>17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Цуз Людмила-Віолетта Петрівна</dc:creator>
  <cp:keywords/>
  <dc:description/>
  <cp:lastModifiedBy>Цуз Людмила-Віолетта Петрівна</cp:lastModifiedBy>
  <cp:revision>4</cp:revision>
  <dcterms:created xsi:type="dcterms:W3CDTF">2019-09-05T09:16:00Z</dcterms:created>
  <dcterms:modified xsi:type="dcterms:W3CDTF">2019-09-11T07:27:00Z</dcterms:modified>
</cp:coreProperties>
</file>