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84F" w:rsidRDefault="00C8184F" w:rsidP="00D85C89">
      <w:pPr>
        <w:spacing w:after="0" w:line="240" w:lineRule="auto"/>
        <w:ind w:left="142"/>
        <w:jc w:val="center"/>
        <w:rPr>
          <w:rFonts w:ascii="Times New Roman" w:hAnsi="Times New Roman" w:cs="Times New Roman"/>
          <w:b/>
          <w:sz w:val="24"/>
          <w:szCs w:val="24"/>
        </w:rPr>
      </w:pPr>
    </w:p>
    <w:p w:rsidR="00D85C89" w:rsidRDefault="00B04F40" w:rsidP="00D85C89">
      <w:pPr>
        <w:spacing w:after="0" w:line="240" w:lineRule="auto"/>
        <w:ind w:left="142"/>
        <w:jc w:val="center"/>
        <w:rPr>
          <w:rFonts w:ascii="Times New Roman" w:hAnsi="Times New Roman" w:cs="Times New Roman"/>
          <w:b/>
          <w:sz w:val="24"/>
          <w:szCs w:val="24"/>
        </w:rPr>
      </w:pPr>
      <w:r w:rsidRPr="00D85C89">
        <w:rPr>
          <w:rFonts w:ascii="Times New Roman" w:hAnsi="Times New Roman" w:cs="Times New Roman"/>
          <w:b/>
          <w:sz w:val="24"/>
          <w:szCs w:val="24"/>
        </w:rPr>
        <w:t>ІНФОРМАЦІЯ</w:t>
      </w:r>
    </w:p>
    <w:p w:rsidR="00B04F40" w:rsidRPr="00741454" w:rsidRDefault="00B04F40" w:rsidP="00D85C89">
      <w:pPr>
        <w:spacing w:after="0" w:line="240" w:lineRule="auto"/>
        <w:ind w:left="142"/>
        <w:jc w:val="center"/>
        <w:rPr>
          <w:rFonts w:ascii="Times New Roman" w:hAnsi="Times New Roman" w:cs="Times New Roman"/>
          <w:b/>
          <w:sz w:val="24"/>
          <w:szCs w:val="24"/>
        </w:rPr>
      </w:pPr>
      <w:r w:rsidRPr="00741454">
        <w:rPr>
          <w:rFonts w:ascii="Times New Roman" w:hAnsi="Times New Roman" w:cs="Times New Roman"/>
          <w:b/>
          <w:sz w:val="24"/>
          <w:szCs w:val="24"/>
        </w:rPr>
        <w:t xml:space="preserve"> </w:t>
      </w:r>
      <w:r w:rsidR="00741454" w:rsidRPr="00741454">
        <w:rPr>
          <w:rFonts w:ascii="Times New Roman" w:hAnsi="Times New Roman" w:cs="Times New Roman"/>
          <w:b/>
          <w:sz w:val="24"/>
          <w:szCs w:val="24"/>
        </w:rPr>
        <w:t>про досягнення головним розпорядником коштів державного бюджету цілей державної політики у сферах діяльності, формування та/або реалізацію якої він забезпечує, за результатами 201</w:t>
      </w:r>
      <w:r w:rsidR="00C570BB">
        <w:rPr>
          <w:rFonts w:ascii="Times New Roman" w:hAnsi="Times New Roman" w:cs="Times New Roman"/>
          <w:b/>
          <w:sz w:val="24"/>
          <w:szCs w:val="24"/>
        </w:rPr>
        <w:t>9</w:t>
      </w:r>
      <w:r w:rsidR="00741454" w:rsidRPr="00741454">
        <w:rPr>
          <w:rFonts w:ascii="Times New Roman" w:hAnsi="Times New Roman" w:cs="Times New Roman"/>
          <w:b/>
          <w:sz w:val="24"/>
          <w:szCs w:val="24"/>
        </w:rPr>
        <w:t xml:space="preserve"> року</w:t>
      </w:r>
    </w:p>
    <w:p w:rsidR="00241B1A" w:rsidRDefault="00241B1A" w:rsidP="00D85C89">
      <w:pPr>
        <w:spacing w:after="0" w:line="240" w:lineRule="auto"/>
        <w:ind w:left="142"/>
        <w:jc w:val="center"/>
        <w:rPr>
          <w:rFonts w:ascii="Times New Roman" w:hAnsi="Times New Roman" w:cs="Times New Roman"/>
          <w:b/>
          <w:sz w:val="24"/>
          <w:szCs w:val="24"/>
        </w:rPr>
      </w:pPr>
    </w:p>
    <w:p w:rsidR="00241B1A" w:rsidRPr="00D85C89" w:rsidRDefault="00241B1A" w:rsidP="00D85C89">
      <w:pPr>
        <w:spacing w:after="0" w:line="240" w:lineRule="auto"/>
        <w:ind w:left="142"/>
        <w:jc w:val="center"/>
        <w:rPr>
          <w:rFonts w:ascii="Times New Roman" w:hAnsi="Times New Roman" w:cs="Times New Roman"/>
          <w:b/>
          <w:sz w:val="24"/>
          <w:szCs w:val="24"/>
        </w:rPr>
      </w:pPr>
    </w:p>
    <w:p w:rsidR="00B04F40" w:rsidRPr="00C93522" w:rsidRDefault="00B04F40" w:rsidP="00D85C89">
      <w:pPr>
        <w:pStyle w:val="1"/>
        <w:spacing w:before="240"/>
        <w:ind w:left="142"/>
        <w:rPr>
          <w:b/>
          <w:sz w:val="24"/>
          <w:szCs w:val="24"/>
          <w:lang w:val="uk-UA"/>
        </w:rPr>
      </w:pPr>
      <w:r w:rsidRPr="00D85C89">
        <w:rPr>
          <w:b/>
          <w:sz w:val="24"/>
          <w:szCs w:val="24"/>
          <w:lang w:val="uk-UA"/>
        </w:rPr>
        <w:t xml:space="preserve">1. </w:t>
      </w:r>
      <w:r w:rsidR="00C93522">
        <w:rPr>
          <w:b/>
          <w:sz w:val="24"/>
          <w:szCs w:val="24"/>
          <w:lang w:val="uk-UA"/>
        </w:rPr>
        <w:t xml:space="preserve">   </w:t>
      </w:r>
      <w:r w:rsidR="00C93522" w:rsidRPr="002B03DD">
        <w:rPr>
          <w:sz w:val="28"/>
          <w:szCs w:val="28"/>
          <w:u w:val="single"/>
          <w:lang w:val="uk-UA"/>
        </w:rPr>
        <w:t>350</w:t>
      </w:r>
      <w:r w:rsidR="00B66CF7" w:rsidRPr="002B03DD">
        <w:rPr>
          <w:sz w:val="28"/>
          <w:szCs w:val="28"/>
          <w:u w:val="single"/>
          <w:lang w:val="uk-UA"/>
        </w:rPr>
        <w:t xml:space="preserve"> </w:t>
      </w:r>
      <w:r w:rsidR="00B66CF7" w:rsidRPr="002B03DD">
        <w:rPr>
          <w:sz w:val="28"/>
          <w:szCs w:val="28"/>
          <w:lang w:val="uk-UA"/>
        </w:rPr>
        <w:t xml:space="preserve"> </w:t>
      </w:r>
      <w:r w:rsidR="00C93522" w:rsidRPr="002B03DD">
        <w:rPr>
          <w:sz w:val="28"/>
          <w:szCs w:val="28"/>
          <w:lang w:val="uk-UA"/>
        </w:rPr>
        <w:t xml:space="preserve">                     ___________</w:t>
      </w:r>
      <w:r w:rsidR="00C93522" w:rsidRPr="002B03DD">
        <w:rPr>
          <w:sz w:val="28"/>
          <w:szCs w:val="28"/>
          <w:u w:val="single"/>
          <w:lang w:val="uk-UA"/>
        </w:rPr>
        <w:t>Міністерство фінансів України</w:t>
      </w:r>
      <w:r w:rsidR="00C93522" w:rsidRPr="002B03DD">
        <w:rPr>
          <w:b/>
          <w:sz w:val="28"/>
          <w:szCs w:val="28"/>
          <w:lang w:val="uk-UA"/>
        </w:rPr>
        <w:t>_</w:t>
      </w:r>
      <w:r w:rsidR="00C93522" w:rsidRPr="002B03DD">
        <w:rPr>
          <w:b/>
          <w:sz w:val="28"/>
          <w:szCs w:val="28"/>
          <w:u w:val="single"/>
          <w:lang w:val="uk-UA"/>
        </w:rPr>
        <w:softHyphen/>
      </w:r>
      <w:r w:rsidR="00C93522" w:rsidRPr="002B03DD">
        <w:rPr>
          <w:b/>
          <w:sz w:val="28"/>
          <w:szCs w:val="28"/>
          <w:u w:val="single"/>
          <w:lang w:val="uk-UA"/>
        </w:rPr>
        <w:softHyphen/>
      </w:r>
      <w:r w:rsidR="00C93522" w:rsidRPr="002B03DD">
        <w:rPr>
          <w:b/>
          <w:sz w:val="28"/>
          <w:szCs w:val="28"/>
          <w:u w:val="single"/>
          <w:lang w:val="uk-UA"/>
        </w:rPr>
        <w:softHyphen/>
      </w:r>
      <w:r w:rsidR="00C93522" w:rsidRPr="002B03DD">
        <w:rPr>
          <w:b/>
          <w:sz w:val="28"/>
          <w:szCs w:val="28"/>
          <w:u w:val="single"/>
          <w:lang w:val="uk-UA"/>
        </w:rPr>
        <w:softHyphen/>
      </w:r>
      <w:r w:rsidR="00C93522" w:rsidRPr="002B03DD">
        <w:rPr>
          <w:b/>
          <w:sz w:val="28"/>
          <w:szCs w:val="28"/>
          <w:u w:val="single"/>
          <w:lang w:val="uk-UA"/>
        </w:rPr>
        <w:softHyphen/>
      </w:r>
      <w:r w:rsidR="00C93522" w:rsidRPr="002B03DD">
        <w:rPr>
          <w:b/>
          <w:sz w:val="28"/>
          <w:szCs w:val="28"/>
          <w:u w:val="single"/>
          <w:lang w:val="uk-UA"/>
        </w:rPr>
        <w:softHyphen/>
      </w:r>
      <w:r w:rsidR="00C93522" w:rsidRPr="002B03DD">
        <w:rPr>
          <w:b/>
          <w:sz w:val="28"/>
          <w:szCs w:val="28"/>
          <w:u w:val="single"/>
          <w:lang w:val="uk-UA"/>
        </w:rPr>
        <w:softHyphen/>
      </w:r>
      <w:r w:rsidR="00C93522" w:rsidRPr="002B03DD">
        <w:rPr>
          <w:b/>
          <w:sz w:val="28"/>
          <w:szCs w:val="28"/>
          <w:u w:val="single"/>
          <w:lang w:val="uk-UA"/>
        </w:rPr>
        <w:softHyphen/>
      </w:r>
      <w:r w:rsidR="00C93522" w:rsidRPr="002B03DD">
        <w:rPr>
          <w:b/>
          <w:sz w:val="28"/>
          <w:szCs w:val="28"/>
          <w:lang w:val="uk-UA"/>
        </w:rPr>
        <w:t>___________</w:t>
      </w:r>
    </w:p>
    <w:p w:rsidR="00B04F40" w:rsidRDefault="00B04F40" w:rsidP="00D85C89">
      <w:pPr>
        <w:ind w:left="142"/>
        <w:outlineLvl w:val="0"/>
        <w:rPr>
          <w:rFonts w:ascii="Times New Roman" w:hAnsi="Times New Roman" w:cs="Times New Roman"/>
          <w:sz w:val="24"/>
          <w:szCs w:val="24"/>
        </w:rPr>
      </w:pPr>
      <w:r w:rsidRPr="00D85C89">
        <w:rPr>
          <w:rFonts w:ascii="Times New Roman" w:hAnsi="Times New Roman" w:cs="Times New Roman"/>
          <w:sz w:val="24"/>
          <w:szCs w:val="24"/>
        </w:rPr>
        <w:t xml:space="preserve">    </w:t>
      </w:r>
      <w:r w:rsidR="00B66CF7">
        <w:rPr>
          <w:rFonts w:ascii="Times New Roman" w:hAnsi="Times New Roman" w:cs="Times New Roman"/>
          <w:sz w:val="24"/>
          <w:szCs w:val="24"/>
        </w:rPr>
        <w:t xml:space="preserve"> </w:t>
      </w:r>
      <w:r w:rsidR="00B66CF7" w:rsidRPr="00D85C89">
        <w:rPr>
          <w:rFonts w:ascii="Times New Roman" w:hAnsi="Times New Roman" w:cs="Times New Roman"/>
          <w:sz w:val="24"/>
          <w:szCs w:val="24"/>
        </w:rPr>
        <w:t xml:space="preserve">(КВК) </w:t>
      </w:r>
      <w:r w:rsidRPr="00D85C89">
        <w:rPr>
          <w:rFonts w:ascii="Times New Roman" w:hAnsi="Times New Roman" w:cs="Times New Roman"/>
          <w:sz w:val="24"/>
          <w:szCs w:val="24"/>
        </w:rPr>
        <w:t xml:space="preserve">                      (найменування головного розпорядника коштів державного бюджету)          </w:t>
      </w:r>
    </w:p>
    <w:p w:rsidR="00241B1A" w:rsidRDefault="00241B1A" w:rsidP="00D85C89">
      <w:pPr>
        <w:ind w:left="142"/>
        <w:outlineLvl w:val="0"/>
        <w:rPr>
          <w:rFonts w:ascii="Times New Roman" w:hAnsi="Times New Roman" w:cs="Times New Roman"/>
          <w:sz w:val="24"/>
          <w:szCs w:val="24"/>
        </w:rPr>
      </w:pPr>
    </w:p>
    <w:p w:rsidR="00B04F40" w:rsidRDefault="00B04F40" w:rsidP="00D85C89">
      <w:pPr>
        <w:pStyle w:val="3"/>
        <w:spacing w:after="0" w:line="240" w:lineRule="auto"/>
        <w:ind w:left="142"/>
        <w:jc w:val="both"/>
        <w:rPr>
          <w:rFonts w:ascii="Times New Roman" w:hAnsi="Times New Roman" w:cs="Times New Roman"/>
          <w:b/>
          <w:sz w:val="24"/>
          <w:szCs w:val="24"/>
        </w:rPr>
      </w:pPr>
      <w:r w:rsidRPr="00D85C89">
        <w:rPr>
          <w:rFonts w:ascii="Times New Roman" w:hAnsi="Times New Roman" w:cs="Times New Roman"/>
          <w:b/>
          <w:sz w:val="24"/>
          <w:szCs w:val="24"/>
        </w:rPr>
        <w:t xml:space="preserve">2. Показники, що характеризують </w:t>
      </w:r>
      <w:r w:rsidR="001A68FB">
        <w:rPr>
          <w:rFonts w:ascii="Times New Roman" w:hAnsi="Times New Roman" w:cs="Times New Roman"/>
          <w:b/>
          <w:sz w:val="24"/>
          <w:szCs w:val="24"/>
        </w:rPr>
        <w:t>обсяг</w:t>
      </w:r>
      <w:r w:rsidR="00145677">
        <w:rPr>
          <w:rFonts w:ascii="Times New Roman" w:hAnsi="Times New Roman" w:cs="Times New Roman"/>
          <w:b/>
          <w:sz w:val="24"/>
          <w:szCs w:val="24"/>
        </w:rPr>
        <w:t xml:space="preserve"> </w:t>
      </w:r>
      <w:r w:rsidRPr="00D85C89">
        <w:rPr>
          <w:rFonts w:ascii="Times New Roman" w:hAnsi="Times New Roman" w:cs="Times New Roman"/>
          <w:b/>
          <w:sz w:val="24"/>
          <w:szCs w:val="24"/>
        </w:rPr>
        <w:t>використання бюджетних коштів у 201</w:t>
      </w:r>
      <w:r w:rsidR="00BC25CD">
        <w:rPr>
          <w:rFonts w:ascii="Times New Roman" w:hAnsi="Times New Roman" w:cs="Times New Roman"/>
          <w:b/>
          <w:sz w:val="24"/>
          <w:szCs w:val="24"/>
        </w:rPr>
        <w:t>7</w:t>
      </w:r>
      <w:r w:rsidRPr="00D85C89">
        <w:rPr>
          <w:rFonts w:ascii="Times New Roman" w:hAnsi="Times New Roman" w:cs="Times New Roman"/>
          <w:b/>
          <w:sz w:val="24"/>
          <w:szCs w:val="24"/>
        </w:rPr>
        <w:t>-201</w:t>
      </w:r>
      <w:r w:rsidR="00BC25CD">
        <w:rPr>
          <w:rFonts w:ascii="Times New Roman" w:hAnsi="Times New Roman" w:cs="Times New Roman"/>
          <w:b/>
          <w:sz w:val="24"/>
          <w:szCs w:val="24"/>
        </w:rPr>
        <w:t>9</w:t>
      </w:r>
      <w:r w:rsidRPr="00D85C89">
        <w:rPr>
          <w:rFonts w:ascii="Times New Roman" w:hAnsi="Times New Roman" w:cs="Times New Roman"/>
          <w:b/>
          <w:sz w:val="24"/>
          <w:szCs w:val="24"/>
        </w:rPr>
        <w:t xml:space="preserve"> роках </w:t>
      </w:r>
    </w:p>
    <w:p w:rsidR="00241B1A" w:rsidRPr="00D85C89" w:rsidRDefault="00241B1A" w:rsidP="00D85C89">
      <w:pPr>
        <w:pStyle w:val="3"/>
        <w:spacing w:after="0" w:line="240" w:lineRule="auto"/>
        <w:ind w:left="142"/>
        <w:jc w:val="both"/>
        <w:rPr>
          <w:rFonts w:ascii="Times New Roman" w:hAnsi="Times New Roman" w:cs="Times New Roman"/>
          <w:b/>
          <w:sz w:val="24"/>
          <w:szCs w:val="24"/>
        </w:rPr>
      </w:pPr>
    </w:p>
    <w:p w:rsidR="00B04F40" w:rsidRPr="00D85C89" w:rsidRDefault="003474C3" w:rsidP="003474C3">
      <w:pPr>
        <w:pStyle w:val="3"/>
        <w:tabs>
          <w:tab w:val="left" w:pos="13608"/>
          <w:tab w:val="left" w:pos="14459"/>
        </w:tabs>
        <w:spacing w:after="0" w:line="240" w:lineRule="auto"/>
        <w:ind w:right="677"/>
        <w:jc w:val="right"/>
        <w:rPr>
          <w:rFonts w:ascii="Times New Roman" w:hAnsi="Times New Roman" w:cs="Times New Roman"/>
          <w:sz w:val="24"/>
          <w:szCs w:val="24"/>
          <w:u w:val="single"/>
        </w:rPr>
      </w:pPr>
      <w:r w:rsidRPr="00C93522">
        <w:rPr>
          <w:rFonts w:ascii="Times New Roman" w:hAnsi="Times New Roman" w:cs="Times New Roman"/>
          <w:sz w:val="24"/>
          <w:szCs w:val="24"/>
          <w:lang w:val="ru-RU"/>
        </w:rPr>
        <w:t xml:space="preserve">    </w:t>
      </w:r>
      <w:r w:rsidR="00B04F40" w:rsidRPr="00D85C89">
        <w:rPr>
          <w:rFonts w:ascii="Times New Roman" w:hAnsi="Times New Roman" w:cs="Times New Roman"/>
          <w:sz w:val="24"/>
          <w:szCs w:val="24"/>
        </w:rPr>
        <w:t>тис.</w:t>
      </w:r>
      <w:r>
        <w:rPr>
          <w:rFonts w:ascii="Times New Roman" w:hAnsi="Times New Roman" w:cs="Times New Roman"/>
          <w:sz w:val="24"/>
          <w:szCs w:val="24"/>
          <w:lang w:val="en-US"/>
        </w:rPr>
        <w:t xml:space="preserve"> </w:t>
      </w:r>
      <w:r w:rsidR="00B04F40" w:rsidRPr="00D85C89">
        <w:rPr>
          <w:rFonts w:ascii="Times New Roman" w:hAnsi="Times New Roman" w:cs="Times New Roman"/>
          <w:sz w:val="24"/>
          <w:szCs w:val="24"/>
        </w:rPr>
        <w:t>грн.</w:t>
      </w:r>
    </w:p>
    <w:tbl>
      <w:tblPr>
        <w:tblStyle w:val="af2"/>
        <w:tblW w:w="15208" w:type="dxa"/>
        <w:tblInd w:w="108" w:type="dxa"/>
        <w:tblLayout w:type="fixed"/>
        <w:tblLook w:val="04A0" w:firstRow="1" w:lastRow="0" w:firstColumn="1" w:lastColumn="0" w:noHBand="0" w:noVBand="1"/>
      </w:tblPr>
      <w:tblGrid>
        <w:gridCol w:w="5387"/>
        <w:gridCol w:w="2126"/>
        <w:gridCol w:w="1985"/>
        <w:gridCol w:w="1871"/>
        <w:gridCol w:w="1985"/>
        <w:gridCol w:w="1843"/>
        <w:gridCol w:w="11"/>
      </w:tblGrid>
      <w:tr w:rsidR="00B66CF7" w:rsidRPr="00D85C89" w:rsidTr="001F15E9">
        <w:trPr>
          <w:trHeight w:val="280"/>
        </w:trPr>
        <w:tc>
          <w:tcPr>
            <w:tcW w:w="5387" w:type="dxa"/>
            <w:vMerge w:val="restart"/>
          </w:tcPr>
          <w:p w:rsidR="00B66CF7" w:rsidRPr="00D85C89" w:rsidRDefault="00B66CF7" w:rsidP="007501F5">
            <w:pPr>
              <w:jc w:val="center"/>
              <w:rPr>
                <w:sz w:val="24"/>
                <w:szCs w:val="24"/>
              </w:rPr>
            </w:pPr>
          </w:p>
          <w:p w:rsidR="00B66CF7" w:rsidRPr="00D85C89" w:rsidRDefault="00B66CF7" w:rsidP="007501F5">
            <w:pPr>
              <w:jc w:val="center"/>
              <w:rPr>
                <w:sz w:val="24"/>
                <w:szCs w:val="24"/>
              </w:rPr>
            </w:pPr>
            <w:r w:rsidRPr="00D85C89">
              <w:rPr>
                <w:sz w:val="24"/>
                <w:szCs w:val="24"/>
              </w:rPr>
              <w:t>Найменування</w:t>
            </w:r>
          </w:p>
        </w:tc>
        <w:tc>
          <w:tcPr>
            <w:tcW w:w="2126" w:type="dxa"/>
            <w:vMerge w:val="restart"/>
            <w:vAlign w:val="center"/>
          </w:tcPr>
          <w:p w:rsidR="00B66CF7" w:rsidRPr="00D85C89" w:rsidRDefault="00B66CF7" w:rsidP="007501F5">
            <w:pPr>
              <w:jc w:val="center"/>
              <w:rPr>
                <w:sz w:val="24"/>
                <w:szCs w:val="24"/>
              </w:rPr>
            </w:pPr>
            <w:r w:rsidRPr="00D85C89">
              <w:rPr>
                <w:sz w:val="24"/>
                <w:szCs w:val="24"/>
              </w:rPr>
              <w:t>201</w:t>
            </w:r>
            <w:r>
              <w:rPr>
                <w:sz w:val="24"/>
                <w:szCs w:val="24"/>
              </w:rPr>
              <w:t>7</w:t>
            </w:r>
            <w:r w:rsidRPr="00D85C89">
              <w:rPr>
                <w:sz w:val="24"/>
                <w:szCs w:val="24"/>
              </w:rPr>
              <w:t xml:space="preserve"> рік</w:t>
            </w:r>
          </w:p>
          <w:p w:rsidR="00B66CF7" w:rsidRPr="00D85C89" w:rsidRDefault="00D53394" w:rsidP="007501F5">
            <w:pPr>
              <w:jc w:val="center"/>
              <w:rPr>
                <w:sz w:val="24"/>
                <w:szCs w:val="24"/>
              </w:rPr>
            </w:pPr>
            <w:r>
              <w:rPr>
                <w:sz w:val="24"/>
                <w:szCs w:val="24"/>
              </w:rPr>
              <w:t>(касові видатки</w:t>
            </w:r>
            <w:r w:rsidR="00B4507B">
              <w:rPr>
                <w:sz w:val="24"/>
                <w:szCs w:val="24"/>
              </w:rPr>
              <w:t> </w:t>
            </w:r>
            <w:r>
              <w:rPr>
                <w:sz w:val="24"/>
                <w:szCs w:val="24"/>
              </w:rPr>
              <w:t>/</w:t>
            </w:r>
            <w:r w:rsidR="00B4507B">
              <w:rPr>
                <w:sz w:val="24"/>
                <w:szCs w:val="24"/>
              </w:rPr>
              <w:t> </w:t>
            </w:r>
            <w:r>
              <w:rPr>
                <w:sz w:val="24"/>
                <w:szCs w:val="24"/>
              </w:rPr>
              <w:t>надані кредити)</w:t>
            </w:r>
          </w:p>
        </w:tc>
        <w:tc>
          <w:tcPr>
            <w:tcW w:w="1985" w:type="dxa"/>
            <w:vMerge w:val="restart"/>
            <w:vAlign w:val="center"/>
          </w:tcPr>
          <w:p w:rsidR="00B66CF7" w:rsidRPr="00D85C89" w:rsidRDefault="00B66CF7" w:rsidP="007501F5">
            <w:pPr>
              <w:jc w:val="center"/>
              <w:rPr>
                <w:sz w:val="24"/>
                <w:szCs w:val="24"/>
              </w:rPr>
            </w:pPr>
            <w:r w:rsidRPr="00D85C89">
              <w:rPr>
                <w:sz w:val="24"/>
                <w:szCs w:val="24"/>
              </w:rPr>
              <w:t>201</w:t>
            </w:r>
            <w:r>
              <w:rPr>
                <w:sz w:val="24"/>
                <w:szCs w:val="24"/>
              </w:rPr>
              <w:t>8</w:t>
            </w:r>
            <w:r w:rsidRPr="00D85C89">
              <w:rPr>
                <w:sz w:val="24"/>
                <w:szCs w:val="24"/>
              </w:rPr>
              <w:t xml:space="preserve"> рік</w:t>
            </w:r>
          </w:p>
          <w:p w:rsidR="00B66CF7" w:rsidRPr="00D85C89" w:rsidRDefault="00D53394" w:rsidP="007501F5">
            <w:pPr>
              <w:jc w:val="center"/>
              <w:rPr>
                <w:sz w:val="24"/>
                <w:szCs w:val="24"/>
              </w:rPr>
            </w:pPr>
            <w:r>
              <w:rPr>
                <w:sz w:val="24"/>
                <w:szCs w:val="24"/>
              </w:rPr>
              <w:t>(касові видатки</w:t>
            </w:r>
            <w:r w:rsidR="00B4507B">
              <w:rPr>
                <w:sz w:val="24"/>
                <w:szCs w:val="24"/>
              </w:rPr>
              <w:t> </w:t>
            </w:r>
            <w:r>
              <w:rPr>
                <w:sz w:val="24"/>
                <w:szCs w:val="24"/>
              </w:rPr>
              <w:t>/</w:t>
            </w:r>
            <w:r w:rsidR="00B4507B">
              <w:rPr>
                <w:sz w:val="24"/>
                <w:szCs w:val="24"/>
              </w:rPr>
              <w:t> </w:t>
            </w:r>
            <w:r>
              <w:rPr>
                <w:sz w:val="24"/>
                <w:szCs w:val="24"/>
              </w:rPr>
              <w:t xml:space="preserve">надані кредити) </w:t>
            </w:r>
          </w:p>
        </w:tc>
        <w:tc>
          <w:tcPr>
            <w:tcW w:w="5710" w:type="dxa"/>
            <w:gridSpan w:val="4"/>
            <w:vAlign w:val="center"/>
          </w:tcPr>
          <w:p w:rsidR="00B66CF7" w:rsidRPr="00D85C89" w:rsidRDefault="00B66CF7" w:rsidP="00C570BB">
            <w:pPr>
              <w:jc w:val="center"/>
              <w:rPr>
                <w:sz w:val="24"/>
                <w:szCs w:val="24"/>
              </w:rPr>
            </w:pPr>
            <w:r w:rsidRPr="00D85C89">
              <w:rPr>
                <w:sz w:val="24"/>
                <w:szCs w:val="24"/>
              </w:rPr>
              <w:t>201</w:t>
            </w:r>
            <w:r>
              <w:rPr>
                <w:sz w:val="24"/>
                <w:szCs w:val="24"/>
              </w:rPr>
              <w:t>9</w:t>
            </w:r>
            <w:r w:rsidRPr="00D85C89">
              <w:rPr>
                <w:sz w:val="24"/>
                <w:szCs w:val="24"/>
              </w:rPr>
              <w:t xml:space="preserve"> рік </w:t>
            </w:r>
          </w:p>
        </w:tc>
      </w:tr>
      <w:tr w:rsidR="00B66CF7" w:rsidRPr="00D85C89" w:rsidTr="00F14AB4">
        <w:trPr>
          <w:gridAfter w:val="1"/>
          <w:wAfter w:w="11" w:type="dxa"/>
          <w:trHeight w:val="377"/>
        </w:trPr>
        <w:tc>
          <w:tcPr>
            <w:tcW w:w="5387" w:type="dxa"/>
            <w:vMerge/>
          </w:tcPr>
          <w:p w:rsidR="00B66CF7" w:rsidRPr="00D85C89" w:rsidRDefault="00B66CF7" w:rsidP="007501F5">
            <w:pPr>
              <w:jc w:val="center"/>
              <w:rPr>
                <w:sz w:val="24"/>
                <w:szCs w:val="24"/>
              </w:rPr>
            </w:pPr>
          </w:p>
        </w:tc>
        <w:tc>
          <w:tcPr>
            <w:tcW w:w="2126" w:type="dxa"/>
            <w:vMerge/>
            <w:vAlign w:val="center"/>
          </w:tcPr>
          <w:p w:rsidR="00B66CF7" w:rsidRPr="00D85C89" w:rsidRDefault="00B66CF7" w:rsidP="007501F5">
            <w:pPr>
              <w:jc w:val="center"/>
              <w:rPr>
                <w:sz w:val="24"/>
                <w:szCs w:val="24"/>
              </w:rPr>
            </w:pPr>
          </w:p>
        </w:tc>
        <w:tc>
          <w:tcPr>
            <w:tcW w:w="1985" w:type="dxa"/>
            <w:vMerge/>
            <w:vAlign w:val="center"/>
          </w:tcPr>
          <w:p w:rsidR="00B66CF7" w:rsidRPr="00D85C89" w:rsidRDefault="00B66CF7" w:rsidP="007501F5">
            <w:pPr>
              <w:jc w:val="center"/>
              <w:rPr>
                <w:sz w:val="24"/>
                <w:szCs w:val="24"/>
              </w:rPr>
            </w:pPr>
          </w:p>
        </w:tc>
        <w:tc>
          <w:tcPr>
            <w:tcW w:w="1871" w:type="dxa"/>
          </w:tcPr>
          <w:p w:rsidR="00F14AB4" w:rsidRDefault="00F14AB4" w:rsidP="00F14AB4">
            <w:pPr>
              <w:jc w:val="center"/>
              <w:rPr>
                <w:sz w:val="24"/>
                <w:szCs w:val="24"/>
              </w:rPr>
            </w:pPr>
          </w:p>
          <w:p w:rsidR="00B66CF7" w:rsidRDefault="00D53394" w:rsidP="00F14AB4">
            <w:pPr>
              <w:jc w:val="center"/>
              <w:rPr>
                <w:sz w:val="24"/>
                <w:szCs w:val="24"/>
              </w:rPr>
            </w:pPr>
            <w:r w:rsidRPr="00D85C89">
              <w:rPr>
                <w:sz w:val="24"/>
                <w:szCs w:val="24"/>
              </w:rPr>
              <w:t>П</w:t>
            </w:r>
            <w:r w:rsidR="00B66CF7" w:rsidRPr="00D85C89">
              <w:rPr>
                <w:sz w:val="24"/>
                <w:szCs w:val="24"/>
              </w:rPr>
              <w:t>лан</w:t>
            </w:r>
          </w:p>
          <w:p w:rsidR="00D53394" w:rsidRPr="00D85C89" w:rsidRDefault="00D53394">
            <w:pPr>
              <w:jc w:val="center"/>
              <w:rPr>
                <w:sz w:val="24"/>
                <w:szCs w:val="24"/>
              </w:rPr>
            </w:pPr>
            <w:r>
              <w:rPr>
                <w:sz w:val="24"/>
                <w:szCs w:val="24"/>
              </w:rPr>
              <w:t>зі змінами</w:t>
            </w:r>
          </w:p>
        </w:tc>
        <w:tc>
          <w:tcPr>
            <w:tcW w:w="1985" w:type="dxa"/>
            <w:vAlign w:val="center"/>
          </w:tcPr>
          <w:p w:rsidR="00F14AB4" w:rsidRDefault="00D53394">
            <w:pPr>
              <w:jc w:val="center"/>
              <w:rPr>
                <w:sz w:val="24"/>
                <w:szCs w:val="24"/>
              </w:rPr>
            </w:pPr>
            <w:r w:rsidRPr="00D85C89">
              <w:rPr>
                <w:sz w:val="24"/>
                <w:szCs w:val="24"/>
              </w:rPr>
              <w:t>З</w:t>
            </w:r>
            <w:r w:rsidR="00B66CF7" w:rsidRPr="00D85C89">
              <w:rPr>
                <w:sz w:val="24"/>
                <w:szCs w:val="24"/>
              </w:rPr>
              <w:t>віт</w:t>
            </w:r>
            <w:r w:rsidR="009F1193">
              <w:rPr>
                <w:sz w:val="24"/>
                <w:szCs w:val="24"/>
              </w:rPr>
              <w:t xml:space="preserve"> </w:t>
            </w:r>
          </w:p>
          <w:p w:rsidR="00B66CF7" w:rsidRPr="00D85C89" w:rsidRDefault="00F14AB4">
            <w:pPr>
              <w:jc w:val="center"/>
              <w:rPr>
                <w:sz w:val="24"/>
                <w:szCs w:val="24"/>
              </w:rPr>
            </w:pPr>
            <w:r>
              <w:rPr>
                <w:sz w:val="24"/>
                <w:szCs w:val="24"/>
              </w:rPr>
              <w:t>(к</w:t>
            </w:r>
            <w:r w:rsidR="00D53394">
              <w:rPr>
                <w:sz w:val="24"/>
                <w:szCs w:val="24"/>
              </w:rPr>
              <w:t>асові видатки</w:t>
            </w:r>
            <w:r w:rsidR="00B4507B">
              <w:rPr>
                <w:sz w:val="24"/>
                <w:szCs w:val="24"/>
              </w:rPr>
              <w:t> </w:t>
            </w:r>
            <w:r w:rsidR="00D53394">
              <w:rPr>
                <w:sz w:val="24"/>
                <w:szCs w:val="24"/>
              </w:rPr>
              <w:t>/</w:t>
            </w:r>
            <w:r w:rsidR="00B4507B">
              <w:rPr>
                <w:sz w:val="24"/>
                <w:szCs w:val="24"/>
              </w:rPr>
              <w:t> </w:t>
            </w:r>
            <w:r w:rsidR="00D53394">
              <w:rPr>
                <w:sz w:val="24"/>
                <w:szCs w:val="24"/>
              </w:rPr>
              <w:t>надані кредити</w:t>
            </w:r>
            <w:r>
              <w:rPr>
                <w:sz w:val="24"/>
                <w:szCs w:val="24"/>
              </w:rPr>
              <w:t>)</w:t>
            </w:r>
          </w:p>
        </w:tc>
        <w:tc>
          <w:tcPr>
            <w:tcW w:w="1843" w:type="dxa"/>
          </w:tcPr>
          <w:p w:rsidR="00B66CF7" w:rsidRDefault="00D53394" w:rsidP="007501F5">
            <w:pPr>
              <w:jc w:val="center"/>
              <w:rPr>
                <w:sz w:val="24"/>
                <w:szCs w:val="24"/>
              </w:rPr>
            </w:pPr>
            <w:r>
              <w:rPr>
                <w:sz w:val="24"/>
                <w:szCs w:val="24"/>
              </w:rPr>
              <w:t>В</w:t>
            </w:r>
            <w:r w:rsidR="00B66CF7">
              <w:rPr>
                <w:sz w:val="24"/>
                <w:szCs w:val="24"/>
              </w:rPr>
              <w:t>ідхилення</w:t>
            </w:r>
          </w:p>
          <w:p w:rsidR="00D53394" w:rsidRPr="00D85C89" w:rsidRDefault="00A46777">
            <w:pPr>
              <w:jc w:val="center"/>
              <w:rPr>
                <w:sz w:val="24"/>
                <w:szCs w:val="24"/>
              </w:rPr>
            </w:pPr>
            <w:r>
              <w:rPr>
                <w:sz w:val="24"/>
                <w:szCs w:val="24"/>
              </w:rPr>
              <w:t>звітних показників від планових</w:t>
            </w:r>
          </w:p>
        </w:tc>
      </w:tr>
      <w:tr w:rsidR="00B66CF7" w:rsidRPr="00D85C89" w:rsidTr="002C3042">
        <w:trPr>
          <w:gridAfter w:val="1"/>
          <w:wAfter w:w="11" w:type="dxa"/>
          <w:trHeight w:val="552"/>
        </w:trPr>
        <w:tc>
          <w:tcPr>
            <w:tcW w:w="5387" w:type="dxa"/>
            <w:vAlign w:val="center"/>
          </w:tcPr>
          <w:p w:rsidR="00B66CF7" w:rsidRPr="00D85C89" w:rsidRDefault="00B66CF7" w:rsidP="007501F5">
            <w:pPr>
              <w:rPr>
                <w:sz w:val="24"/>
                <w:szCs w:val="24"/>
              </w:rPr>
            </w:pPr>
            <w:r w:rsidRPr="00D85C89">
              <w:rPr>
                <w:sz w:val="24"/>
                <w:szCs w:val="24"/>
              </w:rPr>
              <w:t>Загальний фонд</w:t>
            </w:r>
          </w:p>
        </w:tc>
        <w:tc>
          <w:tcPr>
            <w:tcW w:w="2126" w:type="dxa"/>
            <w:vAlign w:val="center"/>
          </w:tcPr>
          <w:p w:rsidR="00B66CF7" w:rsidRPr="00D85C89" w:rsidRDefault="000B6AD3" w:rsidP="007501F5">
            <w:pPr>
              <w:jc w:val="center"/>
              <w:rPr>
                <w:sz w:val="24"/>
                <w:szCs w:val="24"/>
              </w:rPr>
            </w:pPr>
            <w:r>
              <w:rPr>
                <w:sz w:val="24"/>
                <w:szCs w:val="24"/>
              </w:rPr>
              <w:t>9 961 629,3</w:t>
            </w:r>
          </w:p>
        </w:tc>
        <w:tc>
          <w:tcPr>
            <w:tcW w:w="1985" w:type="dxa"/>
            <w:vAlign w:val="center"/>
          </w:tcPr>
          <w:p w:rsidR="00B66CF7" w:rsidRPr="00D85C89" w:rsidRDefault="002C3042" w:rsidP="007501F5">
            <w:pPr>
              <w:jc w:val="center"/>
              <w:rPr>
                <w:sz w:val="24"/>
                <w:szCs w:val="24"/>
              </w:rPr>
            </w:pPr>
            <w:r>
              <w:rPr>
                <w:sz w:val="24"/>
                <w:szCs w:val="24"/>
              </w:rPr>
              <w:t>13 936 337,1</w:t>
            </w:r>
          </w:p>
        </w:tc>
        <w:tc>
          <w:tcPr>
            <w:tcW w:w="1871" w:type="dxa"/>
            <w:vAlign w:val="center"/>
          </w:tcPr>
          <w:p w:rsidR="00B66CF7" w:rsidRPr="00D85C89" w:rsidRDefault="004F556E" w:rsidP="007501F5">
            <w:pPr>
              <w:jc w:val="center"/>
              <w:rPr>
                <w:sz w:val="24"/>
                <w:szCs w:val="24"/>
              </w:rPr>
            </w:pPr>
            <w:r>
              <w:rPr>
                <w:sz w:val="24"/>
                <w:szCs w:val="24"/>
              </w:rPr>
              <w:t>14 414 873,0</w:t>
            </w:r>
          </w:p>
        </w:tc>
        <w:tc>
          <w:tcPr>
            <w:tcW w:w="1985" w:type="dxa"/>
            <w:vAlign w:val="center"/>
          </w:tcPr>
          <w:p w:rsidR="00B66CF7" w:rsidRPr="00D85C89" w:rsidRDefault="002C3042" w:rsidP="002C3042">
            <w:pPr>
              <w:jc w:val="center"/>
              <w:rPr>
                <w:sz w:val="24"/>
                <w:szCs w:val="24"/>
              </w:rPr>
            </w:pPr>
            <w:r>
              <w:rPr>
                <w:sz w:val="24"/>
                <w:szCs w:val="24"/>
              </w:rPr>
              <w:t>13 868 109,9</w:t>
            </w:r>
          </w:p>
        </w:tc>
        <w:tc>
          <w:tcPr>
            <w:tcW w:w="1843" w:type="dxa"/>
            <w:vAlign w:val="center"/>
          </w:tcPr>
          <w:p w:rsidR="00B66CF7" w:rsidRPr="00D85C89" w:rsidRDefault="002C3042" w:rsidP="002C3042">
            <w:pPr>
              <w:jc w:val="center"/>
              <w:rPr>
                <w:sz w:val="24"/>
                <w:szCs w:val="24"/>
              </w:rPr>
            </w:pPr>
            <w:r>
              <w:rPr>
                <w:sz w:val="24"/>
                <w:szCs w:val="24"/>
              </w:rPr>
              <w:t>-546 763,1</w:t>
            </w:r>
          </w:p>
        </w:tc>
      </w:tr>
      <w:tr w:rsidR="00B66CF7" w:rsidRPr="00D85C89" w:rsidTr="003E1E11">
        <w:trPr>
          <w:gridAfter w:val="1"/>
          <w:wAfter w:w="11" w:type="dxa"/>
          <w:trHeight w:val="552"/>
        </w:trPr>
        <w:tc>
          <w:tcPr>
            <w:tcW w:w="5387" w:type="dxa"/>
            <w:vAlign w:val="center"/>
          </w:tcPr>
          <w:p w:rsidR="00B66CF7" w:rsidRPr="00D85C89" w:rsidRDefault="00B66CF7" w:rsidP="007501F5">
            <w:pPr>
              <w:rPr>
                <w:sz w:val="24"/>
                <w:szCs w:val="24"/>
              </w:rPr>
            </w:pPr>
            <w:r w:rsidRPr="00D85C89">
              <w:rPr>
                <w:sz w:val="24"/>
                <w:szCs w:val="24"/>
              </w:rPr>
              <w:t>Спеціальний фонд</w:t>
            </w:r>
          </w:p>
        </w:tc>
        <w:tc>
          <w:tcPr>
            <w:tcW w:w="2126" w:type="dxa"/>
            <w:vAlign w:val="center"/>
          </w:tcPr>
          <w:p w:rsidR="00B66CF7" w:rsidRPr="00D85C89" w:rsidRDefault="000B6AD3" w:rsidP="007501F5">
            <w:pPr>
              <w:jc w:val="center"/>
              <w:rPr>
                <w:sz w:val="24"/>
                <w:szCs w:val="24"/>
              </w:rPr>
            </w:pPr>
            <w:r>
              <w:rPr>
                <w:sz w:val="24"/>
                <w:szCs w:val="24"/>
              </w:rPr>
              <w:t>1 868 132,4</w:t>
            </w:r>
          </w:p>
        </w:tc>
        <w:tc>
          <w:tcPr>
            <w:tcW w:w="1985" w:type="dxa"/>
            <w:vAlign w:val="center"/>
          </w:tcPr>
          <w:p w:rsidR="00B66CF7" w:rsidRPr="00D85C89" w:rsidRDefault="002C3042" w:rsidP="007501F5">
            <w:pPr>
              <w:jc w:val="center"/>
              <w:rPr>
                <w:sz w:val="24"/>
                <w:szCs w:val="24"/>
              </w:rPr>
            </w:pPr>
            <w:r>
              <w:rPr>
                <w:sz w:val="24"/>
                <w:szCs w:val="24"/>
              </w:rPr>
              <w:t>1 288 408,8</w:t>
            </w:r>
          </w:p>
        </w:tc>
        <w:tc>
          <w:tcPr>
            <w:tcW w:w="1871" w:type="dxa"/>
            <w:vAlign w:val="center"/>
          </w:tcPr>
          <w:p w:rsidR="00B66CF7" w:rsidRPr="00D85C89" w:rsidRDefault="00975A59" w:rsidP="007501F5">
            <w:pPr>
              <w:jc w:val="center"/>
              <w:rPr>
                <w:sz w:val="24"/>
                <w:szCs w:val="24"/>
              </w:rPr>
            </w:pPr>
            <w:r>
              <w:rPr>
                <w:sz w:val="24"/>
                <w:szCs w:val="24"/>
              </w:rPr>
              <w:t>4 418 059,4</w:t>
            </w:r>
          </w:p>
        </w:tc>
        <w:tc>
          <w:tcPr>
            <w:tcW w:w="1985" w:type="dxa"/>
            <w:vAlign w:val="center"/>
          </w:tcPr>
          <w:p w:rsidR="00B66CF7" w:rsidRPr="00D85C89" w:rsidRDefault="00975A59" w:rsidP="007501F5">
            <w:pPr>
              <w:jc w:val="center"/>
              <w:rPr>
                <w:sz w:val="24"/>
                <w:szCs w:val="24"/>
              </w:rPr>
            </w:pPr>
            <w:r>
              <w:rPr>
                <w:sz w:val="24"/>
                <w:szCs w:val="24"/>
              </w:rPr>
              <w:t>3 360 354,4</w:t>
            </w:r>
          </w:p>
        </w:tc>
        <w:tc>
          <w:tcPr>
            <w:tcW w:w="1843" w:type="dxa"/>
            <w:vAlign w:val="center"/>
          </w:tcPr>
          <w:p w:rsidR="00B66CF7" w:rsidRPr="00D85C89" w:rsidRDefault="003E1E11" w:rsidP="003E1E11">
            <w:pPr>
              <w:jc w:val="center"/>
              <w:rPr>
                <w:sz w:val="24"/>
                <w:szCs w:val="24"/>
              </w:rPr>
            </w:pPr>
            <w:r>
              <w:rPr>
                <w:sz w:val="24"/>
                <w:szCs w:val="24"/>
              </w:rPr>
              <w:t>-1 057 705,0</w:t>
            </w:r>
          </w:p>
        </w:tc>
      </w:tr>
      <w:tr w:rsidR="00B66CF7" w:rsidRPr="00D85C89" w:rsidTr="00DE4684">
        <w:trPr>
          <w:gridAfter w:val="1"/>
          <w:wAfter w:w="11" w:type="dxa"/>
          <w:trHeight w:val="552"/>
        </w:trPr>
        <w:tc>
          <w:tcPr>
            <w:tcW w:w="5387" w:type="dxa"/>
            <w:vAlign w:val="center"/>
          </w:tcPr>
          <w:p w:rsidR="00B66CF7" w:rsidRPr="00D85C89" w:rsidRDefault="00B66CF7" w:rsidP="007501F5">
            <w:pPr>
              <w:rPr>
                <w:sz w:val="24"/>
                <w:szCs w:val="24"/>
              </w:rPr>
            </w:pPr>
            <w:r w:rsidRPr="00D85C89">
              <w:rPr>
                <w:sz w:val="24"/>
                <w:szCs w:val="24"/>
              </w:rPr>
              <w:t>ВСЬОГО</w:t>
            </w:r>
          </w:p>
        </w:tc>
        <w:tc>
          <w:tcPr>
            <w:tcW w:w="2126" w:type="dxa"/>
            <w:vAlign w:val="center"/>
          </w:tcPr>
          <w:p w:rsidR="00B66CF7" w:rsidRPr="00D85C89" w:rsidRDefault="000B6AD3" w:rsidP="007501F5">
            <w:pPr>
              <w:jc w:val="center"/>
              <w:rPr>
                <w:b/>
                <w:sz w:val="24"/>
                <w:szCs w:val="24"/>
              </w:rPr>
            </w:pPr>
            <w:r>
              <w:rPr>
                <w:b/>
                <w:sz w:val="24"/>
                <w:szCs w:val="24"/>
              </w:rPr>
              <w:t>11 829 761,7</w:t>
            </w:r>
          </w:p>
        </w:tc>
        <w:tc>
          <w:tcPr>
            <w:tcW w:w="1985" w:type="dxa"/>
            <w:vAlign w:val="center"/>
          </w:tcPr>
          <w:p w:rsidR="00B66CF7" w:rsidRPr="00D85C89" w:rsidRDefault="002C3042" w:rsidP="007501F5">
            <w:pPr>
              <w:jc w:val="center"/>
              <w:rPr>
                <w:b/>
                <w:sz w:val="24"/>
                <w:szCs w:val="24"/>
              </w:rPr>
            </w:pPr>
            <w:r>
              <w:rPr>
                <w:b/>
                <w:sz w:val="24"/>
                <w:szCs w:val="24"/>
              </w:rPr>
              <w:t>15 224 745,9</w:t>
            </w:r>
          </w:p>
        </w:tc>
        <w:tc>
          <w:tcPr>
            <w:tcW w:w="1871" w:type="dxa"/>
            <w:vAlign w:val="center"/>
          </w:tcPr>
          <w:p w:rsidR="00B66CF7" w:rsidRPr="00D85C89" w:rsidRDefault="003E1E11" w:rsidP="007501F5">
            <w:pPr>
              <w:jc w:val="center"/>
              <w:rPr>
                <w:b/>
                <w:sz w:val="24"/>
                <w:szCs w:val="24"/>
              </w:rPr>
            </w:pPr>
            <w:r>
              <w:rPr>
                <w:b/>
                <w:sz w:val="24"/>
                <w:szCs w:val="24"/>
              </w:rPr>
              <w:t>18 832 932,4</w:t>
            </w:r>
          </w:p>
        </w:tc>
        <w:tc>
          <w:tcPr>
            <w:tcW w:w="1985" w:type="dxa"/>
            <w:vAlign w:val="center"/>
          </w:tcPr>
          <w:p w:rsidR="00B66CF7" w:rsidRPr="00D85C89" w:rsidRDefault="003E1E11" w:rsidP="007501F5">
            <w:pPr>
              <w:jc w:val="center"/>
              <w:rPr>
                <w:b/>
                <w:sz w:val="24"/>
                <w:szCs w:val="24"/>
              </w:rPr>
            </w:pPr>
            <w:r>
              <w:rPr>
                <w:b/>
                <w:sz w:val="24"/>
                <w:szCs w:val="24"/>
              </w:rPr>
              <w:t>17 228 464,3</w:t>
            </w:r>
          </w:p>
        </w:tc>
        <w:tc>
          <w:tcPr>
            <w:tcW w:w="1843" w:type="dxa"/>
            <w:vAlign w:val="center"/>
          </w:tcPr>
          <w:p w:rsidR="00B66CF7" w:rsidRPr="00D85C89" w:rsidRDefault="00D87642" w:rsidP="00DE4684">
            <w:pPr>
              <w:jc w:val="center"/>
              <w:rPr>
                <w:b/>
                <w:sz w:val="24"/>
                <w:szCs w:val="24"/>
              </w:rPr>
            </w:pPr>
            <w:r>
              <w:rPr>
                <w:b/>
                <w:sz w:val="24"/>
                <w:szCs w:val="24"/>
              </w:rPr>
              <w:t>-</w:t>
            </w:r>
            <w:r w:rsidR="00DE4684">
              <w:rPr>
                <w:b/>
                <w:sz w:val="24"/>
                <w:szCs w:val="24"/>
              </w:rPr>
              <w:t>1 604 468,1</w:t>
            </w:r>
          </w:p>
        </w:tc>
      </w:tr>
    </w:tbl>
    <w:p w:rsidR="00D85C89" w:rsidRDefault="00D85C89" w:rsidP="00B04F40">
      <w:pPr>
        <w:pStyle w:val="3"/>
        <w:jc w:val="both"/>
        <w:rPr>
          <w:rFonts w:ascii="Times New Roman" w:hAnsi="Times New Roman" w:cs="Times New Roman"/>
          <w:b/>
          <w:sz w:val="24"/>
          <w:szCs w:val="24"/>
        </w:rPr>
      </w:pPr>
    </w:p>
    <w:p w:rsidR="009F1193" w:rsidRDefault="009F1193" w:rsidP="00B04F40">
      <w:pPr>
        <w:pStyle w:val="3"/>
        <w:jc w:val="both"/>
        <w:rPr>
          <w:rFonts w:ascii="Times New Roman" w:hAnsi="Times New Roman" w:cs="Times New Roman"/>
          <w:b/>
          <w:sz w:val="24"/>
          <w:szCs w:val="24"/>
        </w:rPr>
      </w:pPr>
    </w:p>
    <w:p w:rsidR="002B03DD" w:rsidRDefault="002B03DD" w:rsidP="00B04F40">
      <w:pPr>
        <w:pStyle w:val="3"/>
        <w:jc w:val="both"/>
        <w:rPr>
          <w:rFonts w:ascii="Times New Roman" w:hAnsi="Times New Roman" w:cs="Times New Roman"/>
          <w:b/>
          <w:sz w:val="24"/>
          <w:szCs w:val="24"/>
        </w:rPr>
      </w:pPr>
    </w:p>
    <w:p w:rsidR="002B03DD" w:rsidRDefault="002B03DD" w:rsidP="00B04F40">
      <w:pPr>
        <w:pStyle w:val="3"/>
        <w:jc w:val="both"/>
        <w:rPr>
          <w:rFonts w:ascii="Times New Roman" w:hAnsi="Times New Roman" w:cs="Times New Roman"/>
          <w:b/>
          <w:sz w:val="24"/>
          <w:szCs w:val="24"/>
        </w:rPr>
      </w:pPr>
    </w:p>
    <w:p w:rsidR="00A01031" w:rsidRDefault="00A01031" w:rsidP="00A01031">
      <w:pPr>
        <w:spacing w:after="0" w:line="240" w:lineRule="auto"/>
        <w:jc w:val="both"/>
        <w:rPr>
          <w:rFonts w:ascii="Times New Roman" w:eastAsia="Calibri" w:hAnsi="Times New Roman" w:cs="Times New Roman"/>
          <w:b/>
          <w:sz w:val="24"/>
          <w:szCs w:val="24"/>
        </w:rPr>
      </w:pPr>
      <w:r w:rsidRPr="00D56664">
        <w:rPr>
          <w:rFonts w:ascii="Times New Roman" w:eastAsia="Calibri" w:hAnsi="Times New Roman" w:cs="Times New Roman"/>
          <w:b/>
          <w:sz w:val="24"/>
          <w:szCs w:val="24"/>
        </w:rPr>
        <w:lastRenderedPageBreak/>
        <w:t xml:space="preserve">3. Цілі державної політики у сферах діяльності головного розпорядника коштів державного бюджету та показники їх досягнення у </w:t>
      </w:r>
      <w:r w:rsidR="00172D56">
        <w:rPr>
          <w:rFonts w:ascii="Times New Roman" w:eastAsia="Calibri" w:hAnsi="Times New Roman" w:cs="Times New Roman"/>
          <w:b/>
          <w:sz w:val="24"/>
          <w:szCs w:val="24"/>
        </w:rPr>
        <w:br/>
      </w:r>
      <w:r w:rsidR="002B03DD">
        <w:rPr>
          <w:rFonts w:ascii="Times New Roman" w:eastAsia="Calibri" w:hAnsi="Times New Roman" w:cs="Times New Roman"/>
          <w:b/>
          <w:sz w:val="24"/>
          <w:szCs w:val="24"/>
        </w:rPr>
        <w:t xml:space="preserve">     </w:t>
      </w:r>
      <w:r w:rsidR="00172D56">
        <w:rPr>
          <w:rFonts w:ascii="Times New Roman" w:eastAsia="Calibri" w:hAnsi="Times New Roman" w:cs="Times New Roman"/>
          <w:b/>
          <w:sz w:val="24"/>
          <w:szCs w:val="24"/>
        </w:rPr>
        <w:t xml:space="preserve">2017 </w:t>
      </w:r>
      <w:r w:rsidR="00172D56">
        <w:rPr>
          <w:rFonts w:ascii="Times New Roman" w:eastAsia="Calibri" w:hAnsi="Times New Roman" w:cs="Times New Roman"/>
          <w:b/>
          <w:sz w:val="24"/>
          <w:szCs w:val="24"/>
          <w:lang w:val="ru-RU"/>
        </w:rPr>
        <w:t>-</w:t>
      </w:r>
      <w:r w:rsidR="00172D56">
        <w:rPr>
          <w:rFonts w:ascii="Times New Roman" w:eastAsia="Calibri" w:hAnsi="Times New Roman" w:cs="Times New Roman"/>
          <w:b/>
          <w:sz w:val="24"/>
          <w:szCs w:val="24"/>
        </w:rPr>
        <w:t xml:space="preserve"> </w:t>
      </w:r>
      <w:r w:rsidRPr="00D56664">
        <w:rPr>
          <w:rFonts w:ascii="Times New Roman" w:eastAsia="Calibri" w:hAnsi="Times New Roman" w:cs="Times New Roman"/>
          <w:b/>
          <w:sz w:val="24"/>
          <w:szCs w:val="24"/>
        </w:rPr>
        <w:t>2019 роках</w:t>
      </w:r>
    </w:p>
    <w:p w:rsidR="00172D56" w:rsidRPr="00D56664" w:rsidRDefault="00172D56" w:rsidP="00A01031">
      <w:pPr>
        <w:spacing w:after="0" w:line="240" w:lineRule="auto"/>
        <w:jc w:val="both"/>
        <w:rPr>
          <w:rFonts w:ascii="Times New Roman" w:eastAsia="Calibri" w:hAnsi="Times New Roman" w:cs="Times New Roman"/>
          <w:b/>
          <w:sz w:val="24"/>
          <w:szCs w:val="24"/>
        </w:rPr>
      </w:pPr>
    </w:p>
    <w:tbl>
      <w:tblPr>
        <w:tblStyle w:val="af2"/>
        <w:tblW w:w="16047" w:type="dxa"/>
        <w:jc w:val="center"/>
        <w:tblLayout w:type="fixed"/>
        <w:tblLook w:val="04A0" w:firstRow="1" w:lastRow="0" w:firstColumn="1" w:lastColumn="0" w:noHBand="0" w:noVBand="1"/>
      </w:tblPr>
      <w:tblGrid>
        <w:gridCol w:w="5247"/>
        <w:gridCol w:w="1277"/>
        <w:gridCol w:w="1276"/>
        <w:gridCol w:w="1161"/>
        <w:gridCol w:w="1276"/>
        <w:gridCol w:w="1389"/>
        <w:gridCol w:w="4421"/>
      </w:tblGrid>
      <w:tr w:rsidR="00E43460" w:rsidRPr="00C946CE" w:rsidTr="00465CE0">
        <w:trPr>
          <w:jc w:val="center"/>
        </w:trPr>
        <w:tc>
          <w:tcPr>
            <w:tcW w:w="5247" w:type="dxa"/>
            <w:vMerge w:val="restart"/>
            <w:vAlign w:val="center"/>
          </w:tcPr>
          <w:p w:rsidR="00E43460" w:rsidRPr="00172D56" w:rsidRDefault="00E43460" w:rsidP="00996C26">
            <w:pPr>
              <w:jc w:val="center"/>
              <w:rPr>
                <w:rFonts w:eastAsia="Calibri"/>
                <w:sz w:val="22"/>
                <w:szCs w:val="23"/>
              </w:rPr>
            </w:pPr>
            <w:r w:rsidRPr="00172D56">
              <w:rPr>
                <w:rFonts w:eastAsia="Calibri"/>
                <w:sz w:val="22"/>
                <w:szCs w:val="23"/>
              </w:rPr>
              <w:t>Найменування, одиниця виміру</w:t>
            </w:r>
          </w:p>
        </w:tc>
        <w:tc>
          <w:tcPr>
            <w:tcW w:w="1277" w:type="dxa"/>
            <w:vMerge w:val="restart"/>
            <w:vAlign w:val="center"/>
          </w:tcPr>
          <w:p w:rsidR="00E43460" w:rsidRPr="00172D56" w:rsidRDefault="00E43460" w:rsidP="00996C26">
            <w:pPr>
              <w:pStyle w:val="1"/>
              <w:jc w:val="center"/>
              <w:rPr>
                <w:iCs/>
                <w:sz w:val="22"/>
                <w:szCs w:val="23"/>
                <w:lang w:val="uk-UA"/>
              </w:rPr>
            </w:pPr>
            <w:r w:rsidRPr="00172D56">
              <w:rPr>
                <w:iCs/>
                <w:sz w:val="22"/>
                <w:szCs w:val="23"/>
                <w:lang w:val="uk-UA"/>
              </w:rPr>
              <w:t>2017рік</w:t>
            </w:r>
          </w:p>
          <w:p w:rsidR="00E43460" w:rsidRPr="00172D56" w:rsidRDefault="00E43460" w:rsidP="00996C26">
            <w:pPr>
              <w:jc w:val="center"/>
              <w:rPr>
                <w:rFonts w:eastAsia="Calibri"/>
                <w:sz w:val="22"/>
                <w:szCs w:val="23"/>
              </w:rPr>
            </w:pPr>
            <w:r w:rsidRPr="00172D56">
              <w:rPr>
                <w:iCs/>
                <w:sz w:val="22"/>
                <w:szCs w:val="23"/>
              </w:rPr>
              <w:t>факт</w:t>
            </w:r>
          </w:p>
        </w:tc>
        <w:tc>
          <w:tcPr>
            <w:tcW w:w="1276" w:type="dxa"/>
            <w:vMerge w:val="restart"/>
            <w:vAlign w:val="center"/>
          </w:tcPr>
          <w:p w:rsidR="00E43460" w:rsidRPr="00172D56" w:rsidRDefault="00E43460" w:rsidP="00996C26">
            <w:pPr>
              <w:jc w:val="center"/>
              <w:rPr>
                <w:rFonts w:eastAsia="Calibri"/>
                <w:sz w:val="22"/>
                <w:szCs w:val="23"/>
              </w:rPr>
            </w:pPr>
            <w:r w:rsidRPr="00172D56">
              <w:rPr>
                <w:iCs/>
                <w:sz w:val="22"/>
                <w:szCs w:val="23"/>
              </w:rPr>
              <w:t>2018 рік факт</w:t>
            </w:r>
          </w:p>
        </w:tc>
        <w:tc>
          <w:tcPr>
            <w:tcW w:w="3826" w:type="dxa"/>
            <w:gridSpan w:val="3"/>
            <w:vAlign w:val="center"/>
          </w:tcPr>
          <w:p w:rsidR="00E43460" w:rsidRPr="00172D56" w:rsidRDefault="00E43460" w:rsidP="00996C26">
            <w:pPr>
              <w:jc w:val="center"/>
              <w:rPr>
                <w:rFonts w:eastAsia="Calibri"/>
                <w:sz w:val="22"/>
                <w:szCs w:val="23"/>
              </w:rPr>
            </w:pPr>
            <w:r w:rsidRPr="00172D56">
              <w:rPr>
                <w:rFonts w:eastAsia="Calibri"/>
                <w:sz w:val="22"/>
                <w:szCs w:val="23"/>
              </w:rPr>
              <w:t>2019 рік</w:t>
            </w:r>
          </w:p>
        </w:tc>
        <w:tc>
          <w:tcPr>
            <w:tcW w:w="4421" w:type="dxa"/>
            <w:vMerge w:val="restart"/>
            <w:vAlign w:val="center"/>
          </w:tcPr>
          <w:p w:rsidR="00E43460" w:rsidRPr="00172D56" w:rsidRDefault="00E43460" w:rsidP="00DC62C4">
            <w:pPr>
              <w:jc w:val="center"/>
              <w:rPr>
                <w:rFonts w:eastAsia="Calibri"/>
                <w:sz w:val="22"/>
                <w:szCs w:val="23"/>
              </w:rPr>
            </w:pPr>
            <w:r w:rsidRPr="00172D56">
              <w:rPr>
                <w:rFonts w:eastAsia="Calibri"/>
                <w:sz w:val="22"/>
                <w:szCs w:val="23"/>
              </w:rPr>
              <w:t xml:space="preserve">Пояснення </w:t>
            </w:r>
            <w:r w:rsidR="00DC62C4" w:rsidRPr="00172D56">
              <w:rPr>
                <w:rFonts w:eastAsia="Calibri"/>
                <w:sz w:val="22"/>
                <w:szCs w:val="23"/>
              </w:rPr>
              <w:t>щодо р</w:t>
            </w:r>
            <w:r w:rsidRPr="00172D56">
              <w:rPr>
                <w:rFonts w:eastAsia="Calibri"/>
                <w:sz w:val="22"/>
                <w:szCs w:val="23"/>
              </w:rPr>
              <w:t xml:space="preserve">озбіжностей </w:t>
            </w:r>
            <w:r w:rsidR="00DC62C4" w:rsidRPr="00172D56">
              <w:rPr>
                <w:rFonts w:eastAsia="Calibri"/>
                <w:sz w:val="22"/>
                <w:szCs w:val="23"/>
              </w:rPr>
              <w:t xml:space="preserve">між </w:t>
            </w:r>
            <w:r w:rsidRPr="00172D56">
              <w:rPr>
                <w:rFonts w:eastAsia="Calibri"/>
                <w:sz w:val="22"/>
                <w:szCs w:val="23"/>
              </w:rPr>
              <w:t>фактични</w:t>
            </w:r>
            <w:r w:rsidR="00DC62C4" w:rsidRPr="00172D56">
              <w:rPr>
                <w:rFonts w:eastAsia="Calibri"/>
                <w:sz w:val="22"/>
                <w:szCs w:val="23"/>
              </w:rPr>
              <w:t>ми та</w:t>
            </w:r>
            <w:r w:rsidRPr="00172D56">
              <w:rPr>
                <w:rFonts w:eastAsia="Calibri"/>
                <w:sz w:val="22"/>
                <w:szCs w:val="23"/>
              </w:rPr>
              <w:t xml:space="preserve"> планови</w:t>
            </w:r>
            <w:r w:rsidR="00DC62C4" w:rsidRPr="00172D56">
              <w:rPr>
                <w:rFonts w:eastAsia="Calibri"/>
                <w:sz w:val="22"/>
                <w:szCs w:val="23"/>
              </w:rPr>
              <w:t>ми показниками досягнення цілі державної політики</w:t>
            </w:r>
          </w:p>
        </w:tc>
      </w:tr>
      <w:tr w:rsidR="00E43460" w:rsidRPr="00C946CE" w:rsidTr="00465CE0">
        <w:trPr>
          <w:jc w:val="center"/>
        </w:trPr>
        <w:tc>
          <w:tcPr>
            <w:tcW w:w="5247" w:type="dxa"/>
            <w:vMerge/>
          </w:tcPr>
          <w:p w:rsidR="00E43460" w:rsidRPr="00C946CE" w:rsidRDefault="00E43460" w:rsidP="00861FF2">
            <w:pPr>
              <w:rPr>
                <w:rFonts w:eastAsia="Calibri"/>
                <w:b/>
                <w:sz w:val="24"/>
                <w:szCs w:val="24"/>
              </w:rPr>
            </w:pPr>
          </w:p>
        </w:tc>
        <w:tc>
          <w:tcPr>
            <w:tcW w:w="1277" w:type="dxa"/>
            <w:vMerge/>
          </w:tcPr>
          <w:p w:rsidR="00E43460" w:rsidRPr="00C946CE" w:rsidRDefault="00E43460" w:rsidP="00861FF2">
            <w:pPr>
              <w:rPr>
                <w:rFonts w:eastAsia="Calibri"/>
                <w:b/>
                <w:sz w:val="24"/>
                <w:szCs w:val="24"/>
              </w:rPr>
            </w:pPr>
          </w:p>
        </w:tc>
        <w:tc>
          <w:tcPr>
            <w:tcW w:w="1276" w:type="dxa"/>
            <w:vMerge/>
          </w:tcPr>
          <w:p w:rsidR="00E43460" w:rsidRPr="00C946CE" w:rsidRDefault="00E43460" w:rsidP="00861FF2">
            <w:pPr>
              <w:rPr>
                <w:rFonts w:eastAsia="Calibri"/>
                <w:b/>
                <w:sz w:val="24"/>
                <w:szCs w:val="24"/>
              </w:rPr>
            </w:pPr>
          </w:p>
        </w:tc>
        <w:tc>
          <w:tcPr>
            <w:tcW w:w="1161" w:type="dxa"/>
            <w:vAlign w:val="center"/>
          </w:tcPr>
          <w:p w:rsidR="00E43460" w:rsidRPr="00172D56" w:rsidRDefault="00DC62C4" w:rsidP="00996C26">
            <w:pPr>
              <w:jc w:val="center"/>
              <w:rPr>
                <w:rFonts w:eastAsia="Calibri"/>
                <w:sz w:val="22"/>
                <w:szCs w:val="23"/>
              </w:rPr>
            </w:pPr>
            <w:r w:rsidRPr="00172D56">
              <w:rPr>
                <w:rFonts w:eastAsia="Calibri"/>
                <w:sz w:val="22"/>
                <w:szCs w:val="23"/>
              </w:rPr>
              <w:t>П</w:t>
            </w:r>
            <w:r w:rsidR="00E43460" w:rsidRPr="00172D56">
              <w:rPr>
                <w:rFonts w:eastAsia="Calibri"/>
                <w:sz w:val="22"/>
                <w:szCs w:val="23"/>
              </w:rPr>
              <w:t>лан</w:t>
            </w:r>
          </w:p>
        </w:tc>
        <w:tc>
          <w:tcPr>
            <w:tcW w:w="1276" w:type="dxa"/>
            <w:vAlign w:val="center"/>
          </w:tcPr>
          <w:p w:rsidR="00E43460" w:rsidRPr="00172D56" w:rsidRDefault="00DC62C4" w:rsidP="00996C26">
            <w:pPr>
              <w:jc w:val="center"/>
              <w:rPr>
                <w:rFonts w:eastAsia="Calibri"/>
                <w:sz w:val="22"/>
                <w:szCs w:val="23"/>
              </w:rPr>
            </w:pPr>
            <w:r w:rsidRPr="00172D56">
              <w:rPr>
                <w:rFonts w:eastAsia="Calibri"/>
                <w:sz w:val="22"/>
                <w:szCs w:val="23"/>
              </w:rPr>
              <w:t>Ф</w:t>
            </w:r>
            <w:r w:rsidR="00E43460" w:rsidRPr="00172D56">
              <w:rPr>
                <w:rFonts w:eastAsia="Calibri"/>
                <w:sz w:val="22"/>
                <w:szCs w:val="23"/>
              </w:rPr>
              <w:t>акт</w:t>
            </w:r>
          </w:p>
        </w:tc>
        <w:tc>
          <w:tcPr>
            <w:tcW w:w="1389" w:type="dxa"/>
            <w:vAlign w:val="center"/>
          </w:tcPr>
          <w:p w:rsidR="00E43460" w:rsidRPr="00172D56" w:rsidRDefault="00DC62C4" w:rsidP="00996C26">
            <w:pPr>
              <w:jc w:val="center"/>
              <w:rPr>
                <w:rFonts w:eastAsia="Calibri"/>
                <w:sz w:val="22"/>
                <w:szCs w:val="23"/>
              </w:rPr>
            </w:pPr>
            <w:r w:rsidRPr="00172D56">
              <w:rPr>
                <w:rFonts w:eastAsia="Calibri"/>
                <w:sz w:val="22"/>
                <w:szCs w:val="23"/>
              </w:rPr>
              <w:t>В</w:t>
            </w:r>
            <w:r w:rsidR="00E43460" w:rsidRPr="00172D56">
              <w:rPr>
                <w:rFonts w:eastAsia="Calibri"/>
                <w:sz w:val="22"/>
                <w:szCs w:val="23"/>
              </w:rPr>
              <w:t>ідхилення</w:t>
            </w:r>
            <w:r w:rsidRPr="00172D56">
              <w:rPr>
                <w:rFonts w:eastAsia="Calibri"/>
                <w:sz w:val="22"/>
                <w:szCs w:val="23"/>
              </w:rPr>
              <w:t xml:space="preserve"> фактичних показників від планових  </w:t>
            </w:r>
          </w:p>
        </w:tc>
        <w:tc>
          <w:tcPr>
            <w:tcW w:w="4421" w:type="dxa"/>
            <w:vMerge/>
            <w:vAlign w:val="center"/>
          </w:tcPr>
          <w:p w:rsidR="00E43460" w:rsidRPr="00C946CE" w:rsidRDefault="00E43460" w:rsidP="00996C26">
            <w:pPr>
              <w:jc w:val="center"/>
              <w:rPr>
                <w:rFonts w:eastAsia="Calibri"/>
                <w:b/>
                <w:sz w:val="24"/>
                <w:szCs w:val="24"/>
              </w:rPr>
            </w:pPr>
          </w:p>
        </w:tc>
      </w:tr>
      <w:tr w:rsidR="00DC62C4" w:rsidRPr="00C946CE" w:rsidTr="00465CE0">
        <w:trPr>
          <w:jc w:val="center"/>
        </w:trPr>
        <w:tc>
          <w:tcPr>
            <w:tcW w:w="5247" w:type="dxa"/>
          </w:tcPr>
          <w:p w:rsidR="00DC62C4" w:rsidRPr="00DC62C4" w:rsidRDefault="00DC62C4" w:rsidP="00DC62C4">
            <w:pPr>
              <w:jc w:val="center"/>
              <w:rPr>
                <w:rFonts w:eastAsia="Calibri"/>
                <w:sz w:val="24"/>
                <w:szCs w:val="24"/>
              </w:rPr>
            </w:pPr>
            <w:r w:rsidRPr="00DC62C4">
              <w:rPr>
                <w:rFonts w:eastAsia="Calibri"/>
                <w:sz w:val="24"/>
                <w:szCs w:val="24"/>
              </w:rPr>
              <w:t>1</w:t>
            </w:r>
          </w:p>
        </w:tc>
        <w:tc>
          <w:tcPr>
            <w:tcW w:w="1277" w:type="dxa"/>
          </w:tcPr>
          <w:p w:rsidR="00DC62C4" w:rsidRPr="00DC62C4" w:rsidRDefault="00DC62C4" w:rsidP="00DC62C4">
            <w:pPr>
              <w:jc w:val="center"/>
              <w:rPr>
                <w:rFonts w:eastAsia="Calibri"/>
                <w:sz w:val="24"/>
                <w:szCs w:val="24"/>
              </w:rPr>
            </w:pPr>
            <w:r w:rsidRPr="00DC62C4">
              <w:rPr>
                <w:rFonts w:eastAsia="Calibri"/>
                <w:sz w:val="24"/>
                <w:szCs w:val="24"/>
              </w:rPr>
              <w:t>2</w:t>
            </w:r>
          </w:p>
        </w:tc>
        <w:tc>
          <w:tcPr>
            <w:tcW w:w="1276" w:type="dxa"/>
          </w:tcPr>
          <w:p w:rsidR="00DC62C4" w:rsidRPr="00DC62C4" w:rsidRDefault="00DC62C4" w:rsidP="00DC62C4">
            <w:pPr>
              <w:jc w:val="center"/>
              <w:rPr>
                <w:rFonts w:eastAsia="Calibri"/>
                <w:sz w:val="24"/>
                <w:szCs w:val="24"/>
              </w:rPr>
            </w:pPr>
            <w:r w:rsidRPr="00DC62C4">
              <w:rPr>
                <w:rFonts w:eastAsia="Calibri"/>
                <w:sz w:val="24"/>
                <w:szCs w:val="24"/>
              </w:rPr>
              <w:t>3</w:t>
            </w:r>
          </w:p>
        </w:tc>
        <w:tc>
          <w:tcPr>
            <w:tcW w:w="1161" w:type="dxa"/>
            <w:vAlign w:val="center"/>
          </w:tcPr>
          <w:p w:rsidR="00DC62C4" w:rsidRPr="00DC62C4" w:rsidRDefault="00DC62C4" w:rsidP="00DC62C4">
            <w:pPr>
              <w:jc w:val="center"/>
              <w:rPr>
                <w:rFonts w:eastAsia="Calibri"/>
                <w:sz w:val="24"/>
                <w:szCs w:val="24"/>
              </w:rPr>
            </w:pPr>
            <w:r w:rsidRPr="00DC62C4">
              <w:rPr>
                <w:rFonts w:eastAsia="Calibri"/>
                <w:sz w:val="24"/>
                <w:szCs w:val="24"/>
              </w:rPr>
              <w:t>4</w:t>
            </w:r>
          </w:p>
        </w:tc>
        <w:tc>
          <w:tcPr>
            <w:tcW w:w="1276" w:type="dxa"/>
            <w:vAlign w:val="center"/>
          </w:tcPr>
          <w:p w:rsidR="00DC62C4" w:rsidRPr="00DC62C4" w:rsidRDefault="00DC62C4" w:rsidP="00DC62C4">
            <w:pPr>
              <w:jc w:val="center"/>
              <w:rPr>
                <w:rFonts w:eastAsia="Calibri"/>
                <w:sz w:val="24"/>
                <w:szCs w:val="24"/>
              </w:rPr>
            </w:pPr>
            <w:r w:rsidRPr="00DC62C4">
              <w:rPr>
                <w:rFonts w:eastAsia="Calibri"/>
                <w:sz w:val="24"/>
                <w:szCs w:val="24"/>
              </w:rPr>
              <w:t>5</w:t>
            </w:r>
          </w:p>
        </w:tc>
        <w:tc>
          <w:tcPr>
            <w:tcW w:w="1389" w:type="dxa"/>
            <w:vAlign w:val="center"/>
          </w:tcPr>
          <w:p w:rsidR="00DC62C4" w:rsidRPr="00DC62C4" w:rsidRDefault="00DC62C4" w:rsidP="00DC62C4">
            <w:pPr>
              <w:jc w:val="center"/>
              <w:rPr>
                <w:rFonts w:eastAsia="Calibri"/>
                <w:sz w:val="24"/>
                <w:szCs w:val="24"/>
              </w:rPr>
            </w:pPr>
            <w:r w:rsidRPr="00DC62C4">
              <w:rPr>
                <w:rFonts w:eastAsia="Calibri"/>
                <w:sz w:val="24"/>
                <w:szCs w:val="24"/>
              </w:rPr>
              <w:t>6</w:t>
            </w:r>
          </w:p>
        </w:tc>
        <w:tc>
          <w:tcPr>
            <w:tcW w:w="4421" w:type="dxa"/>
            <w:vAlign w:val="center"/>
          </w:tcPr>
          <w:p w:rsidR="00DC62C4" w:rsidRPr="00DC62C4" w:rsidRDefault="00DC62C4" w:rsidP="00DC62C4">
            <w:pPr>
              <w:jc w:val="center"/>
              <w:rPr>
                <w:rFonts w:eastAsia="Calibri"/>
                <w:sz w:val="24"/>
                <w:szCs w:val="24"/>
              </w:rPr>
            </w:pPr>
            <w:r w:rsidRPr="00DC62C4">
              <w:rPr>
                <w:rFonts w:eastAsia="Calibri"/>
                <w:sz w:val="24"/>
                <w:szCs w:val="24"/>
              </w:rPr>
              <w:t>7</w:t>
            </w:r>
          </w:p>
        </w:tc>
      </w:tr>
      <w:tr w:rsidR="00465CE0" w:rsidRPr="00C946CE" w:rsidTr="00465CE0">
        <w:trPr>
          <w:trHeight w:val="401"/>
          <w:jc w:val="center"/>
        </w:trPr>
        <w:tc>
          <w:tcPr>
            <w:tcW w:w="16047" w:type="dxa"/>
            <w:gridSpan w:val="7"/>
            <w:vAlign w:val="center"/>
          </w:tcPr>
          <w:p w:rsidR="00465CE0" w:rsidRPr="00C946CE" w:rsidRDefault="00465CE0" w:rsidP="00465CE0">
            <w:pPr>
              <w:pStyle w:val="a3"/>
              <w:jc w:val="center"/>
              <w:rPr>
                <w:b/>
                <w:i/>
                <w:sz w:val="24"/>
                <w:szCs w:val="24"/>
              </w:rPr>
            </w:pPr>
            <w:r w:rsidRPr="00172D56">
              <w:rPr>
                <w:b/>
                <w:i/>
                <w:sz w:val="22"/>
                <w:szCs w:val="24"/>
              </w:rPr>
              <w:t>Ціль 1. Підвищення ефективності розподілу та використання бюджетних коштів</w:t>
            </w:r>
          </w:p>
        </w:tc>
      </w:tr>
      <w:tr w:rsidR="00DC62C4" w:rsidRPr="00C946CE" w:rsidTr="00465CE0">
        <w:trPr>
          <w:jc w:val="center"/>
        </w:trPr>
        <w:tc>
          <w:tcPr>
            <w:tcW w:w="5247" w:type="dxa"/>
          </w:tcPr>
          <w:p w:rsidR="00536878" w:rsidRPr="00172D56" w:rsidRDefault="00536878" w:rsidP="00996C26">
            <w:pPr>
              <w:rPr>
                <w:rFonts w:eastAsia="Calibri"/>
                <w:sz w:val="22"/>
                <w:szCs w:val="24"/>
              </w:rPr>
            </w:pPr>
            <w:r w:rsidRPr="00172D56">
              <w:rPr>
                <w:rFonts w:eastAsia="Calibri"/>
                <w:sz w:val="22"/>
                <w:szCs w:val="24"/>
              </w:rPr>
              <w:t>Кількість балів України в Індексі відкритості бюджету (Open Budget Index), не менше, бали</w:t>
            </w:r>
          </w:p>
        </w:tc>
        <w:tc>
          <w:tcPr>
            <w:tcW w:w="1277" w:type="dxa"/>
            <w:vAlign w:val="center"/>
          </w:tcPr>
          <w:p w:rsidR="00536878" w:rsidRPr="00172D56" w:rsidRDefault="00536878" w:rsidP="00861FF2">
            <w:pPr>
              <w:jc w:val="center"/>
              <w:rPr>
                <w:sz w:val="22"/>
                <w:szCs w:val="22"/>
              </w:rPr>
            </w:pPr>
            <w:r w:rsidRPr="00172D56">
              <w:rPr>
                <w:sz w:val="22"/>
                <w:szCs w:val="22"/>
              </w:rPr>
              <w:t>54</w:t>
            </w:r>
          </w:p>
        </w:tc>
        <w:tc>
          <w:tcPr>
            <w:tcW w:w="1276" w:type="dxa"/>
            <w:vAlign w:val="center"/>
          </w:tcPr>
          <w:p w:rsidR="00536878" w:rsidRPr="00172D56" w:rsidRDefault="00536878" w:rsidP="00861FF2">
            <w:pPr>
              <w:jc w:val="center"/>
              <w:rPr>
                <w:sz w:val="22"/>
                <w:szCs w:val="22"/>
              </w:rPr>
            </w:pPr>
            <w:r w:rsidRPr="00172D56">
              <w:rPr>
                <w:sz w:val="22"/>
                <w:szCs w:val="22"/>
              </w:rPr>
              <w:t>54</w:t>
            </w:r>
          </w:p>
        </w:tc>
        <w:tc>
          <w:tcPr>
            <w:tcW w:w="1161" w:type="dxa"/>
            <w:vAlign w:val="center"/>
          </w:tcPr>
          <w:p w:rsidR="00536878" w:rsidRPr="00172D56" w:rsidRDefault="00536878" w:rsidP="00861FF2">
            <w:pPr>
              <w:jc w:val="center"/>
              <w:rPr>
                <w:sz w:val="22"/>
                <w:szCs w:val="22"/>
              </w:rPr>
            </w:pPr>
            <w:r w:rsidRPr="00172D56">
              <w:rPr>
                <w:sz w:val="22"/>
                <w:szCs w:val="22"/>
              </w:rPr>
              <w:t>57</w:t>
            </w:r>
          </w:p>
        </w:tc>
        <w:tc>
          <w:tcPr>
            <w:tcW w:w="1276" w:type="dxa"/>
            <w:vAlign w:val="center"/>
          </w:tcPr>
          <w:p w:rsidR="00536878" w:rsidRPr="00172D56" w:rsidRDefault="00536878" w:rsidP="00861FF2">
            <w:pPr>
              <w:jc w:val="center"/>
              <w:rPr>
                <w:sz w:val="22"/>
                <w:szCs w:val="22"/>
              </w:rPr>
            </w:pPr>
            <w:r w:rsidRPr="00172D56">
              <w:rPr>
                <w:sz w:val="22"/>
                <w:szCs w:val="22"/>
              </w:rPr>
              <w:t>-</w:t>
            </w:r>
          </w:p>
        </w:tc>
        <w:tc>
          <w:tcPr>
            <w:tcW w:w="1389" w:type="dxa"/>
            <w:vAlign w:val="center"/>
          </w:tcPr>
          <w:p w:rsidR="00536878" w:rsidRPr="00172D56" w:rsidRDefault="00536878" w:rsidP="00861FF2">
            <w:pPr>
              <w:jc w:val="center"/>
              <w:rPr>
                <w:sz w:val="22"/>
                <w:szCs w:val="22"/>
              </w:rPr>
            </w:pPr>
            <w:r w:rsidRPr="00172D56">
              <w:rPr>
                <w:sz w:val="22"/>
                <w:szCs w:val="22"/>
              </w:rPr>
              <w:t>-</w:t>
            </w:r>
          </w:p>
        </w:tc>
        <w:tc>
          <w:tcPr>
            <w:tcW w:w="4421" w:type="dxa"/>
          </w:tcPr>
          <w:p w:rsidR="00536878" w:rsidRPr="002D2AC2" w:rsidRDefault="00536878" w:rsidP="00861FF2">
            <w:pPr>
              <w:jc w:val="both"/>
              <w:rPr>
                <w:sz w:val="24"/>
                <w:szCs w:val="24"/>
              </w:rPr>
            </w:pPr>
            <w:r w:rsidRPr="00465CE0">
              <w:rPr>
                <w:szCs w:val="24"/>
              </w:rPr>
              <w:t>Оцінка проведена, результати очікуються в квітні 2020 року</w:t>
            </w:r>
          </w:p>
        </w:tc>
      </w:tr>
      <w:tr w:rsidR="00DC62C4" w:rsidRPr="00C946CE" w:rsidTr="00465CE0">
        <w:trPr>
          <w:trHeight w:val="828"/>
          <w:jc w:val="center"/>
        </w:trPr>
        <w:tc>
          <w:tcPr>
            <w:tcW w:w="5247" w:type="dxa"/>
          </w:tcPr>
          <w:p w:rsidR="00536878" w:rsidRPr="00172D56" w:rsidRDefault="00536878" w:rsidP="002D2AC2">
            <w:pPr>
              <w:rPr>
                <w:rFonts w:eastAsia="Calibri"/>
                <w:sz w:val="22"/>
                <w:szCs w:val="24"/>
              </w:rPr>
            </w:pPr>
            <w:r w:rsidRPr="00172D56">
              <w:rPr>
                <w:rFonts w:eastAsia="Calibri"/>
                <w:sz w:val="22"/>
                <w:szCs w:val="24"/>
              </w:rPr>
              <w:t>Частка коштів державного бюджету, щодо яких проведено огляд видатків, наростаючим підсумком</w:t>
            </w:r>
            <w:r w:rsidR="002D2AC2" w:rsidRPr="00172D56">
              <w:rPr>
                <w:rFonts w:eastAsia="Calibri"/>
                <w:sz w:val="22"/>
                <w:szCs w:val="24"/>
              </w:rPr>
              <w:t>, відс.</w:t>
            </w:r>
          </w:p>
        </w:tc>
        <w:tc>
          <w:tcPr>
            <w:tcW w:w="1277" w:type="dxa"/>
          </w:tcPr>
          <w:p w:rsidR="00536878" w:rsidRPr="00172D56" w:rsidRDefault="00536878" w:rsidP="00861FF2">
            <w:pPr>
              <w:jc w:val="center"/>
              <w:rPr>
                <w:sz w:val="22"/>
                <w:szCs w:val="22"/>
              </w:rPr>
            </w:pPr>
            <w:r w:rsidRPr="00172D56">
              <w:rPr>
                <w:sz w:val="22"/>
                <w:szCs w:val="22"/>
              </w:rPr>
              <w:t>-</w:t>
            </w:r>
          </w:p>
        </w:tc>
        <w:tc>
          <w:tcPr>
            <w:tcW w:w="1276" w:type="dxa"/>
          </w:tcPr>
          <w:p w:rsidR="00536878" w:rsidRPr="00172D56" w:rsidRDefault="00536878" w:rsidP="00861FF2">
            <w:pPr>
              <w:jc w:val="center"/>
              <w:rPr>
                <w:sz w:val="22"/>
                <w:szCs w:val="22"/>
              </w:rPr>
            </w:pPr>
            <w:r w:rsidRPr="00172D56">
              <w:rPr>
                <w:sz w:val="22"/>
                <w:szCs w:val="22"/>
              </w:rPr>
              <w:t>1,3</w:t>
            </w:r>
          </w:p>
        </w:tc>
        <w:tc>
          <w:tcPr>
            <w:tcW w:w="1161" w:type="dxa"/>
          </w:tcPr>
          <w:p w:rsidR="00536878" w:rsidRPr="00172D56" w:rsidRDefault="00536878" w:rsidP="00861FF2">
            <w:pPr>
              <w:jc w:val="center"/>
              <w:rPr>
                <w:sz w:val="22"/>
                <w:szCs w:val="22"/>
              </w:rPr>
            </w:pPr>
            <w:r w:rsidRPr="00172D56">
              <w:rPr>
                <w:sz w:val="22"/>
                <w:szCs w:val="22"/>
              </w:rPr>
              <w:t>2,5</w:t>
            </w:r>
          </w:p>
        </w:tc>
        <w:tc>
          <w:tcPr>
            <w:tcW w:w="1276" w:type="dxa"/>
          </w:tcPr>
          <w:p w:rsidR="00536878" w:rsidRPr="00172D56" w:rsidRDefault="00536878" w:rsidP="00861FF2">
            <w:pPr>
              <w:jc w:val="center"/>
              <w:rPr>
                <w:sz w:val="22"/>
                <w:szCs w:val="22"/>
              </w:rPr>
            </w:pPr>
            <w:r w:rsidRPr="00172D56">
              <w:rPr>
                <w:sz w:val="22"/>
                <w:szCs w:val="22"/>
              </w:rPr>
              <w:t>17,7</w:t>
            </w:r>
          </w:p>
        </w:tc>
        <w:tc>
          <w:tcPr>
            <w:tcW w:w="1389" w:type="dxa"/>
          </w:tcPr>
          <w:p w:rsidR="00536878" w:rsidRPr="00172D56" w:rsidRDefault="00D87642" w:rsidP="00861FF2">
            <w:pPr>
              <w:jc w:val="center"/>
              <w:rPr>
                <w:sz w:val="22"/>
                <w:szCs w:val="22"/>
              </w:rPr>
            </w:pPr>
            <w:r w:rsidRPr="00172D56">
              <w:rPr>
                <w:sz w:val="22"/>
                <w:szCs w:val="22"/>
              </w:rPr>
              <w:t>+</w:t>
            </w:r>
            <w:r w:rsidR="00536878" w:rsidRPr="00172D56">
              <w:rPr>
                <w:sz w:val="22"/>
                <w:szCs w:val="22"/>
              </w:rPr>
              <w:t>15,2</w:t>
            </w:r>
          </w:p>
        </w:tc>
        <w:tc>
          <w:tcPr>
            <w:tcW w:w="4421" w:type="dxa"/>
          </w:tcPr>
          <w:p w:rsidR="00536878" w:rsidRPr="004F76E3" w:rsidRDefault="00536878" w:rsidP="00861FF2">
            <w:pPr>
              <w:jc w:val="both"/>
            </w:pPr>
            <w:r w:rsidRPr="004F76E3">
              <w:t>Під час формування переліку сфер</w:t>
            </w:r>
            <w:r w:rsidR="00183013">
              <w:t xml:space="preserve"> діяльності</w:t>
            </w:r>
            <w:r w:rsidRPr="004F76E3">
              <w:t xml:space="preserve"> прийнято рішення провести огляд витрат у сфері пенсійного забезпечення в частині встановлення надбавок та підвищень до пенсій, призначених за пенсійними програмами, що фінансуються за рахунок коштів державного бюджету (за бюджетною програмою Міністерства соціальної політики «Фінансове забезпечення виплати пенсій, надбавок та підвищень до пенсій, призначених за пенсійними програмами, та дефіциту коштів Пенсійного фонду»). </w:t>
            </w:r>
          </w:p>
          <w:p w:rsidR="00536878" w:rsidRPr="004932E3" w:rsidRDefault="00536878" w:rsidP="00861FF2">
            <w:pPr>
              <w:jc w:val="both"/>
            </w:pPr>
            <w:r w:rsidRPr="004F76E3">
              <w:t>Звіт про проведення зазначеного огляду розглянули на засіданні Уряду 27.11.2019, за результатами якого надано доручення Мінсоцполітики разом з Мінфіном, Мінекономіки, Держаудитслужбою, Мін’юстом та Пенсійним фондом провести аудит Пенсійного фонду.</w:t>
            </w:r>
          </w:p>
        </w:tc>
      </w:tr>
      <w:tr w:rsidR="00172D56" w:rsidRPr="00C946CE" w:rsidTr="00465CE0">
        <w:trPr>
          <w:trHeight w:val="828"/>
          <w:jc w:val="center"/>
        </w:trPr>
        <w:tc>
          <w:tcPr>
            <w:tcW w:w="5247" w:type="dxa"/>
          </w:tcPr>
          <w:p w:rsidR="00172D56" w:rsidRPr="00172D56" w:rsidRDefault="00172D56" w:rsidP="00172D56">
            <w:pPr>
              <w:rPr>
                <w:sz w:val="22"/>
                <w:szCs w:val="24"/>
              </w:rPr>
            </w:pPr>
            <w:r w:rsidRPr="00172D56">
              <w:rPr>
                <w:sz w:val="22"/>
                <w:szCs w:val="24"/>
              </w:rPr>
              <w:t>Кількість наданих за результатами верифікації рекомендацій щодо виявлення недостовірної інформації, тис. од.</w:t>
            </w:r>
          </w:p>
        </w:tc>
        <w:tc>
          <w:tcPr>
            <w:tcW w:w="1277" w:type="dxa"/>
          </w:tcPr>
          <w:p w:rsidR="00172D56" w:rsidRPr="00172D56" w:rsidRDefault="00172D56" w:rsidP="00172D56">
            <w:pPr>
              <w:pStyle w:val="Other0"/>
              <w:shd w:val="clear" w:color="auto" w:fill="auto"/>
              <w:jc w:val="center"/>
              <w:rPr>
                <w:sz w:val="22"/>
                <w:szCs w:val="22"/>
              </w:rPr>
            </w:pPr>
            <w:r w:rsidRPr="00172D56">
              <w:rPr>
                <w:sz w:val="22"/>
                <w:szCs w:val="22"/>
              </w:rPr>
              <w:t>25 820,4</w:t>
            </w:r>
          </w:p>
        </w:tc>
        <w:tc>
          <w:tcPr>
            <w:tcW w:w="1276" w:type="dxa"/>
          </w:tcPr>
          <w:p w:rsidR="00172D56" w:rsidRPr="00172D56" w:rsidRDefault="00172D56" w:rsidP="00172D56">
            <w:pPr>
              <w:pStyle w:val="Other0"/>
              <w:shd w:val="clear" w:color="auto" w:fill="auto"/>
              <w:jc w:val="center"/>
              <w:rPr>
                <w:sz w:val="22"/>
                <w:szCs w:val="22"/>
              </w:rPr>
            </w:pPr>
            <w:r w:rsidRPr="00172D56">
              <w:rPr>
                <w:sz w:val="22"/>
                <w:szCs w:val="22"/>
              </w:rPr>
              <w:t>7 562,0</w:t>
            </w:r>
          </w:p>
        </w:tc>
        <w:tc>
          <w:tcPr>
            <w:tcW w:w="1161" w:type="dxa"/>
          </w:tcPr>
          <w:p w:rsidR="00172D56" w:rsidRPr="00172D56" w:rsidRDefault="00172D56" w:rsidP="00172D56">
            <w:pPr>
              <w:pStyle w:val="Other0"/>
              <w:shd w:val="clear" w:color="auto" w:fill="auto"/>
              <w:jc w:val="center"/>
              <w:rPr>
                <w:sz w:val="22"/>
                <w:szCs w:val="22"/>
              </w:rPr>
            </w:pPr>
            <w:r w:rsidRPr="00172D56">
              <w:rPr>
                <w:sz w:val="22"/>
                <w:szCs w:val="22"/>
              </w:rPr>
              <w:t>18 900,0</w:t>
            </w:r>
          </w:p>
        </w:tc>
        <w:tc>
          <w:tcPr>
            <w:tcW w:w="1276" w:type="dxa"/>
          </w:tcPr>
          <w:p w:rsidR="00172D56" w:rsidRPr="00172D56" w:rsidRDefault="00172D56" w:rsidP="00172D56">
            <w:pPr>
              <w:pStyle w:val="Other0"/>
              <w:shd w:val="clear" w:color="auto" w:fill="auto"/>
              <w:jc w:val="center"/>
              <w:rPr>
                <w:sz w:val="22"/>
                <w:szCs w:val="22"/>
              </w:rPr>
            </w:pPr>
            <w:r w:rsidRPr="00172D56">
              <w:rPr>
                <w:sz w:val="22"/>
                <w:szCs w:val="22"/>
              </w:rPr>
              <w:t>33 629,6</w:t>
            </w:r>
          </w:p>
        </w:tc>
        <w:tc>
          <w:tcPr>
            <w:tcW w:w="1389" w:type="dxa"/>
          </w:tcPr>
          <w:p w:rsidR="00172D56" w:rsidRPr="00172D56" w:rsidRDefault="00172D56" w:rsidP="00172D56">
            <w:pPr>
              <w:pStyle w:val="Other0"/>
              <w:shd w:val="clear" w:color="auto" w:fill="auto"/>
              <w:jc w:val="center"/>
              <w:rPr>
                <w:sz w:val="22"/>
                <w:szCs w:val="22"/>
              </w:rPr>
            </w:pPr>
            <w:r w:rsidRPr="00172D56">
              <w:rPr>
                <w:sz w:val="22"/>
                <w:szCs w:val="22"/>
              </w:rPr>
              <w:t>+14 729,6</w:t>
            </w:r>
          </w:p>
        </w:tc>
        <w:tc>
          <w:tcPr>
            <w:tcW w:w="4421" w:type="dxa"/>
          </w:tcPr>
          <w:p w:rsidR="00172D56" w:rsidRPr="007275D6" w:rsidRDefault="00172D56" w:rsidP="00172D56">
            <w:pPr>
              <w:jc w:val="both"/>
            </w:pPr>
            <w:r w:rsidRPr="007275D6">
              <w:t>Завдяки вдосконаленню алгоритмів верифікації, розробці нових правил верифікації було покращено якість роботи із верифікаці</w:t>
            </w:r>
            <w:r>
              <w:t xml:space="preserve">ї та виявлено більшу кількість </w:t>
            </w:r>
            <w:r w:rsidRPr="007275D6">
              <w:t>невідповідностей даних про отримувачів державних виплат та збільшено кількість наданих рекомендацій.</w:t>
            </w:r>
          </w:p>
        </w:tc>
      </w:tr>
      <w:tr w:rsidR="00172D56" w:rsidRPr="00C946CE" w:rsidTr="00465CE0">
        <w:trPr>
          <w:trHeight w:val="828"/>
          <w:jc w:val="center"/>
        </w:trPr>
        <w:tc>
          <w:tcPr>
            <w:tcW w:w="5247" w:type="dxa"/>
          </w:tcPr>
          <w:p w:rsidR="00172D56" w:rsidRPr="00172D56" w:rsidRDefault="00172D56" w:rsidP="00172D56">
            <w:pPr>
              <w:jc w:val="both"/>
              <w:rPr>
                <w:sz w:val="22"/>
                <w:szCs w:val="24"/>
              </w:rPr>
            </w:pPr>
            <w:r w:rsidRPr="00172D56">
              <w:rPr>
                <w:sz w:val="22"/>
                <w:szCs w:val="24"/>
              </w:rPr>
              <w:lastRenderedPageBreak/>
              <w:t>Частка трансфертів у доходах місцевих бюджетів, відс.</w:t>
            </w:r>
          </w:p>
        </w:tc>
        <w:tc>
          <w:tcPr>
            <w:tcW w:w="1277" w:type="dxa"/>
          </w:tcPr>
          <w:p w:rsidR="00172D56" w:rsidRPr="00172D56" w:rsidRDefault="00172D56" w:rsidP="00172D56">
            <w:pPr>
              <w:jc w:val="center"/>
              <w:rPr>
                <w:sz w:val="22"/>
                <w:szCs w:val="22"/>
              </w:rPr>
            </w:pPr>
            <w:r w:rsidRPr="00172D56">
              <w:rPr>
                <w:sz w:val="22"/>
                <w:szCs w:val="22"/>
              </w:rPr>
              <w:t>54,3</w:t>
            </w:r>
          </w:p>
        </w:tc>
        <w:tc>
          <w:tcPr>
            <w:tcW w:w="1276" w:type="dxa"/>
          </w:tcPr>
          <w:p w:rsidR="00172D56" w:rsidRPr="00172D56" w:rsidRDefault="00172D56" w:rsidP="00172D56">
            <w:pPr>
              <w:jc w:val="center"/>
              <w:rPr>
                <w:sz w:val="22"/>
                <w:szCs w:val="22"/>
              </w:rPr>
            </w:pPr>
            <w:r w:rsidRPr="00172D56">
              <w:rPr>
                <w:sz w:val="22"/>
                <w:szCs w:val="22"/>
              </w:rPr>
              <w:t>55,8</w:t>
            </w:r>
          </w:p>
        </w:tc>
        <w:tc>
          <w:tcPr>
            <w:tcW w:w="1161" w:type="dxa"/>
          </w:tcPr>
          <w:p w:rsidR="00172D56" w:rsidRPr="00172D56" w:rsidRDefault="00172D56" w:rsidP="00172D56">
            <w:pPr>
              <w:jc w:val="center"/>
              <w:rPr>
                <w:sz w:val="22"/>
                <w:szCs w:val="22"/>
              </w:rPr>
            </w:pPr>
            <w:r w:rsidRPr="00172D56">
              <w:rPr>
                <w:sz w:val="22"/>
                <w:szCs w:val="22"/>
              </w:rPr>
              <w:t>53</w:t>
            </w:r>
          </w:p>
        </w:tc>
        <w:tc>
          <w:tcPr>
            <w:tcW w:w="1276" w:type="dxa"/>
          </w:tcPr>
          <w:p w:rsidR="00172D56" w:rsidRPr="00172D56" w:rsidRDefault="00172D56" w:rsidP="00172D56">
            <w:pPr>
              <w:jc w:val="center"/>
              <w:rPr>
                <w:sz w:val="22"/>
                <w:szCs w:val="22"/>
              </w:rPr>
            </w:pPr>
            <w:r w:rsidRPr="00172D56">
              <w:rPr>
                <w:sz w:val="22"/>
                <w:szCs w:val="22"/>
              </w:rPr>
              <w:t>46,4</w:t>
            </w:r>
          </w:p>
        </w:tc>
        <w:tc>
          <w:tcPr>
            <w:tcW w:w="1389" w:type="dxa"/>
          </w:tcPr>
          <w:p w:rsidR="00172D56" w:rsidRPr="00172D56" w:rsidRDefault="00172D56" w:rsidP="00172D56">
            <w:pPr>
              <w:ind w:left="360"/>
              <w:jc w:val="center"/>
              <w:rPr>
                <w:sz w:val="22"/>
                <w:szCs w:val="22"/>
              </w:rPr>
            </w:pPr>
            <w:r w:rsidRPr="00172D56">
              <w:rPr>
                <w:sz w:val="22"/>
                <w:szCs w:val="22"/>
              </w:rPr>
              <w:t>-6,6</w:t>
            </w:r>
          </w:p>
        </w:tc>
        <w:tc>
          <w:tcPr>
            <w:tcW w:w="4421" w:type="dxa"/>
          </w:tcPr>
          <w:p w:rsidR="00172D56" w:rsidRPr="00357BCD" w:rsidRDefault="00172D56" w:rsidP="00172D56">
            <w:pPr>
              <w:jc w:val="both"/>
            </w:pPr>
            <w:r w:rsidRPr="00357BCD">
              <w:t xml:space="preserve">У зв’язку із проведенням структурних галузевих реформ частка трансфертів у доходах місцевих бюджетів зменшилась. Крім того, фактором, який вплинув на зміну показника, є підвищення фінансової спроможності місцевих бюджетів. </w:t>
            </w:r>
          </w:p>
        </w:tc>
      </w:tr>
      <w:tr w:rsidR="00172D56" w:rsidRPr="00790798" w:rsidTr="002B03DD">
        <w:trPr>
          <w:trHeight w:val="276"/>
          <w:jc w:val="center"/>
        </w:trPr>
        <w:tc>
          <w:tcPr>
            <w:tcW w:w="5247" w:type="dxa"/>
          </w:tcPr>
          <w:p w:rsidR="00172D56" w:rsidRPr="00172D56" w:rsidRDefault="00172D56" w:rsidP="00172D56">
            <w:pPr>
              <w:rPr>
                <w:rFonts w:eastAsia="Calibri"/>
                <w:sz w:val="22"/>
                <w:szCs w:val="24"/>
              </w:rPr>
            </w:pPr>
            <w:r w:rsidRPr="00172D56">
              <w:rPr>
                <w:rFonts w:eastAsia="Calibri"/>
                <w:sz w:val="22"/>
                <w:szCs w:val="24"/>
              </w:rPr>
              <w:t>Кількість розпорядників  та одержувачів бюджетних коштів, які здійснюють платежі через систему дистанційного обслуговування «Клієнт казначейства – Казначейство», од.</w:t>
            </w:r>
          </w:p>
        </w:tc>
        <w:tc>
          <w:tcPr>
            <w:tcW w:w="1277" w:type="dxa"/>
          </w:tcPr>
          <w:p w:rsidR="00172D56" w:rsidRPr="002B03DD" w:rsidRDefault="00172D56" w:rsidP="002B03DD">
            <w:pPr>
              <w:spacing w:before="240"/>
              <w:jc w:val="center"/>
              <w:rPr>
                <w:rFonts w:eastAsia="Calibri"/>
                <w:color w:val="000000" w:themeColor="text1"/>
                <w:sz w:val="22"/>
                <w:szCs w:val="22"/>
              </w:rPr>
            </w:pPr>
            <w:r w:rsidRPr="002B03DD">
              <w:rPr>
                <w:rFonts w:eastAsia="Calibri"/>
                <w:color w:val="000000" w:themeColor="text1"/>
                <w:sz w:val="22"/>
                <w:szCs w:val="22"/>
              </w:rPr>
              <w:t>6886</w:t>
            </w:r>
          </w:p>
        </w:tc>
        <w:tc>
          <w:tcPr>
            <w:tcW w:w="1276" w:type="dxa"/>
          </w:tcPr>
          <w:p w:rsidR="00172D56" w:rsidRPr="002B03DD" w:rsidRDefault="00172D56" w:rsidP="002B03DD">
            <w:pPr>
              <w:spacing w:before="240"/>
              <w:jc w:val="center"/>
              <w:rPr>
                <w:rFonts w:eastAsia="Calibri"/>
                <w:color w:val="000000" w:themeColor="text1"/>
                <w:sz w:val="22"/>
                <w:szCs w:val="22"/>
              </w:rPr>
            </w:pPr>
            <w:r w:rsidRPr="002B03DD">
              <w:rPr>
                <w:rFonts w:eastAsia="Calibri"/>
                <w:color w:val="000000" w:themeColor="text1"/>
                <w:sz w:val="22"/>
                <w:szCs w:val="22"/>
              </w:rPr>
              <w:t>31 481</w:t>
            </w:r>
          </w:p>
        </w:tc>
        <w:tc>
          <w:tcPr>
            <w:tcW w:w="1161" w:type="dxa"/>
          </w:tcPr>
          <w:p w:rsidR="00172D56" w:rsidRPr="00172D56" w:rsidRDefault="00172D56" w:rsidP="002B03DD">
            <w:pPr>
              <w:spacing w:before="240"/>
              <w:jc w:val="center"/>
              <w:rPr>
                <w:rFonts w:eastAsia="Calibri"/>
                <w:sz w:val="22"/>
                <w:szCs w:val="22"/>
              </w:rPr>
            </w:pPr>
            <w:r w:rsidRPr="002B03DD">
              <w:rPr>
                <w:rFonts w:eastAsia="Calibri"/>
                <w:color w:val="000000" w:themeColor="text1"/>
                <w:sz w:val="22"/>
                <w:szCs w:val="22"/>
              </w:rPr>
              <w:t>50 000</w:t>
            </w:r>
          </w:p>
        </w:tc>
        <w:tc>
          <w:tcPr>
            <w:tcW w:w="1276" w:type="dxa"/>
          </w:tcPr>
          <w:p w:rsidR="00172D56" w:rsidRPr="00172D56" w:rsidRDefault="00172D56" w:rsidP="002B03DD">
            <w:pPr>
              <w:spacing w:before="240"/>
              <w:jc w:val="center"/>
              <w:rPr>
                <w:rFonts w:eastAsia="Calibri"/>
                <w:sz w:val="22"/>
                <w:szCs w:val="22"/>
              </w:rPr>
            </w:pPr>
            <w:r w:rsidRPr="00172D56">
              <w:rPr>
                <w:rFonts w:eastAsia="Calibri"/>
                <w:sz w:val="22"/>
                <w:szCs w:val="22"/>
              </w:rPr>
              <w:t>35 636</w:t>
            </w:r>
          </w:p>
        </w:tc>
        <w:tc>
          <w:tcPr>
            <w:tcW w:w="1389" w:type="dxa"/>
          </w:tcPr>
          <w:p w:rsidR="00172D56" w:rsidRPr="00172D56" w:rsidRDefault="00172D56" w:rsidP="002B03DD">
            <w:pPr>
              <w:spacing w:before="240"/>
              <w:jc w:val="center"/>
              <w:rPr>
                <w:rFonts w:eastAsia="Calibri"/>
                <w:sz w:val="22"/>
                <w:szCs w:val="22"/>
              </w:rPr>
            </w:pPr>
            <w:r w:rsidRPr="00172D56">
              <w:rPr>
                <w:rFonts w:eastAsia="Calibri"/>
                <w:sz w:val="22"/>
                <w:szCs w:val="22"/>
                <w:lang w:val="en-US"/>
              </w:rPr>
              <w:t>-</w:t>
            </w:r>
            <w:r w:rsidRPr="00172D56">
              <w:rPr>
                <w:rFonts w:eastAsia="Calibri"/>
                <w:sz w:val="22"/>
                <w:szCs w:val="22"/>
              </w:rPr>
              <w:t>14 364</w:t>
            </w:r>
          </w:p>
        </w:tc>
        <w:tc>
          <w:tcPr>
            <w:tcW w:w="4421" w:type="dxa"/>
          </w:tcPr>
          <w:p w:rsidR="00172D56" w:rsidRPr="00357BCD" w:rsidRDefault="00172D56" w:rsidP="00172D56">
            <w:pPr>
              <w:jc w:val="both"/>
            </w:pPr>
            <w:r w:rsidRPr="00357BCD">
              <w:t>Серед установ-учасників бюджетного процесу, які не використовують СДО найбільшу частину (68%) складають одержувачі (у тому числі громадські організації та об’єднання громадян, ОСББ та інші житлово-комунальні заклади).  Ці установи не мають належного технічного оснащення, офісних приміщень та</w:t>
            </w:r>
            <w:r>
              <w:t>,</w:t>
            </w:r>
            <w:r w:rsidRPr="00357BCD">
              <w:t xml:space="preserve"> здебільшого</w:t>
            </w:r>
            <w:r>
              <w:t>,</w:t>
            </w:r>
            <w:r w:rsidRPr="00357BCD">
              <w:t xml:space="preserve"> проводять разові операції або здійснюють 5-10 транзакцій на рік.  Розпорядники, що не використовують СДО</w:t>
            </w:r>
            <w:r>
              <w:t>,</w:t>
            </w:r>
            <w:r w:rsidRPr="00357BCD">
              <w:t xml:space="preserve"> – це установи</w:t>
            </w:r>
            <w:r>
              <w:t>,</w:t>
            </w:r>
            <w:r w:rsidRPr="00357BCD">
              <w:t xml:space="preserve"> розташовані у віддалених населених пунктах, де відсутній стабільний Інтернет-зв’язок, установи</w:t>
            </w:r>
            <w:r>
              <w:t>,</w:t>
            </w:r>
            <w:r w:rsidRPr="00357BCD">
              <w:t xml:space="preserve"> що знаходяться у стані реорганізації\ ліквідації, а також виборчі комісії (функціонують лише на час проведення виборів) .</w:t>
            </w:r>
          </w:p>
        </w:tc>
      </w:tr>
      <w:tr w:rsidR="00172D56" w:rsidRPr="00790798" w:rsidTr="00465CE0">
        <w:trPr>
          <w:trHeight w:val="276"/>
          <w:jc w:val="center"/>
        </w:trPr>
        <w:tc>
          <w:tcPr>
            <w:tcW w:w="5247" w:type="dxa"/>
          </w:tcPr>
          <w:p w:rsidR="00172D56" w:rsidRPr="00172D56" w:rsidRDefault="00172D56" w:rsidP="00172D56">
            <w:pPr>
              <w:rPr>
                <w:rFonts w:eastAsia="Calibri"/>
                <w:sz w:val="22"/>
                <w:szCs w:val="24"/>
              </w:rPr>
            </w:pPr>
            <w:r w:rsidRPr="00172D56">
              <w:rPr>
                <w:rFonts w:eastAsia="Calibri"/>
                <w:sz w:val="22"/>
                <w:szCs w:val="24"/>
              </w:rPr>
              <w:t>Кількість розпорядників  та одержувачів бюджетних коштів, щодо яких здійснюється казначейське обслуговування, од.</w:t>
            </w:r>
          </w:p>
        </w:tc>
        <w:tc>
          <w:tcPr>
            <w:tcW w:w="1277" w:type="dxa"/>
          </w:tcPr>
          <w:p w:rsidR="00172D56" w:rsidRPr="002B03DD" w:rsidRDefault="00172D56" w:rsidP="00172D56">
            <w:pPr>
              <w:jc w:val="center"/>
              <w:rPr>
                <w:rFonts w:eastAsia="Calibri"/>
                <w:color w:val="000000" w:themeColor="text1"/>
                <w:sz w:val="22"/>
                <w:szCs w:val="22"/>
              </w:rPr>
            </w:pPr>
            <w:r w:rsidRPr="002B03DD">
              <w:rPr>
                <w:rFonts w:eastAsia="Calibri"/>
                <w:color w:val="000000" w:themeColor="text1"/>
                <w:sz w:val="22"/>
                <w:szCs w:val="22"/>
              </w:rPr>
              <w:t>52960</w:t>
            </w:r>
          </w:p>
        </w:tc>
        <w:tc>
          <w:tcPr>
            <w:tcW w:w="1276" w:type="dxa"/>
          </w:tcPr>
          <w:p w:rsidR="00172D56" w:rsidRPr="002B03DD" w:rsidRDefault="00172D56" w:rsidP="00172D56">
            <w:pPr>
              <w:jc w:val="center"/>
              <w:rPr>
                <w:rFonts w:eastAsia="Calibri"/>
                <w:color w:val="000000" w:themeColor="text1"/>
                <w:sz w:val="22"/>
                <w:szCs w:val="22"/>
              </w:rPr>
            </w:pPr>
            <w:r w:rsidRPr="002B03DD">
              <w:rPr>
                <w:rFonts w:eastAsia="Calibri"/>
                <w:color w:val="000000" w:themeColor="text1"/>
                <w:sz w:val="22"/>
                <w:szCs w:val="22"/>
              </w:rPr>
              <w:t>45158</w:t>
            </w:r>
          </w:p>
        </w:tc>
        <w:tc>
          <w:tcPr>
            <w:tcW w:w="1161" w:type="dxa"/>
          </w:tcPr>
          <w:p w:rsidR="00172D56" w:rsidRPr="00172D56" w:rsidRDefault="00172D56" w:rsidP="00172D56">
            <w:pPr>
              <w:jc w:val="center"/>
              <w:rPr>
                <w:rFonts w:eastAsia="Calibri"/>
                <w:sz w:val="22"/>
                <w:szCs w:val="22"/>
              </w:rPr>
            </w:pPr>
            <w:r w:rsidRPr="00172D56">
              <w:rPr>
                <w:rFonts w:eastAsia="Calibri"/>
                <w:sz w:val="22"/>
                <w:szCs w:val="22"/>
              </w:rPr>
              <w:t>46650</w:t>
            </w:r>
          </w:p>
        </w:tc>
        <w:tc>
          <w:tcPr>
            <w:tcW w:w="1276" w:type="dxa"/>
          </w:tcPr>
          <w:p w:rsidR="00172D56" w:rsidRPr="00172D56" w:rsidRDefault="00172D56" w:rsidP="00172D56">
            <w:pPr>
              <w:jc w:val="center"/>
              <w:rPr>
                <w:rFonts w:eastAsia="Calibri"/>
                <w:sz w:val="22"/>
                <w:szCs w:val="22"/>
              </w:rPr>
            </w:pPr>
            <w:r w:rsidRPr="00172D56">
              <w:rPr>
                <w:rFonts w:eastAsia="Calibri"/>
                <w:sz w:val="22"/>
                <w:szCs w:val="22"/>
              </w:rPr>
              <w:t>45560</w:t>
            </w:r>
          </w:p>
        </w:tc>
        <w:tc>
          <w:tcPr>
            <w:tcW w:w="1389" w:type="dxa"/>
          </w:tcPr>
          <w:p w:rsidR="00172D56" w:rsidRPr="00172D56" w:rsidRDefault="00172D56" w:rsidP="00172D56">
            <w:pPr>
              <w:jc w:val="center"/>
              <w:rPr>
                <w:rFonts w:eastAsia="Calibri"/>
                <w:sz w:val="22"/>
                <w:szCs w:val="22"/>
              </w:rPr>
            </w:pPr>
            <w:r w:rsidRPr="00172D56">
              <w:rPr>
                <w:rFonts w:eastAsia="Calibri"/>
                <w:sz w:val="22"/>
                <w:szCs w:val="22"/>
              </w:rPr>
              <w:t>-1090</w:t>
            </w:r>
          </w:p>
        </w:tc>
        <w:tc>
          <w:tcPr>
            <w:tcW w:w="4421" w:type="dxa"/>
          </w:tcPr>
          <w:p w:rsidR="00172D56" w:rsidRPr="00357BCD" w:rsidRDefault="00172D56" w:rsidP="00172D56">
            <w:pPr>
              <w:jc w:val="both"/>
            </w:pPr>
            <w:r w:rsidRPr="00357BCD">
              <w:t>У 2019 році у Єдиній мережі зареєстровано 53 198 розпорядників/одержувачів коштів державного та місцевих бюджетів, при цьому частина установ одночасно є розпорядником/одержувачем коштів у мережі двох або більше бюджетів та/або відомств. Із кожної установою укладається один договір на розрахунково-касове обслуговування (та відповідно на дистанційне обслуговування), незалежно від кількості відкритих рахунків та кількості бюджетів, як</w:t>
            </w:r>
            <w:r>
              <w:t>і</w:t>
            </w:r>
            <w:r w:rsidRPr="00357BCD">
              <w:t xml:space="preserve"> включили зазначену установу до своєї мережі. Фактична кількість установ-учасників бюджетного процесу, яких обслуговують органи казначейства, менша за кількість розпорядників\одержувачів у мережі і становить 45 560 установ.</w:t>
            </w:r>
          </w:p>
        </w:tc>
      </w:tr>
      <w:tr w:rsidR="00172D56" w:rsidRPr="00C946CE" w:rsidTr="002B03DD">
        <w:trPr>
          <w:trHeight w:val="276"/>
          <w:jc w:val="center"/>
        </w:trPr>
        <w:tc>
          <w:tcPr>
            <w:tcW w:w="5247" w:type="dxa"/>
          </w:tcPr>
          <w:p w:rsidR="00172D56" w:rsidRPr="00172D56" w:rsidRDefault="00172D56" w:rsidP="00172D56">
            <w:pPr>
              <w:rPr>
                <w:rFonts w:eastAsia="Calibri"/>
                <w:sz w:val="22"/>
                <w:szCs w:val="24"/>
              </w:rPr>
            </w:pPr>
            <w:r w:rsidRPr="00172D56">
              <w:rPr>
                <w:rFonts w:eastAsia="Calibri"/>
                <w:sz w:val="22"/>
                <w:szCs w:val="24"/>
              </w:rPr>
              <w:t>Рівень впровадження системи дистанційного обслуговування «Клієнт казначейства – Казначейство», відс.</w:t>
            </w:r>
          </w:p>
        </w:tc>
        <w:tc>
          <w:tcPr>
            <w:tcW w:w="1277" w:type="dxa"/>
          </w:tcPr>
          <w:p w:rsidR="00172D56" w:rsidRPr="00172D56" w:rsidRDefault="00172D56" w:rsidP="002B03DD">
            <w:pPr>
              <w:spacing w:before="240"/>
              <w:jc w:val="center"/>
              <w:rPr>
                <w:rFonts w:eastAsia="Calibri"/>
                <w:sz w:val="22"/>
                <w:szCs w:val="22"/>
              </w:rPr>
            </w:pPr>
            <w:r w:rsidRPr="002B03DD">
              <w:rPr>
                <w:rFonts w:eastAsia="Calibri"/>
                <w:color w:val="000000" w:themeColor="text1"/>
                <w:sz w:val="22"/>
                <w:szCs w:val="22"/>
              </w:rPr>
              <w:t>13</w:t>
            </w:r>
          </w:p>
        </w:tc>
        <w:tc>
          <w:tcPr>
            <w:tcW w:w="1276" w:type="dxa"/>
          </w:tcPr>
          <w:p w:rsidR="00172D56" w:rsidRPr="00172D56" w:rsidRDefault="00172D56" w:rsidP="002B03DD">
            <w:pPr>
              <w:spacing w:before="240"/>
              <w:jc w:val="center"/>
              <w:rPr>
                <w:rFonts w:eastAsia="Calibri"/>
                <w:sz w:val="22"/>
                <w:szCs w:val="22"/>
              </w:rPr>
            </w:pPr>
            <w:r w:rsidRPr="00172D56">
              <w:rPr>
                <w:rFonts w:eastAsia="Calibri"/>
                <w:sz w:val="22"/>
                <w:szCs w:val="22"/>
              </w:rPr>
              <w:t>70</w:t>
            </w:r>
          </w:p>
        </w:tc>
        <w:tc>
          <w:tcPr>
            <w:tcW w:w="1161" w:type="dxa"/>
          </w:tcPr>
          <w:p w:rsidR="00172D56" w:rsidRPr="00172D56" w:rsidRDefault="00172D56" w:rsidP="002B03DD">
            <w:pPr>
              <w:spacing w:before="240"/>
              <w:jc w:val="center"/>
              <w:rPr>
                <w:rFonts w:eastAsia="Calibri"/>
                <w:sz w:val="22"/>
                <w:szCs w:val="22"/>
              </w:rPr>
            </w:pPr>
            <w:r w:rsidRPr="00172D56">
              <w:rPr>
                <w:rFonts w:eastAsia="Calibri"/>
                <w:sz w:val="22"/>
                <w:szCs w:val="22"/>
              </w:rPr>
              <w:t>100</w:t>
            </w:r>
          </w:p>
        </w:tc>
        <w:tc>
          <w:tcPr>
            <w:tcW w:w="1276" w:type="dxa"/>
          </w:tcPr>
          <w:p w:rsidR="00172D56" w:rsidRPr="00172D56" w:rsidRDefault="00172D56" w:rsidP="002B03DD">
            <w:pPr>
              <w:spacing w:before="240"/>
              <w:jc w:val="center"/>
              <w:rPr>
                <w:rFonts w:eastAsia="Calibri"/>
                <w:sz w:val="22"/>
                <w:szCs w:val="22"/>
              </w:rPr>
            </w:pPr>
            <w:r w:rsidRPr="00172D56">
              <w:rPr>
                <w:rFonts w:eastAsia="Calibri"/>
                <w:sz w:val="22"/>
                <w:szCs w:val="22"/>
              </w:rPr>
              <w:t>78</w:t>
            </w:r>
          </w:p>
        </w:tc>
        <w:tc>
          <w:tcPr>
            <w:tcW w:w="1389" w:type="dxa"/>
          </w:tcPr>
          <w:p w:rsidR="00172D56" w:rsidRPr="00172D56" w:rsidRDefault="00172D56" w:rsidP="002B03DD">
            <w:pPr>
              <w:spacing w:before="240"/>
              <w:jc w:val="center"/>
              <w:rPr>
                <w:rFonts w:eastAsia="Calibri"/>
                <w:sz w:val="22"/>
                <w:szCs w:val="22"/>
                <w:lang w:val="ru-RU"/>
              </w:rPr>
            </w:pPr>
            <w:r w:rsidRPr="00172D56">
              <w:rPr>
                <w:rFonts w:eastAsia="Calibri"/>
                <w:sz w:val="22"/>
                <w:szCs w:val="22"/>
              </w:rPr>
              <w:t>-22</w:t>
            </w:r>
          </w:p>
        </w:tc>
        <w:tc>
          <w:tcPr>
            <w:tcW w:w="4421" w:type="dxa"/>
          </w:tcPr>
          <w:p w:rsidR="00172D56" w:rsidRPr="00357BCD" w:rsidRDefault="00172D56" w:rsidP="00465CE0">
            <w:pPr>
              <w:jc w:val="both"/>
            </w:pPr>
            <w:r w:rsidRPr="00357BCD">
              <w:t xml:space="preserve">Окремі категорії клієнтів (22%) не мають технічної можливості подавати документи у електронному вигляді за допомогою дистанційної системи (у клієнта відсутній стабільний Інтернет-зв’язок та\або неналежне </w:t>
            </w:r>
            <w:r w:rsidRPr="00357BCD">
              <w:lastRenderedPageBreak/>
              <w:t>технічне оснащення) та\або які співпрацюють із Казначейством на нерегулярній основі (проводять разові операції або здійснюють 5-10 транзакцій на рік).</w:t>
            </w:r>
          </w:p>
        </w:tc>
      </w:tr>
      <w:tr w:rsidR="00172D56" w:rsidRPr="00C946CE" w:rsidTr="00465CE0">
        <w:trPr>
          <w:trHeight w:val="276"/>
          <w:jc w:val="center"/>
        </w:trPr>
        <w:tc>
          <w:tcPr>
            <w:tcW w:w="16047" w:type="dxa"/>
            <w:gridSpan w:val="7"/>
          </w:tcPr>
          <w:p w:rsidR="00172D56" w:rsidRPr="00465CE0" w:rsidRDefault="00172D56" w:rsidP="00172D56">
            <w:pPr>
              <w:jc w:val="both"/>
              <w:rPr>
                <w:rFonts w:eastAsia="Calibri"/>
                <w:sz w:val="22"/>
                <w:szCs w:val="24"/>
              </w:rPr>
            </w:pPr>
            <w:r w:rsidRPr="00465CE0">
              <w:rPr>
                <w:rFonts w:ascii="Cambria" w:eastAsia="Calibri" w:hAnsi="Cambria" w:cs="Cambria"/>
                <w:b/>
                <w:sz w:val="22"/>
                <w:szCs w:val="24"/>
              </w:rPr>
              <w:lastRenderedPageBreak/>
              <w:t>Висновки</w:t>
            </w:r>
            <w:r w:rsidRPr="00465CE0">
              <w:rPr>
                <w:rFonts w:ascii="Algerian" w:eastAsia="Calibri" w:hAnsi="Algerian"/>
                <w:b/>
                <w:sz w:val="22"/>
                <w:szCs w:val="24"/>
              </w:rPr>
              <w:t xml:space="preserve"> </w:t>
            </w:r>
            <w:r w:rsidRPr="00465CE0">
              <w:rPr>
                <w:rFonts w:ascii="Cambria" w:eastAsia="Calibri" w:hAnsi="Cambria" w:cs="Cambria"/>
                <w:b/>
                <w:sz w:val="22"/>
                <w:szCs w:val="24"/>
              </w:rPr>
              <w:t>про</w:t>
            </w:r>
            <w:r w:rsidRPr="00465CE0">
              <w:rPr>
                <w:rFonts w:ascii="Algerian" w:eastAsia="Calibri" w:hAnsi="Algerian"/>
                <w:b/>
                <w:sz w:val="22"/>
                <w:szCs w:val="24"/>
              </w:rPr>
              <w:t xml:space="preserve"> </w:t>
            </w:r>
            <w:r w:rsidRPr="00465CE0">
              <w:rPr>
                <w:rFonts w:ascii="Cambria" w:eastAsia="Calibri" w:hAnsi="Cambria" w:cs="Cambria"/>
                <w:b/>
                <w:sz w:val="22"/>
                <w:szCs w:val="24"/>
              </w:rPr>
              <w:t>досягнення</w:t>
            </w:r>
            <w:r w:rsidRPr="00465CE0">
              <w:rPr>
                <w:rFonts w:ascii="Algerian" w:eastAsia="Calibri" w:hAnsi="Algerian"/>
                <w:b/>
                <w:sz w:val="22"/>
                <w:szCs w:val="24"/>
              </w:rPr>
              <w:t xml:space="preserve"> </w:t>
            </w:r>
            <w:r w:rsidRPr="00465CE0">
              <w:rPr>
                <w:rFonts w:ascii="Cambria" w:eastAsia="Calibri" w:hAnsi="Cambria" w:cs="Cambria"/>
                <w:b/>
                <w:sz w:val="22"/>
                <w:szCs w:val="24"/>
              </w:rPr>
              <w:t>цілі</w:t>
            </w:r>
            <w:r w:rsidRPr="00465CE0">
              <w:rPr>
                <w:rFonts w:ascii="Algerian" w:eastAsia="Calibri" w:hAnsi="Algerian"/>
                <w:b/>
                <w:sz w:val="22"/>
                <w:szCs w:val="24"/>
              </w:rPr>
              <w:t>:</w:t>
            </w:r>
            <w:r w:rsidRPr="00465CE0">
              <w:rPr>
                <w:rFonts w:eastAsia="Calibri"/>
                <w:sz w:val="22"/>
                <w:szCs w:val="24"/>
              </w:rPr>
              <w:t xml:space="preserve"> Підвищено ефективність та результативність використання коштів державного бюджету, в тому числі за рахунок збільшення частки коштів державного бюджету, охопленої оглядами витрат у відповідних сферах діяльності, та покращення якості робіт з верифікації. Відповідно до Бюджетного кодексу України рішення, прийняті Урядом за результатами проведених оглядів, враховуються при підготовці пропозицій до проекту державного бюджету та до Бюджетної декларації.</w:t>
            </w:r>
          </w:p>
          <w:p w:rsidR="00172D56" w:rsidRPr="00465CE0" w:rsidRDefault="00172D56" w:rsidP="00172D56">
            <w:pPr>
              <w:jc w:val="both"/>
              <w:rPr>
                <w:rFonts w:eastAsia="Calibri"/>
                <w:sz w:val="22"/>
                <w:szCs w:val="24"/>
              </w:rPr>
            </w:pPr>
            <w:r w:rsidRPr="00465CE0">
              <w:rPr>
                <w:rFonts w:eastAsia="Calibri"/>
                <w:sz w:val="22"/>
                <w:szCs w:val="24"/>
              </w:rPr>
              <w:t>Оптимізована взаємодія розпорядників та одержувачів бюджетних коштів з органами Казначейства, забезпечено економію робочого часу та витрат на матеріали для друку та транспортування документів:</w:t>
            </w:r>
          </w:p>
          <w:p w:rsidR="00172D56" w:rsidRPr="00465CE0" w:rsidRDefault="00172D56" w:rsidP="00172D56">
            <w:pPr>
              <w:tabs>
                <w:tab w:val="left" w:pos="313"/>
              </w:tabs>
              <w:jc w:val="both"/>
              <w:rPr>
                <w:rFonts w:eastAsia="Calibri"/>
                <w:sz w:val="22"/>
                <w:szCs w:val="24"/>
              </w:rPr>
            </w:pPr>
            <w:r w:rsidRPr="00465CE0">
              <w:rPr>
                <w:rFonts w:eastAsia="Calibri"/>
                <w:sz w:val="22"/>
                <w:szCs w:val="24"/>
              </w:rPr>
              <w:t>-</w:t>
            </w:r>
            <w:r w:rsidRPr="00465CE0">
              <w:rPr>
                <w:rFonts w:eastAsia="Calibri"/>
                <w:sz w:val="22"/>
                <w:szCs w:val="24"/>
              </w:rPr>
              <w:tab/>
            </w:r>
            <w:r w:rsidR="002B03DD">
              <w:rPr>
                <w:rFonts w:eastAsia="Calibri"/>
                <w:sz w:val="22"/>
                <w:szCs w:val="24"/>
              </w:rPr>
              <w:t>з</w:t>
            </w:r>
            <w:r w:rsidRPr="00465CE0">
              <w:rPr>
                <w:rFonts w:eastAsia="Calibri"/>
                <w:sz w:val="22"/>
                <w:szCs w:val="24"/>
              </w:rPr>
              <w:t xml:space="preserve"> використанням системи дистанційного обслуговування «Клієнт казначейства – Казначейство» (СДО) станом на 01.01.2020 року обслуговуються 78% розпорядників та одержувачів бюджетних коштів від загальної кількості устано</w:t>
            </w:r>
            <w:r w:rsidR="002B03DD">
              <w:rPr>
                <w:rFonts w:eastAsia="Calibri"/>
                <w:sz w:val="22"/>
                <w:szCs w:val="24"/>
              </w:rPr>
              <w:t>в-учасників бюджетного процесу;</w:t>
            </w:r>
          </w:p>
          <w:p w:rsidR="00172D56" w:rsidRPr="00465CE0" w:rsidRDefault="002B03DD" w:rsidP="00172D56">
            <w:pPr>
              <w:tabs>
                <w:tab w:val="left" w:pos="313"/>
              </w:tabs>
              <w:jc w:val="both"/>
              <w:rPr>
                <w:rFonts w:eastAsia="Calibri"/>
                <w:sz w:val="22"/>
                <w:szCs w:val="24"/>
              </w:rPr>
            </w:pPr>
            <w:r>
              <w:rPr>
                <w:rFonts w:eastAsia="Calibri"/>
                <w:sz w:val="22"/>
                <w:szCs w:val="24"/>
              </w:rPr>
              <w:t>-</w:t>
            </w:r>
            <w:r>
              <w:rPr>
                <w:rFonts w:eastAsia="Calibri"/>
                <w:sz w:val="22"/>
                <w:szCs w:val="24"/>
              </w:rPr>
              <w:tab/>
              <w:t>к</w:t>
            </w:r>
            <w:r w:rsidR="00172D56" w:rsidRPr="00465CE0">
              <w:rPr>
                <w:rFonts w:eastAsia="Calibri"/>
                <w:sz w:val="22"/>
                <w:szCs w:val="24"/>
              </w:rPr>
              <w:t>ількість операцій з виконання бюджетів, що здійснювалась за допомогою СДО, у 2019 році збільшилась в 2,3 р</w:t>
            </w:r>
            <w:r>
              <w:rPr>
                <w:rFonts w:eastAsia="Calibri"/>
                <w:sz w:val="22"/>
                <w:szCs w:val="24"/>
              </w:rPr>
              <w:t>ази (у порівнянні з 2018 роком);</w:t>
            </w:r>
            <w:r w:rsidR="00172D56" w:rsidRPr="00465CE0">
              <w:rPr>
                <w:rFonts w:eastAsia="Calibri"/>
                <w:sz w:val="22"/>
                <w:szCs w:val="24"/>
              </w:rPr>
              <w:t xml:space="preserve"> </w:t>
            </w:r>
          </w:p>
          <w:p w:rsidR="00172D56" w:rsidRPr="00465CE0" w:rsidRDefault="002B03DD" w:rsidP="00172D56">
            <w:pPr>
              <w:tabs>
                <w:tab w:val="left" w:pos="313"/>
              </w:tabs>
              <w:jc w:val="both"/>
              <w:rPr>
                <w:rFonts w:eastAsia="Calibri"/>
                <w:sz w:val="22"/>
                <w:szCs w:val="24"/>
              </w:rPr>
            </w:pPr>
            <w:r>
              <w:rPr>
                <w:rFonts w:eastAsia="Calibri"/>
                <w:sz w:val="22"/>
                <w:szCs w:val="24"/>
              </w:rPr>
              <w:t>-</w:t>
            </w:r>
            <w:r>
              <w:rPr>
                <w:rFonts w:eastAsia="Calibri"/>
                <w:sz w:val="22"/>
                <w:szCs w:val="24"/>
              </w:rPr>
              <w:tab/>
              <w:t>ф</w:t>
            </w:r>
            <w:r w:rsidR="00172D56" w:rsidRPr="00465CE0">
              <w:rPr>
                <w:rFonts w:eastAsia="Calibri"/>
                <w:sz w:val="22"/>
                <w:szCs w:val="24"/>
              </w:rPr>
              <w:t>ункціональні можливості СДО забезпечують виконання операцій на усіх стадіях бюджетного процесу (мережа, планові показники, реєстрація т</w:t>
            </w:r>
            <w:r>
              <w:rPr>
                <w:rFonts w:eastAsia="Calibri"/>
                <w:sz w:val="22"/>
                <w:szCs w:val="24"/>
              </w:rPr>
              <w:t>а оплата бюджетних зобов’язань);</w:t>
            </w:r>
            <w:r w:rsidR="00172D56" w:rsidRPr="00465CE0">
              <w:rPr>
                <w:rFonts w:eastAsia="Calibri"/>
                <w:sz w:val="22"/>
                <w:szCs w:val="24"/>
              </w:rPr>
              <w:t xml:space="preserve"> </w:t>
            </w:r>
          </w:p>
          <w:p w:rsidR="00172D56" w:rsidRPr="00C946CE" w:rsidRDefault="002B03DD" w:rsidP="00172D56">
            <w:pPr>
              <w:tabs>
                <w:tab w:val="left" w:pos="313"/>
              </w:tabs>
              <w:jc w:val="both"/>
              <w:rPr>
                <w:rFonts w:eastAsia="Calibri"/>
                <w:sz w:val="24"/>
                <w:szCs w:val="24"/>
              </w:rPr>
            </w:pPr>
            <w:r>
              <w:rPr>
                <w:rFonts w:eastAsia="Calibri"/>
                <w:sz w:val="22"/>
                <w:szCs w:val="24"/>
              </w:rPr>
              <w:t>-</w:t>
            </w:r>
            <w:r>
              <w:rPr>
                <w:rFonts w:eastAsia="Calibri"/>
                <w:sz w:val="22"/>
                <w:szCs w:val="24"/>
              </w:rPr>
              <w:tab/>
              <w:t>п</w:t>
            </w:r>
            <w:r w:rsidR="00172D56" w:rsidRPr="00465CE0">
              <w:rPr>
                <w:rFonts w:eastAsia="Calibri"/>
                <w:sz w:val="22"/>
                <w:szCs w:val="24"/>
              </w:rPr>
              <w:t>оточний стан впровадження СДО забезпечує дистанційне обслуговування розпорядників та одержувачів бюджетних коштів, які є основними учасниками бюджетного процесу та здійснюють виконання переважної більшості бюджетних операцій державного та місцевих бюджетів.</w:t>
            </w:r>
          </w:p>
        </w:tc>
      </w:tr>
      <w:tr w:rsidR="00172D56" w:rsidRPr="00C946CE" w:rsidTr="00465CE0">
        <w:trPr>
          <w:trHeight w:val="410"/>
          <w:jc w:val="center"/>
        </w:trPr>
        <w:tc>
          <w:tcPr>
            <w:tcW w:w="16047" w:type="dxa"/>
            <w:gridSpan w:val="7"/>
            <w:vAlign w:val="center"/>
          </w:tcPr>
          <w:p w:rsidR="00465CE0" w:rsidRDefault="00465CE0" w:rsidP="00172D56">
            <w:pPr>
              <w:jc w:val="center"/>
              <w:rPr>
                <w:b/>
                <w:i/>
                <w:sz w:val="24"/>
                <w:szCs w:val="24"/>
              </w:rPr>
            </w:pPr>
          </w:p>
          <w:p w:rsidR="00172D56" w:rsidRDefault="00172D56" w:rsidP="00172D56">
            <w:pPr>
              <w:jc w:val="center"/>
              <w:rPr>
                <w:b/>
                <w:i/>
                <w:sz w:val="24"/>
                <w:szCs w:val="24"/>
              </w:rPr>
            </w:pPr>
            <w:r w:rsidRPr="00C946CE">
              <w:rPr>
                <w:b/>
                <w:i/>
                <w:sz w:val="24"/>
                <w:szCs w:val="24"/>
              </w:rPr>
              <w:t>Ціль 2. Проста, ефективна, справедлива податкова та митна системи, що сприяють економічному розвитку та відповідають стандартам ЄС</w:t>
            </w:r>
          </w:p>
          <w:p w:rsidR="00465CE0" w:rsidRPr="00C946CE" w:rsidRDefault="00465CE0" w:rsidP="00172D56">
            <w:pPr>
              <w:jc w:val="center"/>
              <w:rPr>
                <w:b/>
                <w:i/>
                <w:sz w:val="24"/>
                <w:szCs w:val="24"/>
              </w:rPr>
            </w:pPr>
          </w:p>
        </w:tc>
      </w:tr>
      <w:tr w:rsidR="00172D56" w:rsidRPr="00C946CE" w:rsidTr="002B03DD">
        <w:trPr>
          <w:trHeight w:val="276"/>
          <w:jc w:val="center"/>
        </w:trPr>
        <w:tc>
          <w:tcPr>
            <w:tcW w:w="5247" w:type="dxa"/>
            <w:shd w:val="clear" w:color="auto" w:fill="auto"/>
          </w:tcPr>
          <w:p w:rsidR="00172D56" w:rsidRPr="00C946CE" w:rsidRDefault="00172D56" w:rsidP="002B03DD">
            <w:pPr>
              <w:rPr>
                <w:sz w:val="24"/>
                <w:szCs w:val="24"/>
              </w:rPr>
            </w:pPr>
            <w:r w:rsidRPr="00C946CE">
              <w:rPr>
                <w:sz w:val="24"/>
                <w:szCs w:val="24"/>
              </w:rPr>
              <w:t xml:space="preserve">Рівень перерозподілу ВВП через доходи зведеного бюджету, % ВВП, +/- 1 для  </w:t>
            </w:r>
            <w:r>
              <w:rPr>
                <w:sz w:val="24"/>
                <w:szCs w:val="24"/>
              </w:rPr>
              <w:t>2019-</w:t>
            </w:r>
            <w:r w:rsidRPr="00C946CE">
              <w:rPr>
                <w:sz w:val="24"/>
                <w:szCs w:val="24"/>
              </w:rPr>
              <w:t>2020 років</w:t>
            </w:r>
            <w:r>
              <w:rPr>
                <w:sz w:val="24"/>
                <w:szCs w:val="24"/>
              </w:rPr>
              <w:t>, відс.</w:t>
            </w:r>
          </w:p>
        </w:tc>
        <w:tc>
          <w:tcPr>
            <w:tcW w:w="1277" w:type="dxa"/>
            <w:tcBorders>
              <w:right w:val="single" w:sz="4" w:space="0" w:color="auto"/>
            </w:tcBorders>
            <w:shd w:val="clear" w:color="auto" w:fill="auto"/>
          </w:tcPr>
          <w:p w:rsidR="00172D56" w:rsidRPr="00172D56" w:rsidRDefault="00172D56" w:rsidP="002B03DD">
            <w:pPr>
              <w:jc w:val="center"/>
              <w:rPr>
                <w:color w:val="FF0000"/>
                <w:sz w:val="22"/>
                <w:szCs w:val="22"/>
              </w:rPr>
            </w:pPr>
            <w:r w:rsidRPr="00172D56">
              <w:rPr>
                <w:sz w:val="22"/>
                <w:szCs w:val="22"/>
              </w:rPr>
              <w:t>34,1</w:t>
            </w:r>
          </w:p>
        </w:tc>
        <w:tc>
          <w:tcPr>
            <w:tcW w:w="1276" w:type="dxa"/>
            <w:tcBorders>
              <w:top w:val="nil"/>
              <w:left w:val="nil"/>
              <w:bottom w:val="single" w:sz="4" w:space="0" w:color="auto"/>
              <w:right w:val="single" w:sz="4" w:space="0" w:color="auto"/>
            </w:tcBorders>
            <w:shd w:val="clear" w:color="000000" w:fill="FFFFFF"/>
          </w:tcPr>
          <w:p w:rsidR="00172D56" w:rsidRPr="00172D56" w:rsidRDefault="00172D56" w:rsidP="002B03DD">
            <w:pPr>
              <w:jc w:val="center"/>
              <w:rPr>
                <w:color w:val="FF0000"/>
                <w:sz w:val="22"/>
                <w:szCs w:val="22"/>
              </w:rPr>
            </w:pPr>
            <w:r w:rsidRPr="00172D56">
              <w:rPr>
                <w:sz w:val="22"/>
                <w:szCs w:val="22"/>
              </w:rPr>
              <w:t>33,3</w:t>
            </w:r>
          </w:p>
        </w:tc>
        <w:tc>
          <w:tcPr>
            <w:tcW w:w="1161" w:type="dxa"/>
            <w:tcBorders>
              <w:top w:val="nil"/>
              <w:left w:val="nil"/>
              <w:bottom w:val="single" w:sz="4" w:space="0" w:color="auto"/>
              <w:right w:val="single" w:sz="4" w:space="0" w:color="auto"/>
            </w:tcBorders>
            <w:shd w:val="clear" w:color="000000" w:fill="FFFFFF"/>
          </w:tcPr>
          <w:p w:rsidR="00172D56" w:rsidRPr="00172D56" w:rsidRDefault="00172D56" w:rsidP="002B03DD">
            <w:pPr>
              <w:jc w:val="center"/>
              <w:rPr>
                <w:sz w:val="22"/>
                <w:szCs w:val="22"/>
              </w:rPr>
            </w:pPr>
            <w:r w:rsidRPr="00172D56">
              <w:rPr>
                <w:sz w:val="22"/>
                <w:szCs w:val="22"/>
              </w:rPr>
              <w:t>34  [±1] цільовий показник</w:t>
            </w:r>
          </w:p>
          <w:p w:rsidR="00172D56" w:rsidRPr="00172D56" w:rsidRDefault="00172D56" w:rsidP="002B03DD">
            <w:pPr>
              <w:jc w:val="center"/>
              <w:rPr>
                <w:color w:val="FF0000"/>
                <w:sz w:val="22"/>
                <w:szCs w:val="22"/>
                <w:lang w:val="ru-RU"/>
              </w:rPr>
            </w:pPr>
            <w:r w:rsidRPr="00172D56">
              <w:rPr>
                <w:sz w:val="22"/>
                <w:szCs w:val="22"/>
              </w:rPr>
              <w:t>33,1 затверджено</w:t>
            </w:r>
          </w:p>
        </w:tc>
        <w:tc>
          <w:tcPr>
            <w:tcW w:w="1276" w:type="dxa"/>
            <w:tcBorders>
              <w:top w:val="nil"/>
              <w:left w:val="nil"/>
              <w:bottom w:val="single" w:sz="4" w:space="0" w:color="auto"/>
              <w:right w:val="single" w:sz="4" w:space="0" w:color="auto"/>
            </w:tcBorders>
            <w:shd w:val="clear" w:color="000000" w:fill="FFFFFF"/>
          </w:tcPr>
          <w:p w:rsidR="00172D56" w:rsidRPr="00172D56" w:rsidRDefault="00172D56" w:rsidP="002B03DD">
            <w:pPr>
              <w:jc w:val="center"/>
              <w:rPr>
                <w:sz w:val="22"/>
                <w:szCs w:val="22"/>
              </w:rPr>
            </w:pPr>
            <w:r w:rsidRPr="00172D56">
              <w:rPr>
                <w:sz w:val="22"/>
                <w:szCs w:val="22"/>
              </w:rPr>
              <w:t>32,1</w:t>
            </w:r>
          </w:p>
        </w:tc>
        <w:tc>
          <w:tcPr>
            <w:tcW w:w="1389" w:type="dxa"/>
            <w:tcBorders>
              <w:top w:val="nil"/>
              <w:left w:val="nil"/>
              <w:bottom w:val="single" w:sz="4" w:space="0" w:color="auto"/>
              <w:right w:val="single" w:sz="4" w:space="0" w:color="auto"/>
            </w:tcBorders>
            <w:shd w:val="clear" w:color="000000" w:fill="FFFFFF"/>
          </w:tcPr>
          <w:p w:rsidR="00172D56" w:rsidRPr="00172D56" w:rsidRDefault="00172D56" w:rsidP="002B03DD">
            <w:pPr>
              <w:jc w:val="center"/>
              <w:rPr>
                <w:sz w:val="22"/>
                <w:szCs w:val="22"/>
              </w:rPr>
            </w:pPr>
            <w:r w:rsidRPr="00172D56">
              <w:rPr>
                <w:sz w:val="22"/>
                <w:szCs w:val="22"/>
              </w:rPr>
              <w:t>-1,0</w:t>
            </w:r>
          </w:p>
        </w:tc>
        <w:tc>
          <w:tcPr>
            <w:tcW w:w="4421" w:type="dxa"/>
            <w:tcBorders>
              <w:top w:val="nil"/>
              <w:left w:val="nil"/>
              <w:bottom w:val="single" w:sz="4" w:space="0" w:color="auto"/>
              <w:right w:val="single" w:sz="4" w:space="0" w:color="auto"/>
            </w:tcBorders>
            <w:shd w:val="clear" w:color="000000" w:fill="FFFFFF"/>
            <w:vAlign w:val="center"/>
          </w:tcPr>
          <w:p w:rsidR="00172D56" w:rsidRPr="00E2577B" w:rsidRDefault="00172D56" w:rsidP="00172D56">
            <w:pPr>
              <w:jc w:val="both"/>
            </w:pPr>
            <w:r w:rsidRPr="00E2577B">
              <w:t xml:space="preserve">При прийнятті Верховною Радою України ЗУ «Про Державний бюджет України на 2019 рік» рівень перерозподілу ВВП через зведений бюджет був врахований в обсязі 33,1%, за підсумками 2019 року очікується 32,1%. Менший рівень перерозподілу пояснюється </w:t>
            </w:r>
            <w:r>
              <w:t>вищим</w:t>
            </w:r>
            <w:r w:rsidRPr="00E2577B">
              <w:t xml:space="preserve"> очікуваним </w:t>
            </w:r>
            <w:r>
              <w:t xml:space="preserve">номінальним </w:t>
            </w:r>
            <w:r w:rsidRPr="00E2577B">
              <w:t>ВВП на 75,2 млрд</w:t>
            </w:r>
            <w:r>
              <w:t>.</w:t>
            </w:r>
            <w:r w:rsidRPr="00E2577B">
              <w:t>грн (врахований в бюджеті 3946,9 млрд</w:t>
            </w:r>
            <w:r>
              <w:t>.</w:t>
            </w:r>
            <w:r w:rsidRPr="00E2577B">
              <w:t>грн, очікуваний 4022,1 млрд</w:t>
            </w:r>
            <w:r>
              <w:t>.</w:t>
            </w:r>
            <w:r w:rsidRPr="00E2577B">
              <w:t>грн) та меншими доходами від митних платежів через невідповідність фактичного обмінного курсу (25,8 грн/дол США)</w:t>
            </w:r>
            <w:r>
              <w:t xml:space="preserve"> врахованому у</w:t>
            </w:r>
            <w:r w:rsidRPr="00E2577B">
              <w:t xml:space="preserve"> прогноз</w:t>
            </w:r>
            <w:r>
              <w:t>і</w:t>
            </w:r>
            <w:r w:rsidRPr="00E2577B">
              <w:t xml:space="preserve"> </w:t>
            </w:r>
            <w:r>
              <w:t>припущенню</w:t>
            </w:r>
            <w:r w:rsidRPr="00E2577B">
              <w:t xml:space="preserve"> (28,2 грн/дол США).</w:t>
            </w:r>
          </w:p>
        </w:tc>
      </w:tr>
      <w:tr w:rsidR="00172D56" w:rsidRPr="007505E3" w:rsidTr="00465CE0">
        <w:trPr>
          <w:trHeight w:val="276"/>
          <w:jc w:val="center"/>
        </w:trPr>
        <w:tc>
          <w:tcPr>
            <w:tcW w:w="5247" w:type="dxa"/>
            <w:shd w:val="clear" w:color="auto" w:fill="auto"/>
          </w:tcPr>
          <w:p w:rsidR="00172D56" w:rsidRPr="007505E3" w:rsidRDefault="00172D56" w:rsidP="00172D56">
            <w:pPr>
              <w:rPr>
                <w:sz w:val="24"/>
                <w:szCs w:val="24"/>
              </w:rPr>
            </w:pPr>
            <w:r w:rsidRPr="007505E3">
              <w:rPr>
                <w:sz w:val="24"/>
                <w:szCs w:val="24"/>
              </w:rPr>
              <w:t>Місце в рейтингу Doing Business за показником «Оподаткування»</w:t>
            </w:r>
            <w:r>
              <w:rPr>
                <w:sz w:val="24"/>
                <w:szCs w:val="24"/>
              </w:rPr>
              <w:t>, місце не нижче</w:t>
            </w:r>
          </w:p>
        </w:tc>
        <w:tc>
          <w:tcPr>
            <w:tcW w:w="1277" w:type="dxa"/>
            <w:shd w:val="clear" w:color="auto" w:fill="auto"/>
          </w:tcPr>
          <w:p w:rsidR="00172D56" w:rsidRPr="00172D56" w:rsidRDefault="00172D56" w:rsidP="00172D56">
            <w:pPr>
              <w:jc w:val="center"/>
              <w:rPr>
                <w:sz w:val="22"/>
                <w:szCs w:val="22"/>
              </w:rPr>
            </w:pPr>
            <w:r w:rsidRPr="002B03DD">
              <w:rPr>
                <w:color w:val="000000" w:themeColor="text1"/>
                <w:sz w:val="22"/>
                <w:szCs w:val="22"/>
              </w:rPr>
              <w:t>43</w:t>
            </w:r>
          </w:p>
        </w:tc>
        <w:tc>
          <w:tcPr>
            <w:tcW w:w="1276" w:type="dxa"/>
            <w:shd w:val="clear" w:color="auto" w:fill="auto"/>
          </w:tcPr>
          <w:p w:rsidR="00172D56" w:rsidRPr="00172D56" w:rsidRDefault="00172D56" w:rsidP="00172D56">
            <w:pPr>
              <w:jc w:val="center"/>
              <w:rPr>
                <w:sz w:val="22"/>
                <w:szCs w:val="22"/>
                <w:lang w:val="en-US"/>
              </w:rPr>
            </w:pPr>
            <w:r w:rsidRPr="00172D56">
              <w:rPr>
                <w:sz w:val="22"/>
                <w:szCs w:val="22"/>
                <w:lang w:val="en-US"/>
              </w:rPr>
              <w:t>43</w:t>
            </w:r>
          </w:p>
        </w:tc>
        <w:tc>
          <w:tcPr>
            <w:tcW w:w="1161" w:type="dxa"/>
          </w:tcPr>
          <w:p w:rsidR="00172D56" w:rsidRPr="00172D56" w:rsidRDefault="00172D56" w:rsidP="00172D56">
            <w:pPr>
              <w:jc w:val="center"/>
              <w:rPr>
                <w:sz w:val="22"/>
                <w:szCs w:val="22"/>
                <w:lang w:val="en-US"/>
              </w:rPr>
            </w:pPr>
            <w:r w:rsidRPr="00172D56">
              <w:rPr>
                <w:sz w:val="22"/>
                <w:szCs w:val="22"/>
                <w:lang w:val="en-US"/>
              </w:rPr>
              <w:t>35</w:t>
            </w:r>
          </w:p>
        </w:tc>
        <w:tc>
          <w:tcPr>
            <w:tcW w:w="1276" w:type="dxa"/>
          </w:tcPr>
          <w:p w:rsidR="00172D56" w:rsidRPr="00172D56" w:rsidRDefault="00172D56" w:rsidP="00172D56">
            <w:pPr>
              <w:jc w:val="center"/>
              <w:rPr>
                <w:sz w:val="22"/>
                <w:szCs w:val="22"/>
                <w:lang w:val="en-US"/>
              </w:rPr>
            </w:pPr>
            <w:r w:rsidRPr="00172D56">
              <w:rPr>
                <w:sz w:val="22"/>
                <w:szCs w:val="22"/>
                <w:lang w:val="en-US"/>
              </w:rPr>
              <w:t>54</w:t>
            </w:r>
          </w:p>
        </w:tc>
        <w:tc>
          <w:tcPr>
            <w:tcW w:w="1389" w:type="dxa"/>
          </w:tcPr>
          <w:p w:rsidR="00172D56" w:rsidRPr="00172D56" w:rsidRDefault="00172D56" w:rsidP="00172D56">
            <w:pPr>
              <w:jc w:val="center"/>
              <w:rPr>
                <w:sz w:val="22"/>
                <w:szCs w:val="22"/>
                <w:lang w:val="en-US"/>
              </w:rPr>
            </w:pPr>
            <w:r w:rsidRPr="00172D56">
              <w:rPr>
                <w:sz w:val="22"/>
                <w:szCs w:val="22"/>
                <w:lang w:val="en-US"/>
              </w:rPr>
              <w:t>-19</w:t>
            </w:r>
          </w:p>
        </w:tc>
        <w:tc>
          <w:tcPr>
            <w:tcW w:w="4421" w:type="dxa"/>
          </w:tcPr>
          <w:p w:rsidR="00172D56" w:rsidRPr="00822900" w:rsidRDefault="00172D56" w:rsidP="00172D56">
            <w:pPr>
              <w:jc w:val="both"/>
            </w:pPr>
            <w:r w:rsidRPr="00822900">
              <w:t>Втрата позицій Україною</w:t>
            </w:r>
            <w:r w:rsidR="00183013">
              <w:t xml:space="preserve"> в рейтингу</w:t>
            </w:r>
            <w:r w:rsidRPr="00822900">
              <w:t xml:space="preserve"> обумовлена насамперед активними діями інших держав, спрямованими на автоматизацію процесів і скорочення часу адміністрування податків. </w:t>
            </w:r>
          </w:p>
          <w:p w:rsidR="00172D56" w:rsidRPr="00822900" w:rsidRDefault="00172D56" w:rsidP="00172D56">
            <w:pPr>
              <w:jc w:val="both"/>
            </w:pPr>
            <w:r>
              <w:t>В</w:t>
            </w:r>
            <w:r w:rsidRPr="00822900">
              <w:t>ід</w:t>
            </w:r>
            <w:r w:rsidR="002B03DD">
              <w:t>повідно до методології рейтингу</w:t>
            </w:r>
            <w:r w:rsidRPr="00822900">
              <w:t xml:space="preserve"> більшість </w:t>
            </w:r>
            <w:r w:rsidRPr="00822900">
              <w:lastRenderedPageBreak/>
              <w:t>реформ, проведених в 2019 році будуть враховані в рейтингу 2021 року.</w:t>
            </w:r>
          </w:p>
          <w:p w:rsidR="00172D56" w:rsidRPr="00822900" w:rsidRDefault="00172D56" w:rsidP="00172D56">
            <w:pPr>
              <w:jc w:val="both"/>
            </w:pPr>
            <w:r w:rsidRPr="00183013">
              <w:rPr>
                <w:color w:val="000000" w:themeColor="text1"/>
              </w:rPr>
              <w:t>За результатами оц</w:t>
            </w:r>
            <w:r w:rsidR="002B03DD" w:rsidRPr="00183013">
              <w:rPr>
                <w:color w:val="000000" w:themeColor="text1"/>
              </w:rPr>
              <w:t>інювання для рейтингу 2020 року</w:t>
            </w:r>
            <w:r w:rsidRPr="00183013">
              <w:rPr>
                <w:color w:val="000000" w:themeColor="text1"/>
              </w:rPr>
              <w:t xml:space="preserve"> вітчизняний бізнес витрачає в середньому на облік 327,5 годин на рік, що значно більше, ніж в інших сусідніх країнах.</w:t>
            </w:r>
          </w:p>
        </w:tc>
      </w:tr>
      <w:tr w:rsidR="00172D56" w:rsidRPr="007505E3" w:rsidTr="00465CE0">
        <w:trPr>
          <w:trHeight w:val="276"/>
          <w:jc w:val="center"/>
        </w:trPr>
        <w:tc>
          <w:tcPr>
            <w:tcW w:w="5247" w:type="dxa"/>
            <w:shd w:val="clear" w:color="auto" w:fill="auto"/>
          </w:tcPr>
          <w:p w:rsidR="00172D56" w:rsidRPr="00172D56" w:rsidRDefault="00172D56" w:rsidP="00172D56">
            <w:pPr>
              <w:rPr>
                <w:sz w:val="22"/>
                <w:szCs w:val="22"/>
              </w:rPr>
            </w:pPr>
            <w:r w:rsidRPr="00172D56">
              <w:rPr>
                <w:sz w:val="22"/>
                <w:szCs w:val="22"/>
              </w:rPr>
              <w:lastRenderedPageBreak/>
              <w:t>Частка податкових декларацій, поданих за допомогою електронних сервісів ДФС, відс.</w:t>
            </w:r>
          </w:p>
        </w:tc>
        <w:tc>
          <w:tcPr>
            <w:tcW w:w="1277" w:type="dxa"/>
            <w:shd w:val="clear" w:color="auto" w:fill="auto"/>
          </w:tcPr>
          <w:p w:rsidR="00172D56" w:rsidRPr="00172D56" w:rsidRDefault="00172D56" w:rsidP="00172D56">
            <w:pPr>
              <w:jc w:val="center"/>
              <w:rPr>
                <w:sz w:val="22"/>
                <w:szCs w:val="22"/>
                <w:lang w:val="en-US"/>
              </w:rPr>
            </w:pPr>
            <w:r w:rsidRPr="00172D56">
              <w:rPr>
                <w:sz w:val="22"/>
                <w:szCs w:val="22"/>
                <w:lang w:val="en-US"/>
              </w:rPr>
              <w:t>74</w:t>
            </w:r>
          </w:p>
        </w:tc>
        <w:tc>
          <w:tcPr>
            <w:tcW w:w="1276" w:type="dxa"/>
            <w:shd w:val="clear" w:color="auto" w:fill="auto"/>
          </w:tcPr>
          <w:p w:rsidR="00172D56" w:rsidRPr="00172D56" w:rsidRDefault="00172D56" w:rsidP="00172D56">
            <w:pPr>
              <w:jc w:val="center"/>
              <w:rPr>
                <w:sz w:val="22"/>
                <w:szCs w:val="22"/>
              </w:rPr>
            </w:pPr>
            <w:r w:rsidRPr="002B03DD">
              <w:rPr>
                <w:color w:val="000000" w:themeColor="text1"/>
                <w:sz w:val="22"/>
                <w:szCs w:val="22"/>
              </w:rPr>
              <w:t>77,8</w:t>
            </w:r>
          </w:p>
        </w:tc>
        <w:tc>
          <w:tcPr>
            <w:tcW w:w="1161" w:type="dxa"/>
          </w:tcPr>
          <w:p w:rsidR="00172D56" w:rsidRPr="00172D56" w:rsidRDefault="00172D56" w:rsidP="00172D56">
            <w:pPr>
              <w:jc w:val="center"/>
              <w:rPr>
                <w:sz w:val="22"/>
                <w:szCs w:val="22"/>
                <w:lang w:val="en-US"/>
              </w:rPr>
            </w:pPr>
            <w:r w:rsidRPr="00172D56">
              <w:rPr>
                <w:sz w:val="22"/>
                <w:szCs w:val="22"/>
                <w:lang w:val="en-US"/>
              </w:rPr>
              <w:t>75</w:t>
            </w:r>
          </w:p>
        </w:tc>
        <w:tc>
          <w:tcPr>
            <w:tcW w:w="1276" w:type="dxa"/>
          </w:tcPr>
          <w:p w:rsidR="00172D56" w:rsidRPr="00172D56" w:rsidRDefault="00172D56" w:rsidP="00172D56">
            <w:pPr>
              <w:jc w:val="center"/>
              <w:rPr>
                <w:sz w:val="22"/>
                <w:szCs w:val="22"/>
                <w:lang w:val="en-US"/>
              </w:rPr>
            </w:pPr>
            <w:r w:rsidRPr="00172D56">
              <w:rPr>
                <w:sz w:val="22"/>
                <w:szCs w:val="22"/>
                <w:lang w:val="en-US"/>
              </w:rPr>
              <w:t>90,3 юр.ос.</w:t>
            </w:r>
          </w:p>
          <w:p w:rsidR="00172D56" w:rsidRPr="00172D56" w:rsidRDefault="00172D56" w:rsidP="00172D56">
            <w:pPr>
              <w:jc w:val="center"/>
              <w:rPr>
                <w:sz w:val="22"/>
                <w:szCs w:val="22"/>
                <w:lang w:val="en-US"/>
              </w:rPr>
            </w:pPr>
            <w:r w:rsidRPr="00172D56">
              <w:rPr>
                <w:sz w:val="22"/>
                <w:szCs w:val="22"/>
                <w:lang w:val="en-US"/>
              </w:rPr>
              <w:t>67,6 фіз.ос.</w:t>
            </w:r>
          </w:p>
        </w:tc>
        <w:tc>
          <w:tcPr>
            <w:tcW w:w="1389" w:type="dxa"/>
          </w:tcPr>
          <w:p w:rsidR="00172D56" w:rsidRPr="00172D56" w:rsidRDefault="00172D56" w:rsidP="00172D56">
            <w:pPr>
              <w:jc w:val="center"/>
              <w:rPr>
                <w:sz w:val="22"/>
                <w:szCs w:val="22"/>
                <w:lang w:val="en-US"/>
              </w:rPr>
            </w:pPr>
            <w:r w:rsidRPr="00172D56">
              <w:rPr>
                <w:sz w:val="22"/>
                <w:szCs w:val="22"/>
                <w:lang w:val="en-US"/>
              </w:rPr>
              <w:t>-</w:t>
            </w:r>
          </w:p>
        </w:tc>
        <w:tc>
          <w:tcPr>
            <w:tcW w:w="4421" w:type="dxa"/>
          </w:tcPr>
          <w:p w:rsidR="00172D56" w:rsidRPr="00190DE9" w:rsidRDefault="00172D56" w:rsidP="00172D56">
            <w:pPr>
              <w:jc w:val="both"/>
            </w:pPr>
            <w:r w:rsidRPr="00190DE9">
              <w:t>Відповідно до п. 49.4 ст. 49 Податкового кодексу України обов’язок подавати податкову звітність в електронній формі з дотриманням вимог законів щодо електронного документообігу та електронного цифрового підпису передбачено для платників податків, що належать до великих та середніх підприємств, та платників податку на додану вартість.</w:t>
            </w:r>
          </w:p>
          <w:p w:rsidR="00172D56" w:rsidRPr="00190DE9" w:rsidRDefault="00172D56" w:rsidP="00172D56">
            <w:pPr>
              <w:jc w:val="both"/>
            </w:pPr>
            <w:r w:rsidRPr="00190DE9">
              <w:t>Відповідно у 2019 році було змінено методологію розрахунку зазначеного показника.</w:t>
            </w:r>
          </w:p>
        </w:tc>
      </w:tr>
      <w:tr w:rsidR="00172D56" w:rsidRPr="007505E3" w:rsidTr="00465CE0">
        <w:trPr>
          <w:trHeight w:val="276"/>
          <w:jc w:val="center"/>
        </w:trPr>
        <w:tc>
          <w:tcPr>
            <w:tcW w:w="5247" w:type="dxa"/>
            <w:shd w:val="clear" w:color="auto" w:fill="auto"/>
          </w:tcPr>
          <w:p w:rsidR="00172D56" w:rsidRPr="00172D56" w:rsidRDefault="00172D56" w:rsidP="00172D56">
            <w:pPr>
              <w:rPr>
                <w:sz w:val="22"/>
                <w:szCs w:val="22"/>
              </w:rPr>
            </w:pPr>
            <w:r w:rsidRPr="00172D56">
              <w:rPr>
                <w:sz w:val="22"/>
                <w:szCs w:val="22"/>
              </w:rPr>
              <w:t>Частка фактичного обсягу відшкодування ПДВ у заявленому до відшкодування, відс.</w:t>
            </w:r>
          </w:p>
        </w:tc>
        <w:tc>
          <w:tcPr>
            <w:tcW w:w="1277" w:type="dxa"/>
            <w:shd w:val="clear" w:color="auto" w:fill="auto"/>
          </w:tcPr>
          <w:p w:rsidR="00172D56" w:rsidRPr="00172D56" w:rsidRDefault="00172D56" w:rsidP="00172D56">
            <w:pPr>
              <w:jc w:val="center"/>
              <w:rPr>
                <w:sz w:val="22"/>
                <w:szCs w:val="22"/>
                <w:lang w:val="en-US"/>
              </w:rPr>
            </w:pPr>
            <w:r w:rsidRPr="00172D56">
              <w:rPr>
                <w:sz w:val="22"/>
                <w:szCs w:val="22"/>
                <w:lang w:val="en-US"/>
              </w:rPr>
              <w:t>93</w:t>
            </w:r>
          </w:p>
        </w:tc>
        <w:tc>
          <w:tcPr>
            <w:tcW w:w="1276" w:type="dxa"/>
            <w:shd w:val="clear" w:color="auto" w:fill="auto"/>
          </w:tcPr>
          <w:p w:rsidR="00172D56" w:rsidRPr="00172D56" w:rsidRDefault="00172D56" w:rsidP="00172D56">
            <w:pPr>
              <w:jc w:val="center"/>
              <w:rPr>
                <w:sz w:val="22"/>
                <w:szCs w:val="22"/>
                <w:lang w:val="en-US"/>
              </w:rPr>
            </w:pPr>
            <w:r w:rsidRPr="00172D56">
              <w:rPr>
                <w:sz w:val="22"/>
                <w:szCs w:val="22"/>
                <w:lang w:val="en-US"/>
              </w:rPr>
              <w:t>93</w:t>
            </w:r>
          </w:p>
        </w:tc>
        <w:tc>
          <w:tcPr>
            <w:tcW w:w="1161" w:type="dxa"/>
          </w:tcPr>
          <w:p w:rsidR="00172D56" w:rsidRPr="00172D56" w:rsidRDefault="00172D56" w:rsidP="00172D56">
            <w:pPr>
              <w:jc w:val="center"/>
              <w:rPr>
                <w:sz w:val="22"/>
                <w:szCs w:val="22"/>
                <w:lang w:val="en-US"/>
              </w:rPr>
            </w:pPr>
            <w:r w:rsidRPr="00172D56">
              <w:rPr>
                <w:sz w:val="22"/>
                <w:szCs w:val="22"/>
                <w:lang w:val="en-US"/>
              </w:rPr>
              <w:t>93</w:t>
            </w:r>
          </w:p>
        </w:tc>
        <w:tc>
          <w:tcPr>
            <w:tcW w:w="1276" w:type="dxa"/>
          </w:tcPr>
          <w:p w:rsidR="00172D56" w:rsidRPr="00172D56" w:rsidRDefault="00172D56" w:rsidP="00172D56">
            <w:pPr>
              <w:jc w:val="center"/>
              <w:rPr>
                <w:sz w:val="22"/>
                <w:szCs w:val="22"/>
                <w:lang w:val="en-US"/>
              </w:rPr>
            </w:pPr>
            <w:r w:rsidRPr="00172D56">
              <w:rPr>
                <w:sz w:val="22"/>
                <w:szCs w:val="22"/>
                <w:lang w:val="en-US"/>
              </w:rPr>
              <w:t>99,4</w:t>
            </w:r>
          </w:p>
        </w:tc>
        <w:tc>
          <w:tcPr>
            <w:tcW w:w="1389" w:type="dxa"/>
          </w:tcPr>
          <w:p w:rsidR="00172D56" w:rsidRPr="00172D56" w:rsidRDefault="00172D56" w:rsidP="00172D56">
            <w:pPr>
              <w:jc w:val="center"/>
              <w:rPr>
                <w:sz w:val="22"/>
                <w:szCs w:val="22"/>
                <w:lang w:val="en-US"/>
              </w:rPr>
            </w:pPr>
            <w:r w:rsidRPr="00172D56">
              <w:rPr>
                <w:sz w:val="22"/>
                <w:szCs w:val="22"/>
                <w:lang w:val="en-US"/>
              </w:rPr>
              <w:t>+6,4</w:t>
            </w:r>
          </w:p>
        </w:tc>
        <w:tc>
          <w:tcPr>
            <w:tcW w:w="4421" w:type="dxa"/>
          </w:tcPr>
          <w:p w:rsidR="00172D56" w:rsidRPr="00190DE9" w:rsidRDefault="00172D56" w:rsidP="00465CE0">
            <w:pPr>
              <w:jc w:val="both"/>
              <w:rPr>
                <w:rFonts w:eastAsia="Calibri"/>
                <w:sz w:val="24"/>
                <w:szCs w:val="24"/>
              </w:rPr>
            </w:pPr>
            <w:r w:rsidRPr="00190DE9">
              <w:t>Позитивна динаміка пояснюється прозорістю та автоматизованістю процедури відшкодування ПДВ та постійним удосконаленням процесів електронного адміністрування ПДВ.</w:t>
            </w:r>
          </w:p>
        </w:tc>
      </w:tr>
      <w:tr w:rsidR="00172D56" w:rsidRPr="007505E3" w:rsidTr="00465CE0">
        <w:trPr>
          <w:trHeight w:val="276"/>
          <w:jc w:val="center"/>
        </w:trPr>
        <w:tc>
          <w:tcPr>
            <w:tcW w:w="5247" w:type="dxa"/>
            <w:shd w:val="clear" w:color="auto" w:fill="auto"/>
          </w:tcPr>
          <w:p w:rsidR="00172D56" w:rsidRPr="00172D56" w:rsidRDefault="00172D56" w:rsidP="00172D56">
            <w:pPr>
              <w:rPr>
                <w:sz w:val="22"/>
                <w:szCs w:val="22"/>
              </w:rPr>
            </w:pPr>
            <w:r w:rsidRPr="00172D56">
              <w:rPr>
                <w:sz w:val="22"/>
                <w:szCs w:val="22"/>
              </w:rPr>
              <w:t>Зниження податкового боргу по відношенню до суми боргу станом на початок поточного року та без врахування боргу, який виник у</w:t>
            </w:r>
            <w:r>
              <w:rPr>
                <w:sz w:val="22"/>
                <w:szCs w:val="22"/>
                <w:lang w:val="ru-RU"/>
              </w:rPr>
              <w:t xml:space="preserve"> </w:t>
            </w:r>
            <w:r w:rsidRPr="00172D56">
              <w:rPr>
                <w:sz w:val="22"/>
                <w:szCs w:val="22"/>
              </w:rPr>
              <w:t>поточному році</w:t>
            </w:r>
            <w:r>
              <w:rPr>
                <w:sz w:val="22"/>
                <w:szCs w:val="22"/>
              </w:rPr>
              <w:t>, відс</w:t>
            </w:r>
            <w:r w:rsidRPr="00172D56">
              <w:rPr>
                <w:sz w:val="22"/>
                <w:szCs w:val="22"/>
              </w:rPr>
              <w:t>.</w:t>
            </w:r>
          </w:p>
        </w:tc>
        <w:tc>
          <w:tcPr>
            <w:tcW w:w="1277" w:type="dxa"/>
            <w:shd w:val="clear" w:color="auto" w:fill="auto"/>
          </w:tcPr>
          <w:p w:rsidR="00172D56" w:rsidRPr="00172D56" w:rsidRDefault="00172D56" w:rsidP="00172D56">
            <w:pPr>
              <w:jc w:val="center"/>
              <w:rPr>
                <w:sz w:val="22"/>
                <w:szCs w:val="22"/>
                <w:lang w:val="en-US"/>
              </w:rPr>
            </w:pPr>
            <w:r w:rsidRPr="00172D56">
              <w:rPr>
                <w:sz w:val="22"/>
                <w:szCs w:val="22"/>
                <w:lang w:val="en-US"/>
              </w:rPr>
              <w:t>11</w:t>
            </w:r>
            <w:r w:rsidRPr="00172D56">
              <w:rPr>
                <w:sz w:val="22"/>
                <w:szCs w:val="22"/>
              </w:rPr>
              <w:t>,</w:t>
            </w:r>
            <w:r w:rsidRPr="00172D56">
              <w:rPr>
                <w:sz w:val="22"/>
                <w:szCs w:val="22"/>
                <w:lang w:val="en-US"/>
              </w:rPr>
              <w:t>7</w:t>
            </w:r>
          </w:p>
        </w:tc>
        <w:tc>
          <w:tcPr>
            <w:tcW w:w="1276" w:type="dxa"/>
            <w:shd w:val="clear" w:color="auto" w:fill="auto"/>
          </w:tcPr>
          <w:p w:rsidR="00172D56" w:rsidRPr="00172D56" w:rsidRDefault="00172D56" w:rsidP="00172D56">
            <w:pPr>
              <w:jc w:val="center"/>
              <w:rPr>
                <w:color w:val="FF0000"/>
                <w:sz w:val="22"/>
                <w:szCs w:val="22"/>
              </w:rPr>
            </w:pPr>
            <w:r w:rsidRPr="002B03DD">
              <w:rPr>
                <w:color w:val="000000" w:themeColor="text1"/>
                <w:sz w:val="22"/>
                <w:szCs w:val="22"/>
              </w:rPr>
              <w:t>23</w:t>
            </w:r>
          </w:p>
        </w:tc>
        <w:tc>
          <w:tcPr>
            <w:tcW w:w="1161" w:type="dxa"/>
          </w:tcPr>
          <w:p w:rsidR="00172D56" w:rsidRPr="00172D56" w:rsidRDefault="00172D56" w:rsidP="00172D56">
            <w:pPr>
              <w:jc w:val="center"/>
              <w:rPr>
                <w:sz w:val="22"/>
                <w:szCs w:val="22"/>
                <w:lang w:val="en-US"/>
              </w:rPr>
            </w:pPr>
            <w:r w:rsidRPr="00172D56">
              <w:rPr>
                <w:sz w:val="22"/>
                <w:szCs w:val="22"/>
                <w:lang w:val="en-US"/>
              </w:rPr>
              <w:t>10</w:t>
            </w:r>
          </w:p>
        </w:tc>
        <w:tc>
          <w:tcPr>
            <w:tcW w:w="1276" w:type="dxa"/>
          </w:tcPr>
          <w:p w:rsidR="00172D56" w:rsidRPr="00172D56" w:rsidRDefault="00172D56" w:rsidP="00172D56">
            <w:pPr>
              <w:jc w:val="center"/>
              <w:rPr>
                <w:sz w:val="22"/>
                <w:szCs w:val="22"/>
                <w:lang w:val="en-US"/>
              </w:rPr>
            </w:pPr>
            <w:r w:rsidRPr="00172D56">
              <w:rPr>
                <w:sz w:val="22"/>
                <w:szCs w:val="22"/>
                <w:lang w:val="en-US"/>
              </w:rPr>
              <w:t>11,3</w:t>
            </w:r>
          </w:p>
        </w:tc>
        <w:tc>
          <w:tcPr>
            <w:tcW w:w="1389" w:type="dxa"/>
          </w:tcPr>
          <w:p w:rsidR="00172D56" w:rsidRPr="00172D56" w:rsidRDefault="00172D56" w:rsidP="00172D56">
            <w:pPr>
              <w:jc w:val="center"/>
              <w:rPr>
                <w:sz w:val="22"/>
                <w:szCs w:val="22"/>
                <w:lang w:val="en-US"/>
              </w:rPr>
            </w:pPr>
            <w:r w:rsidRPr="00172D56">
              <w:rPr>
                <w:sz w:val="22"/>
                <w:szCs w:val="22"/>
                <w:lang w:val="en-US"/>
              </w:rPr>
              <w:t>+1,3</w:t>
            </w:r>
          </w:p>
        </w:tc>
        <w:tc>
          <w:tcPr>
            <w:tcW w:w="4421" w:type="dxa"/>
          </w:tcPr>
          <w:p w:rsidR="00172D56" w:rsidRPr="00190DE9" w:rsidRDefault="00172D56" w:rsidP="00172D56">
            <w:pPr>
              <w:jc w:val="both"/>
              <w:rPr>
                <w:rFonts w:eastAsia="Calibri"/>
                <w:sz w:val="24"/>
                <w:szCs w:val="24"/>
              </w:rPr>
            </w:pPr>
            <w:r w:rsidRPr="00190DE9">
              <w:rPr>
                <w:rFonts w:eastAsia="Calibri"/>
              </w:rPr>
              <w:t xml:space="preserve">Проведено активну роботу щодо реалізації заставного майна. </w:t>
            </w:r>
            <w:r w:rsidRPr="00190DE9">
              <w:rPr>
                <w:rFonts w:eastAsia="Calibri"/>
                <w:sz w:val="24"/>
                <w:szCs w:val="24"/>
              </w:rPr>
              <w:t xml:space="preserve"> </w:t>
            </w:r>
          </w:p>
        </w:tc>
      </w:tr>
      <w:tr w:rsidR="00172D56" w:rsidRPr="00C946CE" w:rsidTr="00465CE0">
        <w:trPr>
          <w:trHeight w:val="276"/>
          <w:jc w:val="center"/>
        </w:trPr>
        <w:tc>
          <w:tcPr>
            <w:tcW w:w="5247" w:type="dxa"/>
          </w:tcPr>
          <w:p w:rsidR="00172D56" w:rsidRPr="00172D56" w:rsidRDefault="00172D56" w:rsidP="00172D56">
            <w:pPr>
              <w:rPr>
                <w:sz w:val="22"/>
                <w:szCs w:val="22"/>
              </w:rPr>
            </w:pPr>
            <w:r w:rsidRPr="00172D56">
              <w:rPr>
                <w:sz w:val="22"/>
                <w:szCs w:val="22"/>
              </w:rPr>
              <w:t>Середній час митного оформлення товарів в режимі імпорту, хв.</w:t>
            </w:r>
          </w:p>
        </w:tc>
        <w:tc>
          <w:tcPr>
            <w:tcW w:w="1277" w:type="dxa"/>
          </w:tcPr>
          <w:p w:rsidR="00172D56" w:rsidRPr="00172D56" w:rsidRDefault="00172D56" w:rsidP="00172D56">
            <w:pPr>
              <w:jc w:val="center"/>
              <w:rPr>
                <w:sz w:val="22"/>
                <w:szCs w:val="22"/>
                <w:lang w:val="en-US"/>
              </w:rPr>
            </w:pPr>
            <w:r w:rsidRPr="00172D56">
              <w:rPr>
                <w:sz w:val="22"/>
                <w:szCs w:val="22"/>
                <w:lang w:val="en-US"/>
              </w:rPr>
              <w:t>94</w:t>
            </w:r>
          </w:p>
        </w:tc>
        <w:tc>
          <w:tcPr>
            <w:tcW w:w="1276" w:type="dxa"/>
          </w:tcPr>
          <w:p w:rsidR="00172D56" w:rsidRPr="00172D56" w:rsidRDefault="00172D56" w:rsidP="00172D56">
            <w:pPr>
              <w:jc w:val="center"/>
              <w:rPr>
                <w:sz w:val="22"/>
                <w:szCs w:val="22"/>
              </w:rPr>
            </w:pPr>
            <w:r w:rsidRPr="00172D56">
              <w:rPr>
                <w:sz w:val="22"/>
                <w:szCs w:val="22"/>
                <w:lang w:val="ru-RU"/>
              </w:rPr>
              <w:t>156</w:t>
            </w:r>
          </w:p>
        </w:tc>
        <w:tc>
          <w:tcPr>
            <w:tcW w:w="1161" w:type="dxa"/>
          </w:tcPr>
          <w:p w:rsidR="00172D56" w:rsidRPr="00172D56" w:rsidRDefault="00172D56" w:rsidP="00172D56">
            <w:pPr>
              <w:jc w:val="center"/>
              <w:rPr>
                <w:sz w:val="22"/>
                <w:szCs w:val="22"/>
                <w:lang w:val="ru-RU"/>
              </w:rPr>
            </w:pPr>
            <w:r w:rsidRPr="00172D56">
              <w:rPr>
                <w:sz w:val="22"/>
                <w:szCs w:val="22"/>
                <w:lang w:val="ru-RU"/>
              </w:rPr>
              <w:t>65</w:t>
            </w:r>
          </w:p>
        </w:tc>
        <w:tc>
          <w:tcPr>
            <w:tcW w:w="1276" w:type="dxa"/>
          </w:tcPr>
          <w:p w:rsidR="00172D56" w:rsidRPr="00172D56" w:rsidRDefault="00172D56" w:rsidP="00172D56">
            <w:pPr>
              <w:jc w:val="center"/>
              <w:rPr>
                <w:sz w:val="22"/>
                <w:szCs w:val="22"/>
                <w:lang w:val="en-US"/>
              </w:rPr>
            </w:pPr>
            <w:r w:rsidRPr="00172D56">
              <w:rPr>
                <w:sz w:val="22"/>
                <w:szCs w:val="22"/>
                <w:lang w:val="en-US"/>
              </w:rPr>
              <w:t>88</w:t>
            </w:r>
          </w:p>
        </w:tc>
        <w:tc>
          <w:tcPr>
            <w:tcW w:w="1389" w:type="dxa"/>
          </w:tcPr>
          <w:p w:rsidR="00172D56" w:rsidRPr="00172D56" w:rsidRDefault="00172D56" w:rsidP="00172D56">
            <w:pPr>
              <w:jc w:val="center"/>
              <w:rPr>
                <w:rFonts w:eastAsia="Calibri"/>
                <w:sz w:val="22"/>
                <w:szCs w:val="22"/>
                <w:lang w:val="en-US"/>
              </w:rPr>
            </w:pPr>
            <w:r w:rsidRPr="00172D56">
              <w:rPr>
                <w:rFonts w:eastAsia="Calibri"/>
                <w:sz w:val="22"/>
                <w:szCs w:val="22"/>
              </w:rPr>
              <w:t>+</w:t>
            </w:r>
            <w:r w:rsidRPr="00172D56">
              <w:rPr>
                <w:rFonts w:eastAsia="Calibri"/>
                <w:sz w:val="22"/>
                <w:szCs w:val="22"/>
                <w:lang w:val="en-US"/>
              </w:rPr>
              <w:t>23</w:t>
            </w:r>
          </w:p>
        </w:tc>
        <w:tc>
          <w:tcPr>
            <w:tcW w:w="4421" w:type="dxa"/>
            <w:vMerge w:val="restart"/>
          </w:tcPr>
          <w:p w:rsidR="00172D56" w:rsidRPr="007505E3" w:rsidRDefault="00172D56" w:rsidP="00172D56">
            <w:pPr>
              <w:jc w:val="both"/>
              <w:rPr>
                <w:rFonts w:eastAsia="Calibri"/>
              </w:rPr>
            </w:pPr>
            <w:r w:rsidRPr="007505E3">
              <w:rPr>
                <w:rFonts w:eastAsia="Calibri"/>
              </w:rPr>
              <w:t>ЗУ від 02.10.2019 №141-ІХ «Про внесення змін до Митного кодексу України щодо деяких питань функціонування авторизованих економічних операторів» набрав чинності 07.11.2019.</w:t>
            </w:r>
          </w:p>
          <w:p w:rsidR="00172D56" w:rsidRPr="00BC7B8C" w:rsidRDefault="00172D56" w:rsidP="00172D56">
            <w:pPr>
              <w:jc w:val="both"/>
              <w:rPr>
                <w:rFonts w:eastAsia="Calibri"/>
              </w:rPr>
            </w:pPr>
            <w:r w:rsidRPr="007505E3">
              <w:rPr>
                <w:rFonts w:eastAsia="Calibri"/>
              </w:rPr>
              <w:t>Крім того, відхилення зумовлено посиленням заходів митного контролю</w:t>
            </w:r>
            <w:r w:rsidRPr="00BC7B8C">
              <w:rPr>
                <w:rFonts w:eastAsia="Calibri"/>
              </w:rPr>
              <w:t xml:space="preserve"> </w:t>
            </w:r>
          </w:p>
        </w:tc>
      </w:tr>
      <w:tr w:rsidR="00172D56" w:rsidRPr="00C946CE" w:rsidTr="00465CE0">
        <w:trPr>
          <w:trHeight w:val="276"/>
          <w:jc w:val="center"/>
        </w:trPr>
        <w:tc>
          <w:tcPr>
            <w:tcW w:w="5247" w:type="dxa"/>
          </w:tcPr>
          <w:p w:rsidR="00172D56" w:rsidRPr="00172D56" w:rsidRDefault="00172D56" w:rsidP="00172D56">
            <w:pPr>
              <w:rPr>
                <w:sz w:val="22"/>
                <w:szCs w:val="22"/>
              </w:rPr>
            </w:pPr>
            <w:r w:rsidRPr="00172D56">
              <w:rPr>
                <w:sz w:val="22"/>
                <w:szCs w:val="22"/>
              </w:rPr>
              <w:t>Середній час митного оформлення товарів в режимі експорту, хв.</w:t>
            </w:r>
          </w:p>
        </w:tc>
        <w:tc>
          <w:tcPr>
            <w:tcW w:w="1277" w:type="dxa"/>
          </w:tcPr>
          <w:p w:rsidR="00172D56" w:rsidRPr="00172D56" w:rsidRDefault="00172D56" w:rsidP="00172D56">
            <w:pPr>
              <w:jc w:val="center"/>
              <w:rPr>
                <w:sz w:val="22"/>
                <w:szCs w:val="22"/>
                <w:lang w:val="en-US"/>
              </w:rPr>
            </w:pPr>
            <w:r w:rsidRPr="00172D56">
              <w:rPr>
                <w:sz w:val="22"/>
                <w:szCs w:val="22"/>
                <w:lang w:val="en-US"/>
              </w:rPr>
              <w:t>44</w:t>
            </w:r>
          </w:p>
        </w:tc>
        <w:tc>
          <w:tcPr>
            <w:tcW w:w="1276" w:type="dxa"/>
          </w:tcPr>
          <w:p w:rsidR="00172D56" w:rsidRPr="00172D56" w:rsidRDefault="00172D56" w:rsidP="00172D56">
            <w:pPr>
              <w:jc w:val="center"/>
              <w:rPr>
                <w:sz w:val="22"/>
                <w:szCs w:val="22"/>
              </w:rPr>
            </w:pPr>
            <w:r w:rsidRPr="00172D56">
              <w:rPr>
                <w:sz w:val="22"/>
                <w:szCs w:val="22"/>
                <w:lang w:val="ru-RU"/>
              </w:rPr>
              <w:t>52</w:t>
            </w:r>
          </w:p>
        </w:tc>
        <w:tc>
          <w:tcPr>
            <w:tcW w:w="1161" w:type="dxa"/>
          </w:tcPr>
          <w:p w:rsidR="00172D56" w:rsidRPr="00172D56" w:rsidRDefault="00172D56" w:rsidP="00172D56">
            <w:pPr>
              <w:jc w:val="center"/>
              <w:rPr>
                <w:sz w:val="22"/>
                <w:szCs w:val="22"/>
                <w:lang w:val="ru-RU"/>
              </w:rPr>
            </w:pPr>
            <w:r w:rsidRPr="00172D56">
              <w:rPr>
                <w:sz w:val="22"/>
                <w:szCs w:val="22"/>
                <w:lang w:val="ru-RU"/>
              </w:rPr>
              <w:t>20</w:t>
            </w:r>
          </w:p>
        </w:tc>
        <w:tc>
          <w:tcPr>
            <w:tcW w:w="1276" w:type="dxa"/>
          </w:tcPr>
          <w:p w:rsidR="00172D56" w:rsidRPr="00172D56" w:rsidRDefault="00172D56" w:rsidP="00172D56">
            <w:pPr>
              <w:jc w:val="center"/>
              <w:rPr>
                <w:sz w:val="22"/>
                <w:szCs w:val="22"/>
                <w:lang w:val="en-US"/>
              </w:rPr>
            </w:pPr>
            <w:r w:rsidRPr="00172D56">
              <w:rPr>
                <w:sz w:val="22"/>
                <w:szCs w:val="22"/>
                <w:lang w:val="en-US"/>
              </w:rPr>
              <w:t>48</w:t>
            </w:r>
          </w:p>
        </w:tc>
        <w:tc>
          <w:tcPr>
            <w:tcW w:w="1389" w:type="dxa"/>
          </w:tcPr>
          <w:p w:rsidR="00172D56" w:rsidRPr="00172D56" w:rsidRDefault="00172D56" w:rsidP="00172D56">
            <w:pPr>
              <w:jc w:val="center"/>
              <w:rPr>
                <w:rFonts w:eastAsia="Calibri"/>
                <w:sz w:val="22"/>
                <w:szCs w:val="22"/>
                <w:lang w:val="en-US"/>
              </w:rPr>
            </w:pPr>
            <w:r w:rsidRPr="00172D56">
              <w:rPr>
                <w:rFonts w:eastAsia="Calibri"/>
                <w:sz w:val="22"/>
                <w:szCs w:val="22"/>
              </w:rPr>
              <w:t>+</w:t>
            </w:r>
            <w:r w:rsidRPr="00172D56">
              <w:rPr>
                <w:rFonts w:eastAsia="Calibri"/>
                <w:sz w:val="22"/>
                <w:szCs w:val="22"/>
                <w:lang w:val="en-US"/>
              </w:rPr>
              <w:t>28</w:t>
            </w:r>
          </w:p>
        </w:tc>
        <w:tc>
          <w:tcPr>
            <w:tcW w:w="4421" w:type="dxa"/>
            <w:vMerge/>
          </w:tcPr>
          <w:p w:rsidR="00172D56" w:rsidRPr="00C946CE" w:rsidRDefault="00172D56" w:rsidP="00172D56">
            <w:pPr>
              <w:jc w:val="both"/>
              <w:rPr>
                <w:rFonts w:eastAsia="Calibri"/>
                <w:sz w:val="24"/>
                <w:szCs w:val="24"/>
              </w:rPr>
            </w:pPr>
          </w:p>
        </w:tc>
      </w:tr>
      <w:tr w:rsidR="00172D56" w:rsidRPr="00C946CE" w:rsidTr="00465CE0">
        <w:trPr>
          <w:trHeight w:val="276"/>
          <w:jc w:val="center"/>
        </w:trPr>
        <w:tc>
          <w:tcPr>
            <w:tcW w:w="5247" w:type="dxa"/>
          </w:tcPr>
          <w:p w:rsidR="00172D56" w:rsidRPr="00172D56" w:rsidRDefault="00172D56" w:rsidP="00172D56">
            <w:pPr>
              <w:rPr>
                <w:sz w:val="22"/>
                <w:szCs w:val="22"/>
              </w:rPr>
            </w:pPr>
            <w:r w:rsidRPr="00172D56">
              <w:rPr>
                <w:sz w:val="22"/>
                <w:szCs w:val="22"/>
              </w:rPr>
              <w:t>Середній час митного оформлення товарів в режимі транзиту, хв.</w:t>
            </w:r>
          </w:p>
        </w:tc>
        <w:tc>
          <w:tcPr>
            <w:tcW w:w="1277" w:type="dxa"/>
          </w:tcPr>
          <w:p w:rsidR="00172D56" w:rsidRPr="00172D56" w:rsidRDefault="00172D56" w:rsidP="00172D56">
            <w:pPr>
              <w:jc w:val="center"/>
              <w:rPr>
                <w:sz w:val="22"/>
                <w:szCs w:val="22"/>
                <w:lang w:val="en-US"/>
              </w:rPr>
            </w:pPr>
            <w:r w:rsidRPr="00172D56">
              <w:rPr>
                <w:sz w:val="22"/>
                <w:szCs w:val="22"/>
                <w:lang w:val="en-US"/>
              </w:rPr>
              <w:t>18</w:t>
            </w:r>
          </w:p>
        </w:tc>
        <w:tc>
          <w:tcPr>
            <w:tcW w:w="1276" w:type="dxa"/>
          </w:tcPr>
          <w:p w:rsidR="00172D56" w:rsidRPr="00172D56" w:rsidRDefault="00172D56" w:rsidP="00172D56">
            <w:pPr>
              <w:jc w:val="center"/>
              <w:rPr>
                <w:sz w:val="22"/>
                <w:szCs w:val="22"/>
              </w:rPr>
            </w:pPr>
            <w:r w:rsidRPr="00172D56">
              <w:rPr>
                <w:sz w:val="22"/>
                <w:szCs w:val="22"/>
                <w:lang w:val="ru-RU"/>
              </w:rPr>
              <w:t>19</w:t>
            </w:r>
          </w:p>
        </w:tc>
        <w:tc>
          <w:tcPr>
            <w:tcW w:w="1161" w:type="dxa"/>
          </w:tcPr>
          <w:p w:rsidR="00172D56" w:rsidRPr="00172D56" w:rsidRDefault="00172D56" w:rsidP="00172D56">
            <w:pPr>
              <w:jc w:val="center"/>
              <w:rPr>
                <w:sz w:val="22"/>
                <w:szCs w:val="22"/>
                <w:lang w:val="ru-RU"/>
              </w:rPr>
            </w:pPr>
            <w:r w:rsidRPr="00172D56">
              <w:rPr>
                <w:sz w:val="22"/>
                <w:szCs w:val="22"/>
                <w:lang w:val="ru-RU"/>
              </w:rPr>
              <w:t>10</w:t>
            </w:r>
          </w:p>
        </w:tc>
        <w:tc>
          <w:tcPr>
            <w:tcW w:w="1276" w:type="dxa"/>
          </w:tcPr>
          <w:p w:rsidR="00172D56" w:rsidRPr="00172D56" w:rsidRDefault="00172D56" w:rsidP="00172D56">
            <w:pPr>
              <w:jc w:val="center"/>
              <w:rPr>
                <w:sz w:val="22"/>
                <w:szCs w:val="22"/>
                <w:lang w:val="en-US"/>
              </w:rPr>
            </w:pPr>
            <w:r w:rsidRPr="00172D56">
              <w:rPr>
                <w:sz w:val="22"/>
                <w:szCs w:val="22"/>
                <w:lang w:val="en-US"/>
              </w:rPr>
              <w:t>20</w:t>
            </w:r>
          </w:p>
        </w:tc>
        <w:tc>
          <w:tcPr>
            <w:tcW w:w="1389" w:type="dxa"/>
          </w:tcPr>
          <w:p w:rsidR="00172D56" w:rsidRPr="00172D56" w:rsidRDefault="00172D56" w:rsidP="00172D56">
            <w:pPr>
              <w:jc w:val="center"/>
              <w:rPr>
                <w:rFonts w:eastAsia="Calibri"/>
                <w:sz w:val="22"/>
                <w:szCs w:val="22"/>
                <w:lang w:val="en-US"/>
              </w:rPr>
            </w:pPr>
            <w:r w:rsidRPr="00172D56">
              <w:rPr>
                <w:rFonts w:eastAsia="Calibri"/>
                <w:sz w:val="22"/>
                <w:szCs w:val="22"/>
              </w:rPr>
              <w:t>+</w:t>
            </w:r>
            <w:r w:rsidRPr="00172D56">
              <w:rPr>
                <w:rFonts w:eastAsia="Calibri"/>
                <w:sz w:val="22"/>
                <w:szCs w:val="22"/>
                <w:lang w:val="en-US"/>
              </w:rPr>
              <w:t>10</w:t>
            </w:r>
          </w:p>
        </w:tc>
        <w:tc>
          <w:tcPr>
            <w:tcW w:w="4421" w:type="dxa"/>
          </w:tcPr>
          <w:p w:rsidR="00172D56" w:rsidRPr="00C946CE" w:rsidRDefault="00172D56" w:rsidP="00172D56">
            <w:pPr>
              <w:jc w:val="both"/>
              <w:rPr>
                <w:rFonts w:eastAsia="Calibri"/>
                <w:sz w:val="24"/>
                <w:szCs w:val="24"/>
              </w:rPr>
            </w:pPr>
            <w:r w:rsidRPr="00BC7B8C">
              <w:rPr>
                <w:rFonts w:eastAsia="Calibri"/>
              </w:rPr>
              <w:t xml:space="preserve">ЗУ від </w:t>
            </w:r>
            <w:r>
              <w:rPr>
                <w:rFonts w:eastAsia="Calibri"/>
              </w:rPr>
              <w:t>1</w:t>
            </w:r>
            <w:r w:rsidRPr="00BC7B8C">
              <w:rPr>
                <w:rFonts w:eastAsia="Calibri"/>
              </w:rPr>
              <w:t>2.0</w:t>
            </w:r>
            <w:r>
              <w:rPr>
                <w:rFonts w:eastAsia="Calibri"/>
              </w:rPr>
              <w:t>9</w:t>
            </w:r>
            <w:r w:rsidRPr="00BC7B8C">
              <w:rPr>
                <w:rFonts w:eastAsia="Calibri"/>
              </w:rPr>
              <w:t>.2019 №</w:t>
            </w:r>
            <w:r>
              <w:rPr>
                <w:rFonts w:eastAsia="Calibri"/>
              </w:rPr>
              <w:t>78</w:t>
            </w:r>
            <w:r w:rsidRPr="00BC7B8C">
              <w:rPr>
                <w:rFonts w:eastAsia="Calibri"/>
              </w:rPr>
              <w:t>-ІХ</w:t>
            </w:r>
            <w:r>
              <w:rPr>
                <w:rFonts w:eastAsia="Calibri"/>
              </w:rPr>
              <w:t xml:space="preserve"> «</w:t>
            </w:r>
            <w:r w:rsidRPr="00BC7B8C">
              <w:rPr>
                <w:rFonts w:eastAsia="Calibri"/>
              </w:rPr>
              <w:t>Про режим спільного транзиту та запровадження національної електронної транзитної системи</w:t>
            </w:r>
            <w:r>
              <w:rPr>
                <w:rFonts w:eastAsia="Calibri"/>
              </w:rPr>
              <w:t>» набере чинності 25.03.2020.</w:t>
            </w:r>
          </w:p>
        </w:tc>
      </w:tr>
      <w:tr w:rsidR="00172D56" w:rsidRPr="00C946CE" w:rsidTr="00465CE0">
        <w:trPr>
          <w:trHeight w:val="276"/>
          <w:jc w:val="center"/>
        </w:trPr>
        <w:tc>
          <w:tcPr>
            <w:tcW w:w="16047" w:type="dxa"/>
            <w:gridSpan w:val="7"/>
          </w:tcPr>
          <w:p w:rsidR="00465CE0" w:rsidRDefault="00465CE0" w:rsidP="00172D56">
            <w:pPr>
              <w:jc w:val="both"/>
              <w:rPr>
                <w:b/>
                <w:sz w:val="24"/>
                <w:szCs w:val="24"/>
              </w:rPr>
            </w:pPr>
          </w:p>
          <w:p w:rsidR="00172D56" w:rsidRPr="00465CE0" w:rsidRDefault="00172D56" w:rsidP="00172D56">
            <w:pPr>
              <w:jc w:val="both"/>
              <w:rPr>
                <w:sz w:val="22"/>
                <w:szCs w:val="24"/>
              </w:rPr>
            </w:pPr>
            <w:r w:rsidRPr="00465CE0">
              <w:rPr>
                <w:b/>
                <w:sz w:val="22"/>
                <w:szCs w:val="24"/>
              </w:rPr>
              <w:t>Висновки про досягнення цілі</w:t>
            </w:r>
            <w:r w:rsidRPr="00465CE0">
              <w:rPr>
                <w:sz w:val="22"/>
                <w:szCs w:val="24"/>
              </w:rPr>
              <w:t>: Реформа Д</w:t>
            </w:r>
            <w:r w:rsidR="002B03DD">
              <w:rPr>
                <w:sz w:val="22"/>
                <w:szCs w:val="24"/>
              </w:rPr>
              <w:t xml:space="preserve">ержавної податкової служби України </w:t>
            </w:r>
            <w:r w:rsidRPr="00465CE0">
              <w:rPr>
                <w:sz w:val="22"/>
                <w:szCs w:val="24"/>
              </w:rPr>
              <w:t>та Держ</w:t>
            </w:r>
            <w:r w:rsidR="002B03DD">
              <w:rPr>
                <w:sz w:val="22"/>
                <w:szCs w:val="24"/>
              </w:rPr>
              <w:t xml:space="preserve">авної </w:t>
            </w:r>
            <w:r w:rsidRPr="00465CE0">
              <w:rPr>
                <w:sz w:val="22"/>
                <w:szCs w:val="24"/>
              </w:rPr>
              <w:t>мит</w:t>
            </w:r>
            <w:r w:rsidR="002B03DD">
              <w:rPr>
                <w:sz w:val="22"/>
                <w:szCs w:val="24"/>
              </w:rPr>
              <w:t xml:space="preserve">ної </w:t>
            </w:r>
            <w:r w:rsidRPr="00465CE0">
              <w:rPr>
                <w:sz w:val="22"/>
                <w:szCs w:val="24"/>
              </w:rPr>
              <w:t>служби</w:t>
            </w:r>
            <w:r w:rsidR="002B03DD">
              <w:rPr>
                <w:sz w:val="22"/>
                <w:szCs w:val="24"/>
              </w:rPr>
              <w:t xml:space="preserve"> України</w:t>
            </w:r>
            <w:r w:rsidRPr="00465CE0">
              <w:rPr>
                <w:sz w:val="22"/>
                <w:szCs w:val="24"/>
              </w:rPr>
              <w:t>, впроваджена у 2019 році, сприяла спрощенню процесів податковог</w:t>
            </w:r>
            <w:r w:rsidR="002B03DD">
              <w:rPr>
                <w:sz w:val="22"/>
                <w:szCs w:val="24"/>
              </w:rPr>
              <w:t>о та митного адміністрування,</w:t>
            </w:r>
            <w:r w:rsidRPr="00465CE0">
              <w:rPr>
                <w:sz w:val="22"/>
                <w:szCs w:val="24"/>
              </w:rPr>
              <w:t xml:space="preserve"> розвитку податкових сервісів.</w:t>
            </w:r>
          </w:p>
          <w:p w:rsidR="00172D56" w:rsidRPr="00465CE0" w:rsidRDefault="00172D56" w:rsidP="00172D56">
            <w:pPr>
              <w:jc w:val="both"/>
              <w:rPr>
                <w:sz w:val="22"/>
                <w:szCs w:val="24"/>
              </w:rPr>
            </w:pPr>
            <w:r w:rsidRPr="00465CE0">
              <w:rPr>
                <w:sz w:val="22"/>
                <w:szCs w:val="24"/>
              </w:rPr>
              <w:t>Завершення реформи податкових та митних органів сприятиме активізації підприємницької діяльності та покращенню бізнес-клімату в Україні.</w:t>
            </w:r>
          </w:p>
          <w:p w:rsidR="00172D56" w:rsidRPr="00F04C95" w:rsidRDefault="00172D56" w:rsidP="00172D56">
            <w:pPr>
              <w:jc w:val="both"/>
              <w:rPr>
                <w:sz w:val="24"/>
                <w:szCs w:val="24"/>
              </w:rPr>
            </w:pPr>
            <w:r w:rsidRPr="00465CE0">
              <w:rPr>
                <w:sz w:val="22"/>
                <w:szCs w:val="24"/>
              </w:rPr>
              <w:t xml:space="preserve">Високий рівень своєчасності відшкодування ПДВ та автоматизація митних процедур сприятимуть розвитку міжнародної торгівлі, зокрема зростанню експортних </w:t>
            </w:r>
            <w:r w:rsidRPr="00465CE0">
              <w:rPr>
                <w:sz w:val="22"/>
                <w:szCs w:val="24"/>
              </w:rPr>
              <w:lastRenderedPageBreak/>
              <w:t>операцій.</w:t>
            </w:r>
          </w:p>
        </w:tc>
      </w:tr>
      <w:tr w:rsidR="00172D56" w:rsidRPr="00C946CE" w:rsidTr="00465CE0">
        <w:trPr>
          <w:trHeight w:val="276"/>
          <w:jc w:val="center"/>
        </w:trPr>
        <w:tc>
          <w:tcPr>
            <w:tcW w:w="16047" w:type="dxa"/>
            <w:gridSpan w:val="7"/>
          </w:tcPr>
          <w:p w:rsidR="00465CE0" w:rsidRDefault="00465CE0" w:rsidP="00172D56">
            <w:pPr>
              <w:jc w:val="center"/>
              <w:rPr>
                <w:b/>
                <w:i/>
                <w:sz w:val="24"/>
                <w:szCs w:val="24"/>
              </w:rPr>
            </w:pPr>
          </w:p>
          <w:p w:rsidR="00172D56" w:rsidRDefault="00172D56" w:rsidP="00172D56">
            <w:pPr>
              <w:jc w:val="center"/>
              <w:rPr>
                <w:b/>
                <w:i/>
                <w:sz w:val="24"/>
                <w:szCs w:val="24"/>
              </w:rPr>
            </w:pPr>
            <w:r w:rsidRPr="00C946CE">
              <w:rPr>
                <w:b/>
                <w:i/>
                <w:sz w:val="24"/>
                <w:szCs w:val="24"/>
              </w:rPr>
              <w:t>Ціль 3. Фінансова система, що забезпечує підтримку макроекономічної стабільності, ефективний фінансовий моніторинг та використання ресурсів для економічного розвитку</w:t>
            </w:r>
          </w:p>
          <w:p w:rsidR="00465CE0" w:rsidRPr="00C946CE" w:rsidRDefault="00465CE0" w:rsidP="00172D56">
            <w:pPr>
              <w:jc w:val="center"/>
              <w:rPr>
                <w:b/>
                <w:i/>
                <w:sz w:val="24"/>
                <w:szCs w:val="24"/>
              </w:rPr>
            </w:pPr>
          </w:p>
        </w:tc>
      </w:tr>
      <w:tr w:rsidR="00172D56" w:rsidRPr="00C946CE" w:rsidTr="00465CE0">
        <w:trPr>
          <w:trHeight w:val="276"/>
          <w:jc w:val="center"/>
        </w:trPr>
        <w:tc>
          <w:tcPr>
            <w:tcW w:w="5247" w:type="dxa"/>
          </w:tcPr>
          <w:p w:rsidR="00172D56" w:rsidRPr="00172D56" w:rsidRDefault="00172D56" w:rsidP="00172D56">
            <w:pPr>
              <w:rPr>
                <w:sz w:val="22"/>
                <w:szCs w:val="22"/>
              </w:rPr>
            </w:pPr>
            <w:r w:rsidRPr="00172D56">
              <w:rPr>
                <w:sz w:val="22"/>
                <w:szCs w:val="22"/>
              </w:rPr>
              <w:t>Дефіцит державного бюджету, % ВВП, не вище</w:t>
            </w:r>
          </w:p>
        </w:tc>
        <w:tc>
          <w:tcPr>
            <w:tcW w:w="1277" w:type="dxa"/>
          </w:tcPr>
          <w:p w:rsidR="00172D56" w:rsidRPr="00172D56" w:rsidRDefault="00172D56" w:rsidP="00172D56">
            <w:pPr>
              <w:jc w:val="center"/>
              <w:rPr>
                <w:sz w:val="22"/>
                <w:szCs w:val="22"/>
                <w:lang w:val="en-US"/>
              </w:rPr>
            </w:pPr>
            <w:r w:rsidRPr="00172D56">
              <w:rPr>
                <w:sz w:val="22"/>
                <w:szCs w:val="22"/>
                <w:lang w:val="en-US"/>
              </w:rPr>
              <w:t>1,6</w:t>
            </w:r>
          </w:p>
        </w:tc>
        <w:tc>
          <w:tcPr>
            <w:tcW w:w="1276" w:type="dxa"/>
          </w:tcPr>
          <w:p w:rsidR="00172D56" w:rsidRPr="00172D56" w:rsidRDefault="00172D56" w:rsidP="00172D56">
            <w:pPr>
              <w:jc w:val="center"/>
              <w:rPr>
                <w:sz w:val="22"/>
                <w:szCs w:val="22"/>
                <w:lang w:val="en-US"/>
              </w:rPr>
            </w:pPr>
            <w:r w:rsidRPr="00172D56">
              <w:rPr>
                <w:sz w:val="22"/>
                <w:szCs w:val="22"/>
                <w:lang w:val="en-US"/>
              </w:rPr>
              <w:t>1,7</w:t>
            </w:r>
          </w:p>
        </w:tc>
        <w:tc>
          <w:tcPr>
            <w:tcW w:w="1161" w:type="dxa"/>
          </w:tcPr>
          <w:p w:rsidR="00172D56" w:rsidRPr="00172D56" w:rsidRDefault="00172D56" w:rsidP="00172D56">
            <w:pPr>
              <w:jc w:val="center"/>
              <w:rPr>
                <w:sz w:val="22"/>
                <w:szCs w:val="22"/>
                <w:lang w:val="en-US"/>
              </w:rPr>
            </w:pPr>
            <w:r w:rsidRPr="00172D56">
              <w:rPr>
                <w:sz w:val="22"/>
                <w:szCs w:val="22"/>
                <w:lang w:val="en-US"/>
              </w:rPr>
              <w:t>2,26</w:t>
            </w:r>
          </w:p>
        </w:tc>
        <w:tc>
          <w:tcPr>
            <w:tcW w:w="1276" w:type="dxa"/>
          </w:tcPr>
          <w:p w:rsidR="00172D56" w:rsidRPr="00172D56" w:rsidRDefault="00172D56" w:rsidP="00172D56">
            <w:pPr>
              <w:jc w:val="center"/>
              <w:rPr>
                <w:sz w:val="22"/>
                <w:szCs w:val="22"/>
                <w:lang w:val="en-US"/>
              </w:rPr>
            </w:pPr>
            <w:r w:rsidRPr="00172D56">
              <w:rPr>
                <w:sz w:val="22"/>
                <w:szCs w:val="22"/>
              </w:rPr>
              <w:t>2</w:t>
            </w:r>
          </w:p>
        </w:tc>
        <w:tc>
          <w:tcPr>
            <w:tcW w:w="1389" w:type="dxa"/>
          </w:tcPr>
          <w:p w:rsidR="00172D56" w:rsidRPr="00172D56" w:rsidRDefault="00172D56" w:rsidP="00172D56">
            <w:pPr>
              <w:jc w:val="center"/>
              <w:rPr>
                <w:sz w:val="22"/>
                <w:szCs w:val="22"/>
                <w:lang w:val="en-US"/>
              </w:rPr>
            </w:pPr>
            <w:r w:rsidRPr="00172D56">
              <w:rPr>
                <w:sz w:val="22"/>
                <w:szCs w:val="22"/>
                <w:lang w:val="en-US"/>
              </w:rPr>
              <w:t>-0,</w:t>
            </w:r>
            <w:r w:rsidRPr="00172D56">
              <w:rPr>
                <w:sz w:val="22"/>
                <w:szCs w:val="22"/>
              </w:rPr>
              <w:t>3</w:t>
            </w:r>
          </w:p>
        </w:tc>
        <w:tc>
          <w:tcPr>
            <w:tcW w:w="4421" w:type="dxa"/>
          </w:tcPr>
          <w:p w:rsidR="00172D56" w:rsidRPr="00172D56" w:rsidRDefault="00172D56" w:rsidP="002B03DD">
            <w:pPr>
              <w:pStyle w:val="ad"/>
              <w:ind w:right="30"/>
              <w:jc w:val="both"/>
              <w:rPr>
                <w:szCs w:val="22"/>
              </w:rPr>
            </w:pPr>
            <w:r w:rsidRPr="00172D56">
              <w:rPr>
                <w:szCs w:val="22"/>
              </w:rPr>
              <w:t>Завдяки виваженій бюджетній політиці дефіцит державного бюджету у 2019 році був утриманий в</w:t>
            </w:r>
            <w:r w:rsidR="002B03DD">
              <w:rPr>
                <w:szCs w:val="22"/>
              </w:rPr>
              <w:t xml:space="preserve"> межах запланованих показників. </w:t>
            </w:r>
            <w:r w:rsidRPr="00172D56">
              <w:rPr>
                <w:szCs w:val="22"/>
              </w:rPr>
              <w:t>Так, фактичний дефіцит  державного бюджету був меншим за затверджений Верховною Радою України із змінами на 10,1 млрд</w:t>
            </w:r>
            <w:r w:rsidR="002B03DD">
              <w:rPr>
                <w:szCs w:val="22"/>
              </w:rPr>
              <w:t>.</w:t>
            </w:r>
            <w:r w:rsidRPr="00172D56">
              <w:rPr>
                <w:szCs w:val="22"/>
              </w:rPr>
              <w:t xml:space="preserve"> грн, в т.ч. за загальним фондом – на 0,8 млрд</w:t>
            </w:r>
            <w:r w:rsidR="002B03DD">
              <w:rPr>
                <w:szCs w:val="22"/>
              </w:rPr>
              <w:t>.</w:t>
            </w:r>
            <w:r w:rsidRPr="00172D56">
              <w:rPr>
                <w:szCs w:val="22"/>
              </w:rPr>
              <w:t xml:space="preserve">грн та за спеціальним фондом </w:t>
            </w:r>
            <w:r w:rsidR="002B03DD">
              <w:rPr>
                <w:szCs w:val="22"/>
              </w:rPr>
              <w:t>- на 9,4 млрд.</w:t>
            </w:r>
            <w:r w:rsidRPr="00172D56">
              <w:rPr>
                <w:szCs w:val="22"/>
              </w:rPr>
              <w:t>гр</w:t>
            </w:r>
            <w:r w:rsidR="002B03DD">
              <w:rPr>
                <w:szCs w:val="22"/>
              </w:rPr>
              <w:t>н</w:t>
            </w:r>
            <w:r w:rsidRPr="00172D56">
              <w:rPr>
                <w:szCs w:val="22"/>
              </w:rPr>
              <w:t xml:space="preserve">. </w:t>
            </w:r>
          </w:p>
        </w:tc>
      </w:tr>
      <w:tr w:rsidR="00172D56" w:rsidRPr="00C946CE" w:rsidTr="00465CE0">
        <w:trPr>
          <w:trHeight w:val="276"/>
          <w:jc w:val="center"/>
        </w:trPr>
        <w:tc>
          <w:tcPr>
            <w:tcW w:w="5247" w:type="dxa"/>
          </w:tcPr>
          <w:p w:rsidR="00172D56" w:rsidRPr="00172D56" w:rsidRDefault="00172D56" w:rsidP="00172D56">
            <w:pPr>
              <w:rPr>
                <w:sz w:val="22"/>
                <w:szCs w:val="22"/>
              </w:rPr>
            </w:pPr>
            <w:r w:rsidRPr="00172D56">
              <w:rPr>
                <w:sz w:val="22"/>
                <w:szCs w:val="22"/>
              </w:rPr>
              <w:t>Рівень державного боргу, % ВВП, не вище</w:t>
            </w:r>
          </w:p>
        </w:tc>
        <w:tc>
          <w:tcPr>
            <w:tcW w:w="1277" w:type="dxa"/>
          </w:tcPr>
          <w:p w:rsidR="00172D56" w:rsidRPr="00172D56" w:rsidRDefault="00172D56" w:rsidP="00172D56">
            <w:pPr>
              <w:jc w:val="center"/>
              <w:rPr>
                <w:sz w:val="22"/>
                <w:szCs w:val="22"/>
                <w:lang w:val="en-US"/>
              </w:rPr>
            </w:pPr>
            <w:r w:rsidRPr="00172D56">
              <w:rPr>
                <w:sz w:val="22"/>
                <w:szCs w:val="22"/>
                <w:lang w:val="en-US"/>
              </w:rPr>
              <w:t>61</w:t>
            </w:r>
            <w:r w:rsidRPr="00172D56">
              <w:rPr>
                <w:sz w:val="22"/>
                <w:szCs w:val="22"/>
              </w:rPr>
              <w:t>,</w:t>
            </w:r>
            <w:r w:rsidRPr="00172D56">
              <w:rPr>
                <w:sz w:val="22"/>
                <w:szCs w:val="22"/>
                <w:lang w:val="en-US"/>
              </w:rPr>
              <w:t>5</w:t>
            </w:r>
          </w:p>
        </w:tc>
        <w:tc>
          <w:tcPr>
            <w:tcW w:w="1276" w:type="dxa"/>
          </w:tcPr>
          <w:p w:rsidR="00172D56" w:rsidRPr="00172D56" w:rsidRDefault="00172D56" w:rsidP="00172D56">
            <w:pPr>
              <w:jc w:val="center"/>
              <w:rPr>
                <w:sz w:val="22"/>
                <w:szCs w:val="22"/>
              </w:rPr>
            </w:pPr>
            <w:r w:rsidRPr="00172D56">
              <w:rPr>
                <w:sz w:val="22"/>
                <w:szCs w:val="22"/>
                <w:lang w:val="ru-RU"/>
              </w:rPr>
              <w:t>52,3</w:t>
            </w:r>
          </w:p>
        </w:tc>
        <w:tc>
          <w:tcPr>
            <w:tcW w:w="1161" w:type="dxa"/>
          </w:tcPr>
          <w:p w:rsidR="00172D56" w:rsidRPr="00172D56" w:rsidRDefault="00172D56" w:rsidP="00172D56">
            <w:pPr>
              <w:jc w:val="center"/>
              <w:rPr>
                <w:sz w:val="22"/>
                <w:szCs w:val="22"/>
              </w:rPr>
            </w:pPr>
            <w:r w:rsidRPr="00172D56">
              <w:rPr>
                <w:sz w:val="22"/>
                <w:szCs w:val="22"/>
              </w:rPr>
              <w:t>52,2</w:t>
            </w:r>
          </w:p>
        </w:tc>
        <w:tc>
          <w:tcPr>
            <w:tcW w:w="1276" w:type="dxa"/>
          </w:tcPr>
          <w:p w:rsidR="00172D56" w:rsidRPr="00172D56" w:rsidRDefault="00172D56" w:rsidP="00172D56">
            <w:pPr>
              <w:jc w:val="center"/>
              <w:rPr>
                <w:sz w:val="22"/>
                <w:szCs w:val="22"/>
              </w:rPr>
            </w:pPr>
            <w:r w:rsidRPr="00172D56">
              <w:rPr>
                <w:sz w:val="22"/>
                <w:szCs w:val="22"/>
              </w:rPr>
              <w:t>43,8</w:t>
            </w:r>
          </w:p>
        </w:tc>
        <w:tc>
          <w:tcPr>
            <w:tcW w:w="1389" w:type="dxa"/>
          </w:tcPr>
          <w:p w:rsidR="00172D56" w:rsidRPr="00172D56" w:rsidRDefault="00172D56" w:rsidP="00172D56">
            <w:pPr>
              <w:jc w:val="center"/>
              <w:rPr>
                <w:rFonts w:eastAsia="Calibri"/>
                <w:sz w:val="22"/>
                <w:szCs w:val="22"/>
              </w:rPr>
            </w:pPr>
            <w:r w:rsidRPr="00172D56">
              <w:rPr>
                <w:rFonts w:eastAsia="Calibri"/>
                <w:sz w:val="22"/>
                <w:szCs w:val="22"/>
              </w:rPr>
              <w:t>-8,4</w:t>
            </w:r>
          </w:p>
        </w:tc>
        <w:tc>
          <w:tcPr>
            <w:tcW w:w="4421" w:type="dxa"/>
          </w:tcPr>
          <w:p w:rsidR="00172D56" w:rsidRPr="00172D56" w:rsidRDefault="00172D56" w:rsidP="002B03DD">
            <w:pPr>
              <w:pStyle w:val="ad"/>
              <w:ind w:right="30"/>
              <w:jc w:val="both"/>
              <w:rPr>
                <w:szCs w:val="22"/>
              </w:rPr>
            </w:pPr>
            <w:r w:rsidRPr="00172D56">
              <w:rPr>
                <w:szCs w:val="22"/>
              </w:rPr>
              <w:t>Виважена політика з управління</w:t>
            </w:r>
            <w:r w:rsidR="002B03DD">
              <w:rPr>
                <w:szCs w:val="22"/>
              </w:rPr>
              <w:t xml:space="preserve"> </w:t>
            </w:r>
            <w:r w:rsidRPr="00172D56">
              <w:rPr>
                <w:szCs w:val="22"/>
              </w:rPr>
              <w:t>державним боргом сприяла зменшенню рівня державного боргу до ВВП.</w:t>
            </w:r>
          </w:p>
        </w:tc>
      </w:tr>
      <w:tr w:rsidR="00172D56" w:rsidRPr="00C946CE" w:rsidTr="00465CE0">
        <w:trPr>
          <w:trHeight w:val="276"/>
          <w:jc w:val="center"/>
        </w:trPr>
        <w:tc>
          <w:tcPr>
            <w:tcW w:w="5247" w:type="dxa"/>
          </w:tcPr>
          <w:p w:rsidR="00172D56" w:rsidRPr="002B03DD" w:rsidRDefault="00172D56" w:rsidP="00FD709C">
            <w:pPr>
              <w:jc w:val="both"/>
              <w:rPr>
                <w:color w:val="000000" w:themeColor="text1"/>
                <w:sz w:val="22"/>
                <w:szCs w:val="22"/>
              </w:rPr>
            </w:pPr>
            <w:r w:rsidRPr="002B03DD">
              <w:rPr>
                <w:color w:val="000000" w:themeColor="text1"/>
                <w:sz w:val="22"/>
                <w:szCs w:val="22"/>
              </w:rPr>
              <w:t>П</w:t>
            </w:r>
            <w:bookmarkStart w:id="0" w:name="_GoBack"/>
            <w:bookmarkEnd w:id="0"/>
            <w:r w:rsidRPr="002B03DD">
              <w:rPr>
                <w:color w:val="000000" w:themeColor="text1"/>
                <w:sz w:val="22"/>
                <w:szCs w:val="22"/>
              </w:rPr>
              <w:t xml:space="preserve">ідвищення рівня у рейтингу за довгостроковими зобов'язаннями в іноземній валюті за шкалою рейтингового агентства Standard and </w:t>
            </w:r>
            <w:r w:rsidRPr="002B03DD">
              <w:rPr>
                <w:color w:val="000000" w:themeColor="text1"/>
                <w:sz w:val="22"/>
                <w:szCs w:val="22"/>
                <w:lang w:val="en-US"/>
              </w:rPr>
              <w:t>P</w:t>
            </w:r>
            <w:r w:rsidRPr="002B03DD">
              <w:rPr>
                <w:color w:val="000000" w:themeColor="text1"/>
                <w:sz w:val="22"/>
                <w:szCs w:val="22"/>
              </w:rPr>
              <w:t xml:space="preserve">oors з </w:t>
            </w:r>
            <w:r w:rsidR="002B03DD" w:rsidRPr="002B03DD">
              <w:rPr>
                <w:color w:val="000000" w:themeColor="text1"/>
                <w:sz w:val="22"/>
                <w:szCs w:val="22"/>
              </w:rPr>
              <w:t xml:space="preserve">метою досягнення рейтингу ”ВВВ” у </w:t>
            </w:r>
            <w:r w:rsidRPr="002B03DD">
              <w:rPr>
                <w:color w:val="000000" w:themeColor="text1"/>
                <w:sz w:val="22"/>
                <w:szCs w:val="22"/>
              </w:rPr>
              <w:t>2021 році відносно фактичного рейтингу 2017 року  ”В-”, рівень</w:t>
            </w:r>
          </w:p>
        </w:tc>
        <w:tc>
          <w:tcPr>
            <w:tcW w:w="1277" w:type="dxa"/>
          </w:tcPr>
          <w:p w:rsidR="00172D56" w:rsidRPr="00172D56" w:rsidRDefault="002B03DD" w:rsidP="00172D56">
            <w:pPr>
              <w:jc w:val="center"/>
              <w:rPr>
                <w:sz w:val="22"/>
                <w:szCs w:val="22"/>
              </w:rPr>
            </w:pPr>
            <w:r>
              <w:rPr>
                <w:sz w:val="22"/>
                <w:szCs w:val="22"/>
              </w:rPr>
              <w:t>-</w:t>
            </w:r>
          </w:p>
        </w:tc>
        <w:tc>
          <w:tcPr>
            <w:tcW w:w="1276" w:type="dxa"/>
          </w:tcPr>
          <w:p w:rsidR="00172D56" w:rsidRPr="00172D56" w:rsidRDefault="00172D56" w:rsidP="00172D56">
            <w:pPr>
              <w:jc w:val="center"/>
              <w:rPr>
                <w:sz w:val="22"/>
                <w:szCs w:val="22"/>
              </w:rPr>
            </w:pPr>
            <w:r w:rsidRPr="00172D56">
              <w:rPr>
                <w:sz w:val="22"/>
                <w:szCs w:val="22"/>
              </w:rPr>
              <w:t>B</w:t>
            </w:r>
          </w:p>
        </w:tc>
        <w:tc>
          <w:tcPr>
            <w:tcW w:w="1161" w:type="dxa"/>
          </w:tcPr>
          <w:p w:rsidR="00172D56" w:rsidRPr="00172D56" w:rsidRDefault="00172D56" w:rsidP="00172D56">
            <w:pPr>
              <w:jc w:val="center"/>
              <w:rPr>
                <w:sz w:val="22"/>
                <w:szCs w:val="22"/>
              </w:rPr>
            </w:pPr>
            <w:r w:rsidRPr="00172D56">
              <w:rPr>
                <w:sz w:val="22"/>
                <w:szCs w:val="22"/>
              </w:rPr>
              <w:t>B</w:t>
            </w:r>
          </w:p>
        </w:tc>
        <w:tc>
          <w:tcPr>
            <w:tcW w:w="1276" w:type="dxa"/>
          </w:tcPr>
          <w:p w:rsidR="00172D56" w:rsidRPr="00172D56" w:rsidRDefault="00172D56" w:rsidP="00172D56">
            <w:pPr>
              <w:jc w:val="center"/>
              <w:rPr>
                <w:sz w:val="22"/>
                <w:szCs w:val="22"/>
              </w:rPr>
            </w:pPr>
            <w:r w:rsidRPr="00172D56">
              <w:rPr>
                <w:sz w:val="22"/>
                <w:szCs w:val="22"/>
              </w:rPr>
              <w:t>В</w:t>
            </w:r>
          </w:p>
        </w:tc>
        <w:tc>
          <w:tcPr>
            <w:tcW w:w="1389" w:type="dxa"/>
          </w:tcPr>
          <w:p w:rsidR="00172D56" w:rsidRPr="00172D56" w:rsidRDefault="00172D56" w:rsidP="00172D56">
            <w:pPr>
              <w:jc w:val="center"/>
              <w:rPr>
                <w:rFonts w:eastAsia="Calibri"/>
                <w:sz w:val="22"/>
                <w:szCs w:val="22"/>
              </w:rPr>
            </w:pPr>
            <w:r w:rsidRPr="00172D56">
              <w:rPr>
                <w:rFonts w:eastAsia="Calibri"/>
                <w:sz w:val="22"/>
                <w:szCs w:val="22"/>
              </w:rPr>
              <w:t>-</w:t>
            </w:r>
          </w:p>
        </w:tc>
        <w:tc>
          <w:tcPr>
            <w:tcW w:w="4421" w:type="dxa"/>
          </w:tcPr>
          <w:p w:rsidR="00172D56" w:rsidRPr="00172D56" w:rsidRDefault="00172D56" w:rsidP="00465CE0">
            <w:pPr>
              <w:ind w:right="30"/>
              <w:jc w:val="both"/>
              <w:rPr>
                <w:szCs w:val="22"/>
              </w:rPr>
            </w:pPr>
            <w:r w:rsidRPr="00172D56">
              <w:rPr>
                <w:szCs w:val="22"/>
              </w:rPr>
              <w:t>Показник досягнуто.</w:t>
            </w:r>
          </w:p>
        </w:tc>
      </w:tr>
      <w:tr w:rsidR="00172D56" w:rsidRPr="00C946CE" w:rsidTr="00465CE0">
        <w:trPr>
          <w:trHeight w:val="276"/>
          <w:jc w:val="center"/>
        </w:trPr>
        <w:tc>
          <w:tcPr>
            <w:tcW w:w="5247" w:type="dxa"/>
          </w:tcPr>
          <w:p w:rsidR="00172D56" w:rsidRPr="00172D56" w:rsidRDefault="00172D56" w:rsidP="00172D56">
            <w:pPr>
              <w:rPr>
                <w:sz w:val="22"/>
                <w:szCs w:val="22"/>
              </w:rPr>
            </w:pPr>
            <w:r w:rsidRPr="00172D56">
              <w:rPr>
                <w:sz w:val="22"/>
                <w:szCs w:val="22"/>
              </w:rPr>
              <w:t>Частка банків державного сектору в активах банківської системи</w:t>
            </w:r>
          </w:p>
        </w:tc>
        <w:tc>
          <w:tcPr>
            <w:tcW w:w="1277" w:type="dxa"/>
          </w:tcPr>
          <w:p w:rsidR="00172D56" w:rsidRPr="00172D56" w:rsidRDefault="00172D56" w:rsidP="00172D56">
            <w:pPr>
              <w:jc w:val="center"/>
              <w:rPr>
                <w:sz w:val="22"/>
                <w:szCs w:val="22"/>
              </w:rPr>
            </w:pPr>
            <w:r w:rsidRPr="00172D56">
              <w:rPr>
                <w:sz w:val="22"/>
                <w:szCs w:val="22"/>
              </w:rPr>
              <w:t>53</w:t>
            </w:r>
          </w:p>
        </w:tc>
        <w:tc>
          <w:tcPr>
            <w:tcW w:w="1276" w:type="dxa"/>
          </w:tcPr>
          <w:p w:rsidR="00172D56" w:rsidRPr="00172D56" w:rsidRDefault="00172D56" w:rsidP="00172D56">
            <w:pPr>
              <w:jc w:val="center"/>
              <w:rPr>
                <w:sz w:val="22"/>
                <w:szCs w:val="22"/>
              </w:rPr>
            </w:pPr>
            <w:r w:rsidRPr="00172D56">
              <w:rPr>
                <w:sz w:val="22"/>
                <w:szCs w:val="22"/>
              </w:rPr>
              <w:t>55</w:t>
            </w:r>
          </w:p>
        </w:tc>
        <w:tc>
          <w:tcPr>
            <w:tcW w:w="1161" w:type="dxa"/>
          </w:tcPr>
          <w:p w:rsidR="00172D56" w:rsidRPr="00172D56" w:rsidRDefault="00172D56" w:rsidP="00172D56">
            <w:pPr>
              <w:jc w:val="center"/>
              <w:rPr>
                <w:sz w:val="22"/>
                <w:szCs w:val="22"/>
              </w:rPr>
            </w:pPr>
            <w:r w:rsidRPr="00172D56">
              <w:rPr>
                <w:sz w:val="22"/>
                <w:szCs w:val="22"/>
              </w:rPr>
              <w:t>43</w:t>
            </w:r>
          </w:p>
        </w:tc>
        <w:tc>
          <w:tcPr>
            <w:tcW w:w="1276" w:type="dxa"/>
          </w:tcPr>
          <w:p w:rsidR="00172D56" w:rsidRPr="00172D56" w:rsidRDefault="00172D56" w:rsidP="00172D56">
            <w:pPr>
              <w:jc w:val="center"/>
              <w:rPr>
                <w:sz w:val="22"/>
                <w:szCs w:val="22"/>
              </w:rPr>
            </w:pPr>
            <w:r w:rsidRPr="00172D56">
              <w:rPr>
                <w:sz w:val="22"/>
                <w:szCs w:val="22"/>
              </w:rPr>
              <w:t>55,2</w:t>
            </w:r>
          </w:p>
        </w:tc>
        <w:tc>
          <w:tcPr>
            <w:tcW w:w="1389" w:type="dxa"/>
          </w:tcPr>
          <w:p w:rsidR="00172D56" w:rsidRPr="00172D56" w:rsidRDefault="00172D56" w:rsidP="00172D56">
            <w:pPr>
              <w:jc w:val="center"/>
              <w:rPr>
                <w:rFonts w:eastAsia="Calibri"/>
                <w:sz w:val="22"/>
                <w:szCs w:val="22"/>
              </w:rPr>
            </w:pPr>
            <w:r w:rsidRPr="00172D56">
              <w:rPr>
                <w:rFonts w:eastAsia="Calibri"/>
                <w:sz w:val="22"/>
                <w:szCs w:val="22"/>
              </w:rPr>
              <w:t>+12,2</w:t>
            </w:r>
          </w:p>
        </w:tc>
        <w:tc>
          <w:tcPr>
            <w:tcW w:w="4421" w:type="dxa"/>
          </w:tcPr>
          <w:p w:rsidR="00172D56" w:rsidRPr="00172D56" w:rsidRDefault="00172D56" w:rsidP="00465CE0">
            <w:pPr>
              <w:pStyle w:val="ad"/>
              <w:ind w:right="30"/>
              <w:jc w:val="both"/>
              <w:rPr>
                <w:szCs w:val="22"/>
              </w:rPr>
            </w:pPr>
            <w:r w:rsidRPr="00172D56">
              <w:rPr>
                <w:szCs w:val="22"/>
              </w:rPr>
              <w:t>Запланований показник у 43% був розрахований  з врахуванням продажу АТ «Укргазбанк». На сьогодні продаж частки банку, яка належить державі не здійснений, оскільки триває процедура узгодження рамкових умов предприватизаційної інвестиції МФК у банк.</w:t>
            </w:r>
          </w:p>
        </w:tc>
      </w:tr>
      <w:tr w:rsidR="00172D56" w:rsidRPr="00C946CE" w:rsidTr="00465CE0">
        <w:trPr>
          <w:trHeight w:val="276"/>
          <w:jc w:val="center"/>
        </w:trPr>
        <w:tc>
          <w:tcPr>
            <w:tcW w:w="5247" w:type="dxa"/>
            <w:vAlign w:val="center"/>
          </w:tcPr>
          <w:p w:rsidR="00172D56" w:rsidRPr="00172D56" w:rsidRDefault="00172D56" w:rsidP="00172D56">
            <w:pPr>
              <w:rPr>
                <w:sz w:val="22"/>
                <w:szCs w:val="22"/>
              </w:rPr>
            </w:pPr>
            <w:r w:rsidRPr="00172D56">
              <w:rPr>
                <w:sz w:val="22"/>
                <w:szCs w:val="22"/>
              </w:rPr>
              <w:t>Підвищення рівня боротьби з відмиванням коштів та фінансуванням тероризму в Україні шляхом реалізації рекомендацій Комітету Ради Європи MONEYVAL за результатами 5-го раунду оцінки України, не нижче, відс.</w:t>
            </w:r>
          </w:p>
        </w:tc>
        <w:tc>
          <w:tcPr>
            <w:tcW w:w="1277" w:type="dxa"/>
          </w:tcPr>
          <w:p w:rsidR="00172D56" w:rsidRPr="00172D56" w:rsidRDefault="002B03DD" w:rsidP="00172D56">
            <w:pPr>
              <w:jc w:val="center"/>
              <w:rPr>
                <w:sz w:val="22"/>
                <w:szCs w:val="22"/>
              </w:rPr>
            </w:pPr>
            <w:r>
              <w:rPr>
                <w:sz w:val="22"/>
                <w:szCs w:val="22"/>
              </w:rPr>
              <w:t>-</w:t>
            </w:r>
          </w:p>
        </w:tc>
        <w:tc>
          <w:tcPr>
            <w:tcW w:w="1276" w:type="dxa"/>
          </w:tcPr>
          <w:p w:rsidR="00172D56" w:rsidRPr="00172D56" w:rsidRDefault="00172D56" w:rsidP="00172D56">
            <w:pPr>
              <w:jc w:val="center"/>
              <w:rPr>
                <w:sz w:val="22"/>
                <w:szCs w:val="22"/>
              </w:rPr>
            </w:pPr>
            <w:r w:rsidRPr="00172D56">
              <w:rPr>
                <w:sz w:val="22"/>
                <w:szCs w:val="22"/>
              </w:rPr>
              <w:t>20</w:t>
            </w:r>
          </w:p>
        </w:tc>
        <w:tc>
          <w:tcPr>
            <w:tcW w:w="1161" w:type="dxa"/>
          </w:tcPr>
          <w:p w:rsidR="00172D56" w:rsidRPr="00172D56" w:rsidRDefault="00172D56" w:rsidP="00172D56">
            <w:pPr>
              <w:jc w:val="center"/>
              <w:rPr>
                <w:sz w:val="22"/>
                <w:szCs w:val="22"/>
              </w:rPr>
            </w:pPr>
            <w:r w:rsidRPr="00172D56">
              <w:rPr>
                <w:sz w:val="22"/>
                <w:szCs w:val="22"/>
              </w:rPr>
              <w:t>50</w:t>
            </w:r>
          </w:p>
        </w:tc>
        <w:tc>
          <w:tcPr>
            <w:tcW w:w="1276" w:type="dxa"/>
          </w:tcPr>
          <w:p w:rsidR="00172D56" w:rsidRPr="00172D56" w:rsidRDefault="00172D56" w:rsidP="00172D56">
            <w:pPr>
              <w:jc w:val="center"/>
              <w:rPr>
                <w:sz w:val="22"/>
                <w:szCs w:val="22"/>
              </w:rPr>
            </w:pPr>
            <w:r w:rsidRPr="00172D56">
              <w:rPr>
                <w:sz w:val="22"/>
                <w:szCs w:val="22"/>
              </w:rPr>
              <w:t>-</w:t>
            </w:r>
          </w:p>
        </w:tc>
        <w:tc>
          <w:tcPr>
            <w:tcW w:w="1389" w:type="dxa"/>
          </w:tcPr>
          <w:p w:rsidR="00172D56" w:rsidRPr="00172D56" w:rsidRDefault="00172D56" w:rsidP="00172D56">
            <w:pPr>
              <w:jc w:val="center"/>
              <w:rPr>
                <w:rFonts w:eastAsia="Calibri"/>
                <w:sz w:val="22"/>
                <w:szCs w:val="22"/>
              </w:rPr>
            </w:pPr>
            <w:r w:rsidRPr="00172D56">
              <w:rPr>
                <w:rFonts w:eastAsia="Calibri"/>
                <w:sz w:val="22"/>
                <w:szCs w:val="22"/>
              </w:rPr>
              <w:t>-</w:t>
            </w:r>
          </w:p>
        </w:tc>
        <w:tc>
          <w:tcPr>
            <w:tcW w:w="4421" w:type="dxa"/>
          </w:tcPr>
          <w:p w:rsidR="00172D56" w:rsidRPr="00172D56" w:rsidRDefault="00172D56" w:rsidP="00465CE0">
            <w:pPr>
              <w:pStyle w:val="ad"/>
              <w:ind w:right="30"/>
              <w:jc w:val="both"/>
              <w:rPr>
                <w:szCs w:val="22"/>
              </w:rPr>
            </w:pPr>
            <w:r w:rsidRPr="00172D56">
              <w:rPr>
                <w:szCs w:val="22"/>
              </w:rPr>
              <w:t>В 2019 році оцінка не проводилась</w:t>
            </w:r>
          </w:p>
        </w:tc>
      </w:tr>
      <w:tr w:rsidR="00172D56" w:rsidRPr="00F96D0E" w:rsidTr="00465CE0">
        <w:trPr>
          <w:trHeight w:val="276"/>
          <w:jc w:val="center"/>
        </w:trPr>
        <w:tc>
          <w:tcPr>
            <w:tcW w:w="16047" w:type="dxa"/>
            <w:gridSpan w:val="7"/>
          </w:tcPr>
          <w:p w:rsidR="00465CE0" w:rsidRDefault="00465CE0" w:rsidP="00172D56">
            <w:pPr>
              <w:ind w:firstLine="601"/>
              <w:jc w:val="both"/>
              <w:rPr>
                <w:rFonts w:ascii="Cambria" w:eastAsia="Calibri" w:hAnsi="Cambria" w:cs="Cambria"/>
                <w:b/>
                <w:sz w:val="22"/>
                <w:szCs w:val="22"/>
              </w:rPr>
            </w:pPr>
          </w:p>
          <w:p w:rsidR="00172D56" w:rsidRDefault="00172D56" w:rsidP="00172D56">
            <w:pPr>
              <w:ind w:firstLine="601"/>
              <w:jc w:val="both"/>
              <w:rPr>
                <w:sz w:val="22"/>
                <w:szCs w:val="22"/>
              </w:rPr>
            </w:pPr>
            <w:r w:rsidRPr="00172D56">
              <w:rPr>
                <w:rFonts w:ascii="Cambria" w:eastAsia="Calibri" w:hAnsi="Cambria" w:cs="Cambria"/>
                <w:b/>
                <w:sz w:val="22"/>
                <w:szCs w:val="22"/>
              </w:rPr>
              <w:t>Висновки</w:t>
            </w:r>
            <w:r w:rsidRPr="00172D56">
              <w:rPr>
                <w:rFonts w:ascii="Algerian" w:eastAsia="Calibri" w:hAnsi="Algerian"/>
                <w:b/>
                <w:sz w:val="22"/>
                <w:szCs w:val="22"/>
              </w:rPr>
              <w:t xml:space="preserve"> </w:t>
            </w:r>
            <w:r w:rsidRPr="00172D56">
              <w:rPr>
                <w:rFonts w:ascii="Cambria" w:eastAsia="Calibri" w:hAnsi="Cambria" w:cs="Cambria"/>
                <w:b/>
                <w:sz w:val="22"/>
                <w:szCs w:val="22"/>
              </w:rPr>
              <w:t>про</w:t>
            </w:r>
            <w:r w:rsidRPr="00172D56">
              <w:rPr>
                <w:rFonts w:ascii="Algerian" w:eastAsia="Calibri" w:hAnsi="Algerian"/>
                <w:b/>
                <w:sz w:val="22"/>
                <w:szCs w:val="22"/>
              </w:rPr>
              <w:t xml:space="preserve"> </w:t>
            </w:r>
            <w:r w:rsidRPr="00172D56">
              <w:rPr>
                <w:rFonts w:ascii="Cambria" w:eastAsia="Calibri" w:hAnsi="Cambria" w:cs="Cambria"/>
                <w:b/>
                <w:sz w:val="22"/>
                <w:szCs w:val="22"/>
              </w:rPr>
              <w:t>досягнення</w:t>
            </w:r>
            <w:r w:rsidRPr="00172D56">
              <w:rPr>
                <w:rFonts w:ascii="Algerian" w:eastAsia="Calibri" w:hAnsi="Algerian"/>
                <w:b/>
                <w:sz w:val="22"/>
                <w:szCs w:val="22"/>
              </w:rPr>
              <w:t xml:space="preserve"> </w:t>
            </w:r>
            <w:r w:rsidRPr="00172D56">
              <w:rPr>
                <w:rFonts w:ascii="Cambria" w:eastAsia="Calibri" w:hAnsi="Cambria" w:cs="Cambria"/>
                <w:b/>
                <w:sz w:val="22"/>
                <w:szCs w:val="22"/>
              </w:rPr>
              <w:t>цілі</w:t>
            </w:r>
            <w:r w:rsidRPr="00172D56">
              <w:rPr>
                <w:rFonts w:ascii="Algerian" w:eastAsia="Calibri" w:hAnsi="Algerian"/>
                <w:b/>
                <w:sz w:val="22"/>
                <w:szCs w:val="22"/>
              </w:rPr>
              <w:t>:</w:t>
            </w:r>
            <w:r w:rsidRPr="00172D56">
              <w:rPr>
                <w:sz w:val="22"/>
                <w:szCs w:val="22"/>
              </w:rPr>
              <w:t xml:space="preserve"> Виважена та послідовна політика Уряду дала можливість впоратися із викликами виконання бюджету 2019 року, що в підсумку дозволило  не лише утримати показник дефіциту бюджету у затверджених законом обсягах, а й послідовно виконувати цільові показники дефіциту, визначені Середньостроковим планом пріоритетних дій Уряду до 2020 року, Стратегією сталого розвитку «Україна-2020», програмою співпраці з Міжнародним валютним фондом.</w:t>
            </w:r>
          </w:p>
          <w:p w:rsidR="002B03DD" w:rsidRDefault="002B03DD" w:rsidP="00172D56">
            <w:pPr>
              <w:ind w:firstLine="601"/>
              <w:jc w:val="both"/>
              <w:rPr>
                <w:sz w:val="22"/>
                <w:szCs w:val="22"/>
              </w:rPr>
            </w:pPr>
          </w:p>
          <w:p w:rsidR="002B03DD" w:rsidRPr="00172D56" w:rsidRDefault="002B03DD" w:rsidP="00172D56">
            <w:pPr>
              <w:ind w:firstLine="601"/>
              <w:jc w:val="both"/>
              <w:rPr>
                <w:sz w:val="22"/>
                <w:szCs w:val="22"/>
              </w:rPr>
            </w:pPr>
          </w:p>
          <w:p w:rsidR="00172D56" w:rsidRPr="00172D56" w:rsidRDefault="00172D56" w:rsidP="00172D56">
            <w:pPr>
              <w:jc w:val="both"/>
              <w:rPr>
                <w:sz w:val="22"/>
                <w:szCs w:val="22"/>
              </w:rPr>
            </w:pPr>
            <w:r w:rsidRPr="00172D56">
              <w:rPr>
                <w:sz w:val="22"/>
                <w:szCs w:val="22"/>
              </w:rPr>
              <w:t>Виважена політика з управління державним боргом сприяла зменшенню рівня державного боргу до ВВП. Основн</w:t>
            </w:r>
            <w:r w:rsidR="002B03DD">
              <w:rPr>
                <w:sz w:val="22"/>
                <w:szCs w:val="22"/>
              </w:rPr>
              <w:t>ими</w:t>
            </w:r>
            <w:r w:rsidRPr="00172D56">
              <w:rPr>
                <w:sz w:val="22"/>
                <w:szCs w:val="22"/>
              </w:rPr>
              <w:t xml:space="preserve"> причин</w:t>
            </w:r>
            <w:r w:rsidR="002B03DD">
              <w:rPr>
                <w:sz w:val="22"/>
                <w:szCs w:val="22"/>
              </w:rPr>
              <w:t>ами</w:t>
            </w:r>
            <w:r w:rsidRPr="00172D56">
              <w:rPr>
                <w:sz w:val="22"/>
                <w:szCs w:val="22"/>
              </w:rPr>
              <w:t xml:space="preserve"> підвищення кредитного рейтингу України в іноземній валюті за борговими зобов’язаннями до рівня В, які були зазначені аналітиками міжнародного рейтингового агентства S&amp;P на дату перегляду кредитного рейтингу були: </w:t>
            </w:r>
          </w:p>
          <w:p w:rsidR="00172D56" w:rsidRPr="00172D56" w:rsidRDefault="00172D56" w:rsidP="00172D56">
            <w:pPr>
              <w:jc w:val="both"/>
              <w:rPr>
                <w:sz w:val="22"/>
                <w:szCs w:val="22"/>
              </w:rPr>
            </w:pPr>
            <w:r w:rsidRPr="00172D56">
              <w:rPr>
                <w:sz w:val="22"/>
                <w:szCs w:val="22"/>
              </w:rPr>
              <w:t xml:space="preserve">- покращення рівня золотовалютних резервів; </w:t>
            </w:r>
          </w:p>
          <w:p w:rsidR="00172D56" w:rsidRPr="00172D56" w:rsidRDefault="00172D56" w:rsidP="00172D56">
            <w:pPr>
              <w:jc w:val="both"/>
              <w:rPr>
                <w:sz w:val="22"/>
                <w:szCs w:val="22"/>
              </w:rPr>
            </w:pPr>
            <w:r w:rsidRPr="00172D56">
              <w:rPr>
                <w:sz w:val="22"/>
                <w:szCs w:val="22"/>
              </w:rPr>
              <w:t>- зміцнення зростання економіки;</w:t>
            </w:r>
          </w:p>
          <w:p w:rsidR="00172D56" w:rsidRPr="00172D56" w:rsidRDefault="00172D56" w:rsidP="00172D56">
            <w:pPr>
              <w:jc w:val="both"/>
              <w:rPr>
                <w:sz w:val="22"/>
                <w:szCs w:val="22"/>
              </w:rPr>
            </w:pPr>
            <w:r w:rsidRPr="00172D56">
              <w:rPr>
                <w:sz w:val="22"/>
                <w:szCs w:val="22"/>
              </w:rPr>
              <w:t xml:space="preserve">- зменшення дефіциту бюджету; </w:t>
            </w:r>
          </w:p>
          <w:p w:rsidR="00172D56" w:rsidRPr="00172D56" w:rsidRDefault="00172D56" w:rsidP="00172D56">
            <w:pPr>
              <w:jc w:val="both"/>
              <w:rPr>
                <w:sz w:val="22"/>
                <w:szCs w:val="22"/>
              </w:rPr>
            </w:pPr>
            <w:r w:rsidRPr="00172D56">
              <w:rPr>
                <w:sz w:val="22"/>
                <w:szCs w:val="22"/>
              </w:rPr>
              <w:t xml:space="preserve">- лібералізація економіки; </w:t>
            </w:r>
          </w:p>
          <w:p w:rsidR="00172D56" w:rsidRPr="00172D56" w:rsidRDefault="00172D56" w:rsidP="00172D56">
            <w:pPr>
              <w:jc w:val="both"/>
              <w:rPr>
                <w:rFonts w:eastAsia="Calibri"/>
                <w:sz w:val="22"/>
                <w:szCs w:val="22"/>
              </w:rPr>
            </w:pPr>
            <w:r w:rsidRPr="00172D56">
              <w:rPr>
                <w:sz w:val="22"/>
                <w:szCs w:val="22"/>
              </w:rPr>
              <w:t>- забезпечен</w:t>
            </w:r>
            <w:r w:rsidR="00183013">
              <w:rPr>
                <w:sz w:val="22"/>
                <w:szCs w:val="22"/>
              </w:rPr>
              <w:t>ня отримання нової програми МВФ</w:t>
            </w:r>
          </w:p>
        </w:tc>
      </w:tr>
    </w:tbl>
    <w:p w:rsidR="00A01031" w:rsidRDefault="00A01031" w:rsidP="00944F88">
      <w:pPr>
        <w:spacing w:after="120" w:line="240" w:lineRule="auto"/>
        <w:ind w:firstLine="709"/>
        <w:jc w:val="both"/>
        <w:rPr>
          <w:rFonts w:ascii="Times New Roman" w:hAnsi="Times New Roman" w:cs="Times New Roman"/>
          <w:sz w:val="28"/>
          <w:szCs w:val="28"/>
        </w:rPr>
      </w:pPr>
    </w:p>
    <w:p w:rsidR="00465CE0" w:rsidRDefault="00465CE0" w:rsidP="00944F88">
      <w:pPr>
        <w:spacing w:after="120" w:line="240" w:lineRule="auto"/>
        <w:ind w:firstLine="709"/>
        <w:jc w:val="both"/>
        <w:rPr>
          <w:rFonts w:ascii="Times New Roman" w:hAnsi="Times New Roman" w:cs="Times New Roman"/>
          <w:sz w:val="28"/>
          <w:szCs w:val="28"/>
        </w:rPr>
      </w:pPr>
    </w:p>
    <w:p w:rsidR="00465CE0" w:rsidRPr="002B03DD" w:rsidRDefault="002B03DD" w:rsidP="00944F88">
      <w:pPr>
        <w:spacing w:after="120" w:line="240" w:lineRule="auto"/>
        <w:ind w:firstLine="709"/>
        <w:jc w:val="both"/>
        <w:rPr>
          <w:rFonts w:ascii="Times New Roman" w:hAnsi="Times New Roman" w:cs="Times New Roman"/>
          <w:b/>
          <w:sz w:val="28"/>
          <w:szCs w:val="28"/>
        </w:rPr>
      </w:pPr>
      <w:r w:rsidRPr="002B03DD">
        <w:rPr>
          <w:rFonts w:ascii="Times New Roman" w:hAnsi="Times New Roman" w:cs="Times New Roman"/>
          <w:b/>
          <w:sz w:val="28"/>
          <w:szCs w:val="28"/>
        </w:rPr>
        <w:t>Державний секретар                                                                                                     Костянтин ВАЩЕНКО</w:t>
      </w:r>
    </w:p>
    <w:sectPr w:rsidR="00465CE0" w:rsidRPr="002B03DD" w:rsidSect="00172D56">
      <w:headerReference w:type="default" r:id="rId8"/>
      <w:footerReference w:type="first" r:id="rId9"/>
      <w:pgSz w:w="16838" w:h="11906" w:orient="landscape"/>
      <w:pgMar w:top="1134" w:right="851"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54" w:rsidRDefault="00380154" w:rsidP="00B9020D">
      <w:pPr>
        <w:spacing w:after="0" w:line="240" w:lineRule="auto"/>
      </w:pPr>
      <w:r>
        <w:separator/>
      </w:r>
    </w:p>
  </w:endnote>
  <w:endnote w:type="continuationSeparator" w:id="0">
    <w:p w:rsidR="00380154" w:rsidRDefault="00380154" w:rsidP="00B9020D">
      <w:pPr>
        <w:spacing w:after="0" w:line="240" w:lineRule="auto"/>
      </w:pPr>
      <w:r>
        <w:continuationSeparator/>
      </w:r>
    </w:p>
  </w:endnote>
  <w:endnote w:type="continuationNotice" w:id="1">
    <w:p w:rsidR="00380154" w:rsidRDefault="00380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84" w:rsidRDefault="00797C84">
    <w:pPr>
      <w:pStyle w:val="ab"/>
    </w:pPr>
  </w:p>
  <w:p w:rsidR="00797C84" w:rsidRPr="0048162A" w:rsidRDefault="00797C8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54" w:rsidRDefault="00380154" w:rsidP="00B9020D">
      <w:pPr>
        <w:spacing w:after="0" w:line="240" w:lineRule="auto"/>
      </w:pPr>
      <w:r>
        <w:separator/>
      </w:r>
    </w:p>
  </w:footnote>
  <w:footnote w:type="continuationSeparator" w:id="0">
    <w:p w:rsidR="00380154" w:rsidRDefault="00380154" w:rsidP="00B9020D">
      <w:pPr>
        <w:spacing w:after="0" w:line="240" w:lineRule="auto"/>
      </w:pPr>
      <w:r>
        <w:continuationSeparator/>
      </w:r>
    </w:p>
  </w:footnote>
  <w:footnote w:type="continuationNotice" w:id="1">
    <w:p w:rsidR="00380154" w:rsidRDefault="00380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0556"/>
      <w:docPartObj>
        <w:docPartGallery w:val="Page Numbers (Top of Page)"/>
        <w:docPartUnique/>
      </w:docPartObj>
    </w:sdtPr>
    <w:sdtEndPr/>
    <w:sdtContent>
      <w:p w:rsidR="00797C84" w:rsidRDefault="00797C84">
        <w:pPr>
          <w:pStyle w:val="a9"/>
          <w:jc w:val="center"/>
        </w:pPr>
        <w:r>
          <w:fldChar w:fldCharType="begin"/>
        </w:r>
        <w:r>
          <w:instrText xml:space="preserve"> PAGE   \* MERGEFORMAT </w:instrText>
        </w:r>
        <w:r>
          <w:fldChar w:fldCharType="separate"/>
        </w:r>
        <w:r w:rsidR="00FD709C">
          <w:rPr>
            <w:noProof/>
          </w:rPr>
          <w:t>5</w:t>
        </w:r>
        <w:r>
          <w:rPr>
            <w:noProof/>
          </w:rPr>
          <w:fldChar w:fldCharType="end"/>
        </w:r>
      </w:p>
    </w:sdtContent>
  </w:sdt>
  <w:p w:rsidR="00797C84" w:rsidRDefault="00797C8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E57C2"/>
    <w:multiLevelType w:val="hybridMultilevel"/>
    <w:tmpl w:val="D71A952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71BE6683"/>
    <w:multiLevelType w:val="hybridMultilevel"/>
    <w:tmpl w:val="199A98B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A0"/>
    <w:rsid w:val="000009A3"/>
    <w:rsid w:val="000037CB"/>
    <w:rsid w:val="000050B1"/>
    <w:rsid w:val="00006822"/>
    <w:rsid w:val="00007837"/>
    <w:rsid w:val="00012EBF"/>
    <w:rsid w:val="00014442"/>
    <w:rsid w:val="00016ACD"/>
    <w:rsid w:val="00016DA0"/>
    <w:rsid w:val="000176B5"/>
    <w:rsid w:val="00020A12"/>
    <w:rsid w:val="000228C7"/>
    <w:rsid w:val="00033B55"/>
    <w:rsid w:val="00035072"/>
    <w:rsid w:val="00035490"/>
    <w:rsid w:val="000357A7"/>
    <w:rsid w:val="00036CF0"/>
    <w:rsid w:val="000410D7"/>
    <w:rsid w:val="00042C7E"/>
    <w:rsid w:val="00045AA7"/>
    <w:rsid w:val="00045CFE"/>
    <w:rsid w:val="00047A07"/>
    <w:rsid w:val="00047A37"/>
    <w:rsid w:val="00054618"/>
    <w:rsid w:val="000630C6"/>
    <w:rsid w:val="00063D8E"/>
    <w:rsid w:val="00065E3C"/>
    <w:rsid w:val="00067C96"/>
    <w:rsid w:val="00070D3E"/>
    <w:rsid w:val="000723B9"/>
    <w:rsid w:val="00074074"/>
    <w:rsid w:val="00075E7E"/>
    <w:rsid w:val="000801E4"/>
    <w:rsid w:val="000803E5"/>
    <w:rsid w:val="00080407"/>
    <w:rsid w:val="0008263A"/>
    <w:rsid w:val="00083BD0"/>
    <w:rsid w:val="00091C1C"/>
    <w:rsid w:val="00091FF9"/>
    <w:rsid w:val="00093BF1"/>
    <w:rsid w:val="000960B2"/>
    <w:rsid w:val="000A154D"/>
    <w:rsid w:val="000B1F7A"/>
    <w:rsid w:val="000B3540"/>
    <w:rsid w:val="000B4A79"/>
    <w:rsid w:val="000B558E"/>
    <w:rsid w:val="000B65B8"/>
    <w:rsid w:val="000B6AD3"/>
    <w:rsid w:val="000C0868"/>
    <w:rsid w:val="000C1104"/>
    <w:rsid w:val="000C1F11"/>
    <w:rsid w:val="000C671E"/>
    <w:rsid w:val="000C6AB1"/>
    <w:rsid w:val="000D0333"/>
    <w:rsid w:val="000D0D7A"/>
    <w:rsid w:val="000D2E3C"/>
    <w:rsid w:val="000E31FA"/>
    <w:rsid w:val="000E39AB"/>
    <w:rsid w:val="000E696E"/>
    <w:rsid w:val="000F05DA"/>
    <w:rsid w:val="00102782"/>
    <w:rsid w:val="00103A49"/>
    <w:rsid w:val="00103ADC"/>
    <w:rsid w:val="0010455D"/>
    <w:rsid w:val="001055B5"/>
    <w:rsid w:val="0010732F"/>
    <w:rsid w:val="001119F5"/>
    <w:rsid w:val="00111FDA"/>
    <w:rsid w:val="00112846"/>
    <w:rsid w:val="00112DD7"/>
    <w:rsid w:val="00115A08"/>
    <w:rsid w:val="00115A1E"/>
    <w:rsid w:val="00116FAD"/>
    <w:rsid w:val="00117FAA"/>
    <w:rsid w:val="0012184D"/>
    <w:rsid w:val="00126F8E"/>
    <w:rsid w:val="00127C26"/>
    <w:rsid w:val="0013119B"/>
    <w:rsid w:val="001313EF"/>
    <w:rsid w:val="00136F89"/>
    <w:rsid w:val="001376EB"/>
    <w:rsid w:val="00145677"/>
    <w:rsid w:val="001531FE"/>
    <w:rsid w:val="00153935"/>
    <w:rsid w:val="00154C5B"/>
    <w:rsid w:val="00156CC2"/>
    <w:rsid w:val="00156DD6"/>
    <w:rsid w:val="0015779E"/>
    <w:rsid w:val="00160F26"/>
    <w:rsid w:val="001629C1"/>
    <w:rsid w:val="001645A1"/>
    <w:rsid w:val="0016564C"/>
    <w:rsid w:val="001703AB"/>
    <w:rsid w:val="00170B64"/>
    <w:rsid w:val="00170F26"/>
    <w:rsid w:val="00172D56"/>
    <w:rsid w:val="001744EC"/>
    <w:rsid w:val="00174970"/>
    <w:rsid w:val="001762D4"/>
    <w:rsid w:val="001813CC"/>
    <w:rsid w:val="00183013"/>
    <w:rsid w:val="00184705"/>
    <w:rsid w:val="00192649"/>
    <w:rsid w:val="00195282"/>
    <w:rsid w:val="001A37B7"/>
    <w:rsid w:val="001A68FB"/>
    <w:rsid w:val="001B6F2D"/>
    <w:rsid w:val="001B7B76"/>
    <w:rsid w:val="001C2E47"/>
    <w:rsid w:val="001C4B5A"/>
    <w:rsid w:val="001C4D16"/>
    <w:rsid w:val="001C68FC"/>
    <w:rsid w:val="001C7932"/>
    <w:rsid w:val="001D2A10"/>
    <w:rsid w:val="001D2F78"/>
    <w:rsid w:val="001D763A"/>
    <w:rsid w:val="001D78AA"/>
    <w:rsid w:val="001E212F"/>
    <w:rsid w:val="001E5E42"/>
    <w:rsid w:val="001E672A"/>
    <w:rsid w:val="001F15E9"/>
    <w:rsid w:val="001F1ACE"/>
    <w:rsid w:val="001F3451"/>
    <w:rsid w:val="001F3835"/>
    <w:rsid w:val="001F3DA2"/>
    <w:rsid w:val="0020052C"/>
    <w:rsid w:val="00203883"/>
    <w:rsid w:val="00205201"/>
    <w:rsid w:val="00205711"/>
    <w:rsid w:val="002169B7"/>
    <w:rsid w:val="002174ED"/>
    <w:rsid w:val="0022070C"/>
    <w:rsid w:val="002216CA"/>
    <w:rsid w:val="00221860"/>
    <w:rsid w:val="00222B57"/>
    <w:rsid w:val="00224659"/>
    <w:rsid w:val="00227355"/>
    <w:rsid w:val="00234D7B"/>
    <w:rsid w:val="00234FA1"/>
    <w:rsid w:val="00240C3C"/>
    <w:rsid w:val="00241B1A"/>
    <w:rsid w:val="0025280B"/>
    <w:rsid w:val="00255D35"/>
    <w:rsid w:val="00260041"/>
    <w:rsid w:val="00261115"/>
    <w:rsid w:val="00261FEB"/>
    <w:rsid w:val="0026207E"/>
    <w:rsid w:val="00262D65"/>
    <w:rsid w:val="00263F60"/>
    <w:rsid w:val="00265B41"/>
    <w:rsid w:val="002679DA"/>
    <w:rsid w:val="00273F6D"/>
    <w:rsid w:val="00274417"/>
    <w:rsid w:val="002753B6"/>
    <w:rsid w:val="00275D3D"/>
    <w:rsid w:val="002762DF"/>
    <w:rsid w:val="00276655"/>
    <w:rsid w:val="00281945"/>
    <w:rsid w:val="0028326D"/>
    <w:rsid w:val="00283F7C"/>
    <w:rsid w:val="0028412D"/>
    <w:rsid w:val="00284801"/>
    <w:rsid w:val="00286492"/>
    <w:rsid w:val="002865D3"/>
    <w:rsid w:val="002869EE"/>
    <w:rsid w:val="002870E3"/>
    <w:rsid w:val="002918BB"/>
    <w:rsid w:val="00296987"/>
    <w:rsid w:val="002975AC"/>
    <w:rsid w:val="00297B95"/>
    <w:rsid w:val="002A0DBE"/>
    <w:rsid w:val="002A227B"/>
    <w:rsid w:val="002A455B"/>
    <w:rsid w:val="002A46AE"/>
    <w:rsid w:val="002B027F"/>
    <w:rsid w:val="002B03DD"/>
    <w:rsid w:val="002B749A"/>
    <w:rsid w:val="002C07C3"/>
    <w:rsid w:val="002C0994"/>
    <w:rsid w:val="002C284E"/>
    <w:rsid w:val="002C2A5D"/>
    <w:rsid w:val="002C3042"/>
    <w:rsid w:val="002C3A05"/>
    <w:rsid w:val="002C4551"/>
    <w:rsid w:val="002D1E13"/>
    <w:rsid w:val="002D244A"/>
    <w:rsid w:val="002D2AC2"/>
    <w:rsid w:val="002D4665"/>
    <w:rsid w:val="002D66ED"/>
    <w:rsid w:val="002D7000"/>
    <w:rsid w:val="002E062D"/>
    <w:rsid w:val="002E304B"/>
    <w:rsid w:val="002E4827"/>
    <w:rsid w:val="002F1DE0"/>
    <w:rsid w:val="002F2154"/>
    <w:rsid w:val="002F24B6"/>
    <w:rsid w:val="002F2BA0"/>
    <w:rsid w:val="002F7465"/>
    <w:rsid w:val="0030188E"/>
    <w:rsid w:val="00301DC4"/>
    <w:rsid w:val="00305A78"/>
    <w:rsid w:val="00311DA0"/>
    <w:rsid w:val="00314AD6"/>
    <w:rsid w:val="00314DAF"/>
    <w:rsid w:val="003157EC"/>
    <w:rsid w:val="00322568"/>
    <w:rsid w:val="0032334F"/>
    <w:rsid w:val="003240B3"/>
    <w:rsid w:val="0032563E"/>
    <w:rsid w:val="0033005B"/>
    <w:rsid w:val="0033434E"/>
    <w:rsid w:val="00336471"/>
    <w:rsid w:val="00336473"/>
    <w:rsid w:val="00336BC1"/>
    <w:rsid w:val="00342629"/>
    <w:rsid w:val="00342805"/>
    <w:rsid w:val="003452B5"/>
    <w:rsid w:val="003466FC"/>
    <w:rsid w:val="003474C3"/>
    <w:rsid w:val="003602F0"/>
    <w:rsid w:val="00360A03"/>
    <w:rsid w:val="00361941"/>
    <w:rsid w:val="00362046"/>
    <w:rsid w:val="0036249C"/>
    <w:rsid w:val="003630E5"/>
    <w:rsid w:val="0037041A"/>
    <w:rsid w:val="00371E67"/>
    <w:rsid w:val="0037287D"/>
    <w:rsid w:val="003729B1"/>
    <w:rsid w:val="00372BC2"/>
    <w:rsid w:val="00380154"/>
    <w:rsid w:val="00386646"/>
    <w:rsid w:val="0038776A"/>
    <w:rsid w:val="00387A70"/>
    <w:rsid w:val="00392DCA"/>
    <w:rsid w:val="00394C28"/>
    <w:rsid w:val="003A0626"/>
    <w:rsid w:val="003A0B15"/>
    <w:rsid w:val="003A1824"/>
    <w:rsid w:val="003A1A9B"/>
    <w:rsid w:val="003A3780"/>
    <w:rsid w:val="003B31BA"/>
    <w:rsid w:val="003B5396"/>
    <w:rsid w:val="003B5FDF"/>
    <w:rsid w:val="003B75B6"/>
    <w:rsid w:val="003C4F60"/>
    <w:rsid w:val="003D0895"/>
    <w:rsid w:val="003D3806"/>
    <w:rsid w:val="003D4B31"/>
    <w:rsid w:val="003D6314"/>
    <w:rsid w:val="003E0BC6"/>
    <w:rsid w:val="003E1E11"/>
    <w:rsid w:val="003E6AC2"/>
    <w:rsid w:val="003E6CCE"/>
    <w:rsid w:val="003F008A"/>
    <w:rsid w:val="003F50C8"/>
    <w:rsid w:val="003F5A33"/>
    <w:rsid w:val="003F6C0D"/>
    <w:rsid w:val="003F6DB7"/>
    <w:rsid w:val="003F714A"/>
    <w:rsid w:val="00401C92"/>
    <w:rsid w:val="00401DAB"/>
    <w:rsid w:val="0040461A"/>
    <w:rsid w:val="00406F11"/>
    <w:rsid w:val="00406FC3"/>
    <w:rsid w:val="004101E5"/>
    <w:rsid w:val="00411684"/>
    <w:rsid w:val="00411976"/>
    <w:rsid w:val="004138EB"/>
    <w:rsid w:val="00432184"/>
    <w:rsid w:val="00432390"/>
    <w:rsid w:val="004326C9"/>
    <w:rsid w:val="00434D70"/>
    <w:rsid w:val="00435B16"/>
    <w:rsid w:val="00437195"/>
    <w:rsid w:val="00441DC2"/>
    <w:rsid w:val="00454CE3"/>
    <w:rsid w:val="004564A8"/>
    <w:rsid w:val="00456A01"/>
    <w:rsid w:val="00456C6B"/>
    <w:rsid w:val="00461D34"/>
    <w:rsid w:val="00461EFD"/>
    <w:rsid w:val="00465CE0"/>
    <w:rsid w:val="004669B7"/>
    <w:rsid w:val="004731B2"/>
    <w:rsid w:val="00477668"/>
    <w:rsid w:val="00481425"/>
    <w:rsid w:val="0048162A"/>
    <w:rsid w:val="00484047"/>
    <w:rsid w:val="00491ACC"/>
    <w:rsid w:val="00495F63"/>
    <w:rsid w:val="004A2A96"/>
    <w:rsid w:val="004A4DAF"/>
    <w:rsid w:val="004A630B"/>
    <w:rsid w:val="004B0FA7"/>
    <w:rsid w:val="004B42BE"/>
    <w:rsid w:val="004B5755"/>
    <w:rsid w:val="004B6ECB"/>
    <w:rsid w:val="004D31C8"/>
    <w:rsid w:val="004D4D6A"/>
    <w:rsid w:val="004E040B"/>
    <w:rsid w:val="004E18A6"/>
    <w:rsid w:val="004E1E4F"/>
    <w:rsid w:val="004E2490"/>
    <w:rsid w:val="004E5020"/>
    <w:rsid w:val="004E6AD3"/>
    <w:rsid w:val="004F2620"/>
    <w:rsid w:val="004F556E"/>
    <w:rsid w:val="004F570D"/>
    <w:rsid w:val="0050027D"/>
    <w:rsid w:val="005009C3"/>
    <w:rsid w:val="00501B5B"/>
    <w:rsid w:val="00503143"/>
    <w:rsid w:val="00506754"/>
    <w:rsid w:val="00510FB2"/>
    <w:rsid w:val="00511178"/>
    <w:rsid w:val="00520560"/>
    <w:rsid w:val="00523BDE"/>
    <w:rsid w:val="00526B53"/>
    <w:rsid w:val="00530099"/>
    <w:rsid w:val="00531F0B"/>
    <w:rsid w:val="005320F2"/>
    <w:rsid w:val="00534C04"/>
    <w:rsid w:val="00536878"/>
    <w:rsid w:val="00542F70"/>
    <w:rsid w:val="00544899"/>
    <w:rsid w:val="00546253"/>
    <w:rsid w:val="005474CF"/>
    <w:rsid w:val="00550A83"/>
    <w:rsid w:val="00551358"/>
    <w:rsid w:val="005525C5"/>
    <w:rsid w:val="00552675"/>
    <w:rsid w:val="00553141"/>
    <w:rsid w:val="00553AEB"/>
    <w:rsid w:val="0055576C"/>
    <w:rsid w:val="00555CF1"/>
    <w:rsid w:val="0055641E"/>
    <w:rsid w:val="00556AFE"/>
    <w:rsid w:val="005573AE"/>
    <w:rsid w:val="00557CC0"/>
    <w:rsid w:val="00562FDC"/>
    <w:rsid w:val="005638E1"/>
    <w:rsid w:val="00566A27"/>
    <w:rsid w:val="00567977"/>
    <w:rsid w:val="00567B46"/>
    <w:rsid w:val="00570731"/>
    <w:rsid w:val="00571D40"/>
    <w:rsid w:val="00572BB8"/>
    <w:rsid w:val="00574116"/>
    <w:rsid w:val="0057462E"/>
    <w:rsid w:val="00576DB7"/>
    <w:rsid w:val="00583DFD"/>
    <w:rsid w:val="00585C77"/>
    <w:rsid w:val="005875C5"/>
    <w:rsid w:val="00590620"/>
    <w:rsid w:val="005908F6"/>
    <w:rsid w:val="00593A77"/>
    <w:rsid w:val="0059705C"/>
    <w:rsid w:val="005A0F5B"/>
    <w:rsid w:val="005A4EC2"/>
    <w:rsid w:val="005A5E4F"/>
    <w:rsid w:val="005A76DE"/>
    <w:rsid w:val="005A77A2"/>
    <w:rsid w:val="005B11F2"/>
    <w:rsid w:val="005B14E5"/>
    <w:rsid w:val="005B19F9"/>
    <w:rsid w:val="005B5C2C"/>
    <w:rsid w:val="005C00D0"/>
    <w:rsid w:val="005C1FE6"/>
    <w:rsid w:val="005C2D2C"/>
    <w:rsid w:val="005C3658"/>
    <w:rsid w:val="005C5813"/>
    <w:rsid w:val="005C63BD"/>
    <w:rsid w:val="005C7545"/>
    <w:rsid w:val="005D1513"/>
    <w:rsid w:val="005D1B17"/>
    <w:rsid w:val="005D2600"/>
    <w:rsid w:val="005D2D1E"/>
    <w:rsid w:val="005D35E4"/>
    <w:rsid w:val="005D460C"/>
    <w:rsid w:val="005D4D19"/>
    <w:rsid w:val="005D4D9F"/>
    <w:rsid w:val="005D52CB"/>
    <w:rsid w:val="005E0023"/>
    <w:rsid w:val="005E16AA"/>
    <w:rsid w:val="005E2CD8"/>
    <w:rsid w:val="005E3174"/>
    <w:rsid w:val="005F253B"/>
    <w:rsid w:val="005F263C"/>
    <w:rsid w:val="005F2C38"/>
    <w:rsid w:val="00603968"/>
    <w:rsid w:val="00604810"/>
    <w:rsid w:val="0060505A"/>
    <w:rsid w:val="006105B4"/>
    <w:rsid w:val="0061195D"/>
    <w:rsid w:val="006122D9"/>
    <w:rsid w:val="00615A31"/>
    <w:rsid w:val="0061795D"/>
    <w:rsid w:val="00623065"/>
    <w:rsid w:val="006244DB"/>
    <w:rsid w:val="006244E0"/>
    <w:rsid w:val="0062475E"/>
    <w:rsid w:val="00631A38"/>
    <w:rsid w:val="00631C40"/>
    <w:rsid w:val="006349E2"/>
    <w:rsid w:val="00635257"/>
    <w:rsid w:val="00635B76"/>
    <w:rsid w:val="00637C7B"/>
    <w:rsid w:val="006430F3"/>
    <w:rsid w:val="006452C4"/>
    <w:rsid w:val="006470FB"/>
    <w:rsid w:val="00650A5C"/>
    <w:rsid w:val="0065217B"/>
    <w:rsid w:val="00652390"/>
    <w:rsid w:val="00662E16"/>
    <w:rsid w:val="00671883"/>
    <w:rsid w:val="00675E2A"/>
    <w:rsid w:val="00677EE5"/>
    <w:rsid w:val="006804E8"/>
    <w:rsid w:val="006814BA"/>
    <w:rsid w:val="00681AC8"/>
    <w:rsid w:val="0068571A"/>
    <w:rsid w:val="006860A6"/>
    <w:rsid w:val="00690667"/>
    <w:rsid w:val="00691B59"/>
    <w:rsid w:val="00692F11"/>
    <w:rsid w:val="00693B49"/>
    <w:rsid w:val="006A050B"/>
    <w:rsid w:val="006A2A0D"/>
    <w:rsid w:val="006A4754"/>
    <w:rsid w:val="006B1239"/>
    <w:rsid w:val="006B6B54"/>
    <w:rsid w:val="006C2627"/>
    <w:rsid w:val="006C3277"/>
    <w:rsid w:val="006C66B0"/>
    <w:rsid w:val="006C7617"/>
    <w:rsid w:val="006D0EB8"/>
    <w:rsid w:val="006D160B"/>
    <w:rsid w:val="006E27D0"/>
    <w:rsid w:val="006F2BF0"/>
    <w:rsid w:val="00711EA0"/>
    <w:rsid w:val="00714A1F"/>
    <w:rsid w:val="00722CCB"/>
    <w:rsid w:val="007271AB"/>
    <w:rsid w:val="00733470"/>
    <w:rsid w:val="0073414E"/>
    <w:rsid w:val="00734CEB"/>
    <w:rsid w:val="0073676F"/>
    <w:rsid w:val="00737B80"/>
    <w:rsid w:val="00740D15"/>
    <w:rsid w:val="00741454"/>
    <w:rsid w:val="00743191"/>
    <w:rsid w:val="007512D3"/>
    <w:rsid w:val="00752D31"/>
    <w:rsid w:val="00753163"/>
    <w:rsid w:val="007545D4"/>
    <w:rsid w:val="00757248"/>
    <w:rsid w:val="00760BEF"/>
    <w:rsid w:val="007612BC"/>
    <w:rsid w:val="007651E1"/>
    <w:rsid w:val="00767DC8"/>
    <w:rsid w:val="007713D6"/>
    <w:rsid w:val="00782651"/>
    <w:rsid w:val="00783030"/>
    <w:rsid w:val="007875A0"/>
    <w:rsid w:val="0079070B"/>
    <w:rsid w:val="00794DE9"/>
    <w:rsid w:val="00794E66"/>
    <w:rsid w:val="00795558"/>
    <w:rsid w:val="00796C2B"/>
    <w:rsid w:val="0079703F"/>
    <w:rsid w:val="007975E8"/>
    <w:rsid w:val="00797C84"/>
    <w:rsid w:val="007A1921"/>
    <w:rsid w:val="007A5C02"/>
    <w:rsid w:val="007A5EB9"/>
    <w:rsid w:val="007A770D"/>
    <w:rsid w:val="007B16F0"/>
    <w:rsid w:val="007B19D5"/>
    <w:rsid w:val="007B7583"/>
    <w:rsid w:val="007B7610"/>
    <w:rsid w:val="007B7FA0"/>
    <w:rsid w:val="007C0273"/>
    <w:rsid w:val="007C1977"/>
    <w:rsid w:val="007C1C5B"/>
    <w:rsid w:val="007C2591"/>
    <w:rsid w:val="007C2DBC"/>
    <w:rsid w:val="007C6DDD"/>
    <w:rsid w:val="007D0F83"/>
    <w:rsid w:val="007D4189"/>
    <w:rsid w:val="007D6589"/>
    <w:rsid w:val="007E4916"/>
    <w:rsid w:val="007E4E90"/>
    <w:rsid w:val="007E6EED"/>
    <w:rsid w:val="007F2528"/>
    <w:rsid w:val="007F5BF9"/>
    <w:rsid w:val="0080001A"/>
    <w:rsid w:val="00810C46"/>
    <w:rsid w:val="008132C6"/>
    <w:rsid w:val="00815058"/>
    <w:rsid w:val="00815A59"/>
    <w:rsid w:val="00817407"/>
    <w:rsid w:val="008268D2"/>
    <w:rsid w:val="00826B14"/>
    <w:rsid w:val="00827C19"/>
    <w:rsid w:val="00830636"/>
    <w:rsid w:val="0083465E"/>
    <w:rsid w:val="00835D60"/>
    <w:rsid w:val="00837323"/>
    <w:rsid w:val="00837D4D"/>
    <w:rsid w:val="0084301E"/>
    <w:rsid w:val="00843486"/>
    <w:rsid w:val="0084366D"/>
    <w:rsid w:val="00843BC8"/>
    <w:rsid w:val="0084669F"/>
    <w:rsid w:val="00847033"/>
    <w:rsid w:val="008519D6"/>
    <w:rsid w:val="00853EBA"/>
    <w:rsid w:val="00863C44"/>
    <w:rsid w:val="00865038"/>
    <w:rsid w:val="0087483D"/>
    <w:rsid w:val="008766BB"/>
    <w:rsid w:val="00880510"/>
    <w:rsid w:val="00880EDE"/>
    <w:rsid w:val="00881E9D"/>
    <w:rsid w:val="00882823"/>
    <w:rsid w:val="00882E6B"/>
    <w:rsid w:val="00885469"/>
    <w:rsid w:val="00886A67"/>
    <w:rsid w:val="008920CD"/>
    <w:rsid w:val="00894033"/>
    <w:rsid w:val="008957E9"/>
    <w:rsid w:val="00897A7E"/>
    <w:rsid w:val="008A277B"/>
    <w:rsid w:val="008A3F49"/>
    <w:rsid w:val="008A5832"/>
    <w:rsid w:val="008B178B"/>
    <w:rsid w:val="008B30EE"/>
    <w:rsid w:val="008B3633"/>
    <w:rsid w:val="008B5CB6"/>
    <w:rsid w:val="008C291F"/>
    <w:rsid w:val="008C48CF"/>
    <w:rsid w:val="008C7A89"/>
    <w:rsid w:val="008D0BBB"/>
    <w:rsid w:val="008D170F"/>
    <w:rsid w:val="008D29BD"/>
    <w:rsid w:val="008D3840"/>
    <w:rsid w:val="008D62B4"/>
    <w:rsid w:val="008D67B4"/>
    <w:rsid w:val="008E0906"/>
    <w:rsid w:val="008E2025"/>
    <w:rsid w:val="008E5E8B"/>
    <w:rsid w:val="008F01B5"/>
    <w:rsid w:val="008F4CBB"/>
    <w:rsid w:val="008F54E8"/>
    <w:rsid w:val="008F63AA"/>
    <w:rsid w:val="008F6D6D"/>
    <w:rsid w:val="008F6E1D"/>
    <w:rsid w:val="008F6EB1"/>
    <w:rsid w:val="008F7210"/>
    <w:rsid w:val="00900508"/>
    <w:rsid w:val="009007E8"/>
    <w:rsid w:val="009015D7"/>
    <w:rsid w:val="009030F5"/>
    <w:rsid w:val="00903C97"/>
    <w:rsid w:val="009076AA"/>
    <w:rsid w:val="00907DB1"/>
    <w:rsid w:val="00911033"/>
    <w:rsid w:val="00911331"/>
    <w:rsid w:val="00927CF6"/>
    <w:rsid w:val="0093018D"/>
    <w:rsid w:val="0093109B"/>
    <w:rsid w:val="00932A7D"/>
    <w:rsid w:val="009330AA"/>
    <w:rsid w:val="00937030"/>
    <w:rsid w:val="00937722"/>
    <w:rsid w:val="00944191"/>
    <w:rsid w:val="00944F88"/>
    <w:rsid w:val="00951A21"/>
    <w:rsid w:val="00952018"/>
    <w:rsid w:val="0095264C"/>
    <w:rsid w:val="0095296A"/>
    <w:rsid w:val="00953476"/>
    <w:rsid w:val="00966877"/>
    <w:rsid w:val="00967214"/>
    <w:rsid w:val="009673D2"/>
    <w:rsid w:val="0097062B"/>
    <w:rsid w:val="009706CB"/>
    <w:rsid w:val="009709FF"/>
    <w:rsid w:val="00971DA5"/>
    <w:rsid w:val="009726E3"/>
    <w:rsid w:val="00972BBC"/>
    <w:rsid w:val="00974ACE"/>
    <w:rsid w:val="00975A59"/>
    <w:rsid w:val="00976B06"/>
    <w:rsid w:val="00981441"/>
    <w:rsid w:val="009831A7"/>
    <w:rsid w:val="00984C62"/>
    <w:rsid w:val="00993D79"/>
    <w:rsid w:val="00996C26"/>
    <w:rsid w:val="009A26AB"/>
    <w:rsid w:val="009A2744"/>
    <w:rsid w:val="009A588F"/>
    <w:rsid w:val="009B1D29"/>
    <w:rsid w:val="009B33DF"/>
    <w:rsid w:val="009B5532"/>
    <w:rsid w:val="009B626B"/>
    <w:rsid w:val="009C3C14"/>
    <w:rsid w:val="009C3D8C"/>
    <w:rsid w:val="009C4EC6"/>
    <w:rsid w:val="009D4515"/>
    <w:rsid w:val="009E1391"/>
    <w:rsid w:val="009E1E06"/>
    <w:rsid w:val="009E3C8A"/>
    <w:rsid w:val="009E4352"/>
    <w:rsid w:val="009E5DD1"/>
    <w:rsid w:val="009E6B57"/>
    <w:rsid w:val="009E6CA2"/>
    <w:rsid w:val="009E7729"/>
    <w:rsid w:val="009F0740"/>
    <w:rsid w:val="009F112E"/>
    <w:rsid w:val="009F1193"/>
    <w:rsid w:val="009F2560"/>
    <w:rsid w:val="009F431A"/>
    <w:rsid w:val="009F4E0F"/>
    <w:rsid w:val="00A01031"/>
    <w:rsid w:val="00A01CE9"/>
    <w:rsid w:val="00A04134"/>
    <w:rsid w:val="00A051BF"/>
    <w:rsid w:val="00A05AAF"/>
    <w:rsid w:val="00A07520"/>
    <w:rsid w:val="00A1426C"/>
    <w:rsid w:val="00A1488B"/>
    <w:rsid w:val="00A2153C"/>
    <w:rsid w:val="00A2326E"/>
    <w:rsid w:val="00A23277"/>
    <w:rsid w:val="00A23BC2"/>
    <w:rsid w:val="00A24B98"/>
    <w:rsid w:val="00A3077F"/>
    <w:rsid w:val="00A326D7"/>
    <w:rsid w:val="00A329DB"/>
    <w:rsid w:val="00A33F54"/>
    <w:rsid w:val="00A3420E"/>
    <w:rsid w:val="00A35697"/>
    <w:rsid w:val="00A36309"/>
    <w:rsid w:val="00A40B24"/>
    <w:rsid w:val="00A42CBF"/>
    <w:rsid w:val="00A4335B"/>
    <w:rsid w:val="00A46777"/>
    <w:rsid w:val="00A53E81"/>
    <w:rsid w:val="00A5658D"/>
    <w:rsid w:val="00A57A42"/>
    <w:rsid w:val="00A64462"/>
    <w:rsid w:val="00A64DCE"/>
    <w:rsid w:val="00A7325E"/>
    <w:rsid w:val="00A74E4E"/>
    <w:rsid w:val="00A77BAF"/>
    <w:rsid w:val="00A805D7"/>
    <w:rsid w:val="00A82A05"/>
    <w:rsid w:val="00A857FD"/>
    <w:rsid w:val="00A9080A"/>
    <w:rsid w:val="00A91CF8"/>
    <w:rsid w:val="00A92766"/>
    <w:rsid w:val="00A931A1"/>
    <w:rsid w:val="00A93721"/>
    <w:rsid w:val="00AA0337"/>
    <w:rsid w:val="00AA0576"/>
    <w:rsid w:val="00AA253D"/>
    <w:rsid w:val="00AA3C23"/>
    <w:rsid w:val="00AA3D2C"/>
    <w:rsid w:val="00AA4515"/>
    <w:rsid w:val="00AA5097"/>
    <w:rsid w:val="00AA57ED"/>
    <w:rsid w:val="00AA6BC3"/>
    <w:rsid w:val="00AA7981"/>
    <w:rsid w:val="00AB18E4"/>
    <w:rsid w:val="00AB3458"/>
    <w:rsid w:val="00AB39AD"/>
    <w:rsid w:val="00AB5532"/>
    <w:rsid w:val="00AB5B99"/>
    <w:rsid w:val="00AC00EC"/>
    <w:rsid w:val="00AC0F8B"/>
    <w:rsid w:val="00AC11ED"/>
    <w:rsid w:val="00AC2758"/>
    <w:rsid w:val="00AD1142"/>
    <w:rsid w:val="00AD377D"/>
    <w:rsid w:val="00AD7339"/>
    <w:rsid w:val="00AD77B6"/>
    <w:rsid w:val="00AE574A"/>
    <w:rsid w:val="00AE72F4"/>
    <w:rsid w:val="00AF0EA5"/>
    <w:rsid w:val="00AF14F9"/>
    <w:rsid w:val="00AF4E8E"/>
    <w:rsid w:val="00B009B3"/>
    <w:rsid w:val="00B01117"/>
    <w:rsid w:val="00B020BB"/>
    <w:rsid w:val="00B030A5"/>
    <w:rsid w:val="00B04F40"/>
    <w:rsid w:val="00B06281"/>
    <w:rsid w:val="00B13A5E"/>
    <w:rsid w:val="00B16B28"/>
    <w:rsid w:val="00B2338A"/>
    <w:rsid w:val="00B235F9"/>
    <w:rsid w:val="00B26894"/>
    <w:rsid w:val="00B30A36"/>
    <w:rsid w:val="00B32431"/>
    <w:rsid w:val="00B348AF"/>
    <w:rsid w:val="00B3612E"/>
    <w:rsid w:val="00B40F3B"/>
    <w:rsid w:val="00B4127A"/>
    <w:rsid w:val="00B41866"/>
    <w:rsid w:val="00B41E93"/>
    <w:rsid w:val="00B4408D"/>
    <w:rsid w:val="00B4507B"/>
    <w:rsid w:val="00B45A74"/>
    <w:rsid w:val="00B45C06"/>
    <w:rsid w:val="00B53168"/>
    <w:rsid w:val="00B547CE"/>
    <w:rsid w:val="00B56FBA"/>
    <w:rsid w:val="00B65628"/>
    <w:rsid w:val="00B66CF7"/>
    <w:rsid w:val="00B72764"/>
    <w:rsid w:val="00B73DF6"/>
    <w:rsid w:val="00B73F1D"/>
    <w:rsid w:val="00B75C3A"/>
    <w:rsid w:val="00B76EB6"/>
    <w:rsid w:val="00B80361"/>
    <w:rsid w:val="00B871EA"/>
    <w:rsid w:val="00B877E4"/>
    <w:rsid w:val="00B9020D"/>
    <w:rsid w:val="00B92494"/>
    <w:rsid w:val="00B961E1"/>
    <w:rsid w:val="00B96C79"/>
    <w:rsid w:val="00BA110E"/>
    <w:rsid w:val="00BA161F"/>
    <w:rsid w:val="00BA671C"/>
    <w:rsid w:val="00BA7477"/>
    <w:rsid w:val="00BB136F"/>
    <w:rsid w:val="00BB2000"/>
    <w:rsid w:val="00BB50C4"/>
    <w:rsid w:val="00BC1D2E"/>
    <w:rsid w:val="00BC25CD"/>
    <w:rsid w:val="00BC47B2"/>
    <w:rsid w:val="00BC4C48"/>
    <w:rsid w:val="00BC7400"/>
    <w:rsid w:val="00BD02AF"/>
    <w:rsid w:val="00BD3015"/>
    <w:rsid w:val="00BD5F56"/>
    <w:rsid w:val="00BD65C9"/>
    <w:rsid w:val="00BD72C3"/>
    <w:rsid w:val="00BE349F"/>
    <w:rsid w:val="00BF0041"/>
    <w:rsid w:val="00BF088A"/>
    <w:rsid w:val="00BF2465"/>
    <w:rsid w:val="00BF27E0"/>
    <w:rsid w:val="00C02089"/>
    <w:rsid w:val="00C0586F"/>
    <w:rsid w:val="00C0693C"/>
    <w:rsid w:val="00C13A54"/>
    <w:rsid w:val="00C13F78"/>
    <w:rsid w:val="00C16B23"/>
    <w:rsid w:val="00C251D4"/>
    <w:rsid w:val="00C25945"/>
    <w:rsid w:val="00C27CDC"/>
    <w:rsid w:val="00C27E3F"/>
    <w:rsid w:val="00C27FAF"/>
    <w:rsid w:val="00C3464C"/>
    <w:rsid w:val="00C3613A"/>
    <w:rsid w:val="00C36A11"/>
    <w:rsid w:val="00C36C14"/>
    <w:rsid w:val="00C36F54"/>
    <w:rsid w:val="00C400C4"/>
    <w:rsid w:val="00C42774"/>
    <w:rsid w:val="00C47730"/>
    <w:rsid w:val="00C50207"/>
    <w:rsid w:val="00C56257"/>
    <w:rsid w:val="00C56D15"/>
    <w:rsid w:val="00C570BB"/>
    <w:rsid w:val="00C57865"/>
    <w:rsid w:val="00C6071A"/>
    <w:rsid w:val="00C60AB8"/>
    <w:rsid w:val="00C6114F"/>
    <w:rsid w:val="00C62579"/>
    <w:rsid w:val="00C62AC6"/>
    <w:rsid w:val="00C62ADF"/>
    <w:rsid w:val="00C64494"/>
    <w:rsid w:val="00C64939"/>
    <w:rsid w:val="00C6714D"/>
    <w:rsid w:val="00C718B8"/>
    <w:rsid w:val="00C74661"/>
    <w:rsid w:val="00C756CA"/>
    <w:rsid w:val="00C76DFD"/>
    <w:rsid w:val="00C8184F"/>
    <w:rsid w:val="00C8355E"/>
    <w:rsid w:val="00C848E2"/>
    <w:rsid w:val="00C86CDC"/>
    <w:rsid w:val="00C90DEE"/>
    <w:rsid w:val="00C92BDF"/>
    <w:rsid w:val="00C93522"/>
    <w:rsid w:val="00C938CC"/>
    <w:rsid w:val="00C9501F"/>
    <w:rsid w:val="00C9575D"/>
    <w:rsid w:val="00C9693A"/>
    <w:rsid w:val="00C96D77"/>
    <w:rsid w:val="00CA37F3"/>
    <w:rsid w:val="00CB4B50"/>
    <w:rsid w:val="00CB587C"/>
    <w:rsid w:val="00CB69E8"/>
    <w:rsid w:val="00CB7D79"/>
    <w:rsid w:val="00CC0A4C"/>
    <w:rsid w:val="00CC22DB"/>
    <w:rsid w:val="00CC3FD3"/>
    <w:rsid w:val="00CD00F7"/>
    <w:rsid w:val="00CD09CB"/>
    <w:rsid w:val="00CD3293"/>
    <w:rsid w:val="00CD67AF"/>
    <w:rsid w:val="00CD7639"/>
    <w:rsid w:val="00CE2F34"/>
    <w:rsid w:val="00CE35C8"/>
    <w:rsid w:val="00CE4FC8"/>
    <w:rsid w:val="00CE6930"/>
    <w:rsid w:val="00CF2175"/>
    <w:rsid w:val="00CF525D"/>
    <w:rsid w:val="00CF7F89"/>
    <w:rsid w:val="00D0091B"/>
    <w:rsid w:val="00D05A71"/>
    <w:rsid w:val="00D1150A"/>
    <w:rsid w:val="00D13D99"/>
    <w:rsid w:val="00D13EA3"/>
    <w:rsid w:val="00D221CC"/>
    <w:rsid w:val="00D27D2B"/>
    <w:rsid w:val="00D319D0"/>
    <w:rsid w:val="00D3437D"/>
    <w:rsid w:val="00D3768B"/>
    <w:rsid w:val="00D37A08"/>
    <w:rsid w:val="00D40736"/>
    <w:rsid w:val="00D40932"/>
    <w:rsid w:val="00D42556"/>
    <w:rsid w:val="00D436A4"/>
    <w:rsid w:val="00D43AFB"/>
    <w:rsid w:val="00D43B23"/>
    <w:rsid w:val="00D511D9"/>
    <w:rsid w:val="00D51C0B"/>
    <w:rsid w:val="00D53394"/>
    <w:rsid w:val="00D53A4E"/>
    <w:rsid w:val="00D53FDD"/>
    <w:rsid w:val="00D56664"/>
    <w:rsid w:val="00D61206"/>
    <w:rsid w:val="00D63259"/>
    <w:rsid w:val="00D63806"/>
    <w:rsid w:val="00D66551"/>
    <w:rsid w:val="00D67475"/>
    <w:rsid w:val="00D715FA"/>
    <w:rsid w:val="00D775BB"/>
    <w:rsid w:val="00D81CE0"/>
    <w:rsid w:val="00D82749"/>
    <w:rsid w:val="00D85C89"/>
    <w:rsid w:val="00D86EA3"/>
    <w:rsid w:val="00D8741C"/>
    <w:rsid w:val="00D87642"/>
    <w:rsid w:val="00D87F25"/>
    <w:rsid w:val="00D92E2B"/>
    <w:rsid w:val="00D93B0A"/>
    <w:rsid w:val="00DA1FBF"/>
    <w:rsid w:val="00DA2605"/>
    <w:rsid w:val="00DA2C1A"/>
    <w:rsid w:val="00DB4AD9"/>
    <w:rsid w:val="00DC2889"/>
    <w:rsid w:val="00DC5016"/>
    <w:rsid w:val="00DC5494"/>
    <w:rsid w:val="00DC62C4"/>
    <w:rsid w:val="00DD5605"/>
    <w:rsid w:val="00DD5AD1"/>
    <w:rsid w:val="00DD6DA0"/>
    <w:rsid w:val="00DD7B7E"/>
    <w:rsid w:val="00DE09D1"/>
    <w:rsid w:val="00DE3C40"/>
    <w:rsid w:val="00DE4684"/>
    <w:rsid w:val="00DE683D"/>
    <w:rsid w:val="00DE7C84"/>
    <w:rsid w:val="00DF0497"/>
    <w:rsid w:val="00DF12D0"/>
    <w:rsid w:val="00DF5D7A"/>
    <w:rsid w:val="00E00FB4"/>
    <w:rsid w:val="00E012A8"/>
    <w:rsid w:val="00E01B00"/>
    <w:rsid w:val="00E03B87"/>
    <w:rsid w:val="00E03F51"/>
    <w:rsid w:val="00E05D02"/>
    <w:rsid w:val="00E066A0"/>
    <w:rsid w:val="00E073B3"/>
    <w:rsid w:val="00E11AC9"/>
    <w:rsid w:val="00E1381B"/>
    <w:rsid w:val="00E146C7"/>
    <w:rsid w:val="00E26B59"/>
    <w:rsid w:val="00E3001D"/>
    <w:rsid w:val="00E31A7A"/>
    <w:rsid w:val="00E3246E"/>
    <w:rsid w:val="00E325BA"/>
    <w:rsid w:val="00E34402"/>
    <w:rsid w:val="00E345C3"/>
    <w:rsid w:val="00E35098"/>
    <w:rsid w:val="00E3536F"/>
    <w:rsid w:val="00E36280"/>
    <w:rsid w:val="00E36E7C"/>
    <w:rsid w:val="00E40DF4"/>
    <w:rsid w:val="00E41247"/>
    <w:rsid w:val="00E43460"/>
    <w:rsid w:val="00E534AD"/>
    <w:rsid w:val="00E54481"/>
    <w:rsid w:val="00E55239"/>
    <w:rsid w:val="00E5549F"/>
    <w:rsid w:val="00E61507"/>
    <w:rsid w:val="00E61841"/>
    <w:rsid w:val="00E61F64"/>
    <w:rsid w:val="00E66372"/>
    <w:rsid w:val="00E66A1E"/>
    <w:rsid w:val="00E66B0D"/>
    <w:rsid w:val="00E67BDE"/>
    <w:rsid w:val="00E713B4"/>
    <w:rsid w:val="00E74AE1"/>
    <w:rsid w:val="00E766EB"/>
    <w:rsid w:val="00E77A44"/>
    <w:rsid w:val="00E8269F"/>
    <w:rsid w:val="00E826B1"/>
    <w:rsid w:val="00E82E01"/>
    <w:rsid w:val="00E82F8A"/>
    <w:rsid w:val="00E8307A"/>
    <w:rsid w:val="00E833F6"/>
    <w:rsid w:val="00E862FA"/>
    <w:rsid w:val="00E86B56"/>
    <w:rsid w:val="00E918F6"/>
    <w:rsid w:val="00E91B0E"/>
    <w:rsid w:val="00E93DA3"/>
    <w:rsid w:val="00E976C9"/>
    <w:rsid w:val="00EA08B4"/>
    <w:rsid w:val="00EA1FC1"/>
    <w:rsid w:val="00EA2BD8"/>
    <w:rsid w:val="00EA5DDE"/>
    <w:rsid w:val="00EB07D7"/>
    <w:rsid w:val="00EB09E1"/>
    <w:rsid w:val="00EB210A"/>
    <w:rsid w:val="00EB2ACA"/>
    <w:rsid w:val="00EB33BC"/>
    <w:rsid w:val="00EB3E99"/>
    <w:rsid w:val="00EB43E0"/>
    <w:rsid w:val="00EB450E"/>
    <w:rsid w:val="00EB7367"/>
    <w:rsid w:val="00EB7E33"/>
    <w:rsid w:val="00EC01F9"/>
    <w:rsid w:val="00EC0660"/>
    <w:rsid w:val="00EC0CFD"/>
    <w:rsid w:val="00EC58B6"/>
    <w:rsid w:val="00EC5FF9"/>
    <w:rsid w:val="00EC64FF"/>
    <w:rsid w:val="00EC788C"/>
    <w:rsid w:val="00ED041C"/>
    <w:rsid w:val="00ED23A0"/>
    <w:rsid w:val="00ED2720"/>
    <w:rsid w:val="00ED52DA"/>
    <w:rsid w:val="00ED6959"/>
    <w:rsid w:val="00EE279D"/>
    <w:rsid w:val="00EE6966"/>
    <w:rsid w:val="00EF29D8"/>
    <w:rsid w:val="00EF5428"/>
    <w:rsid w:val="00F03B40"/>
    <w:rsid w:val="00F051EC"/>
    <w:rsid w:val="00F067A3"/>
    <w:rsid w:val="00F14AB4"/>
    <w:rsid w:val="00F15F20"/>
    <w:rsid w:val="00F1784E"/>
    <w:rsid w:val="00F31780"/>
    <w:rsid w:val="00F34617"/>
    <w:rsid w:val="00F36ACE"/>
    <w:rsid w:val="00F4186B"/>
    <w:rsid w:val="00F42C3E"/>
    <w:rsid w:val="00F4429E"/>
    <w:rsid w:val="00F44CEB"/>
    <w:rsid w:val="00F44EA2"/>
    <w:rsid w:val="00F45C14"/>
    <w:rsid w:val="00F478FC"/>
    <w:rsid w:val="00F508C3"/>
    <w:rsid w:val="00F50906"/>
    <w:rsid w:val="00F51841"/>
    <w:rsid w:val="00F527C6"/>
    <w:rsid w:val="00F52A8E"/>
    <w:rsid w:val="00F53FF1"/>
    <w:rsid w:val="00F55672"/>
    <w:rsid w:val="00F55EE4"/>
    <w:rsid w:val="00F57CAC"/>
    <w:rsid w:val="00F6244E"/>
    <w:rsid w:val="00F70721"/>
    <w:rsid w:val="00F772DF"/>
    <w:rsid w:val="00F8053D"/>
    <w:rsid w:val="00F81E44"/>
    <w:rsid w:val="00F82A92"/>
    <w:rsid w:val="00F8623D"/>
    <w:rsid w:val="00F92711"/>
    <w:rsid w:val="00F92F08"/>
    <w:rsid w:val="00F96006"/>
    <w:rsid w:val="00F975C1"/>
    <w:rsid w:val="00FA10F6"/>
    <w:rsid w:val="00FA4C5F"/>
    <w:rsid w:val="00FA5F6F"/>
    <w:rsid w:val="00FB091B"/>
    <w:rsid w:val="00FB1797"/>
    <w:rsid w:val="00FC24F0"/>
    <w:rsid w:val="00FC3150"/>
    <w:rsid w:val="00FC3D43"/>
    <w:rsid w:val="00FC6438"/>
    <w:rsid w:val="00FD4B38"/>
    <w:rsid w:val="00FD709C"/>
    <w:rsid w:val="00FE2396"/>
    <w:rsid w:val="00FF0CD6"/>
    <w:rsid w:val="00FF3030"/>
    <w:rsid w:val="00FF4E5A"/>
    <w:rsid w:val="00FF75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F8C64-1851-4087-AB0E-3E64F85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ferences,Bullets,List Paragraph (numbered (a)),List_Paragraph,Multilevel para_II"/>
    <w:basedOn w:val="a"/>
    <w:link w:val="a4"/>
    <w:uiPriority w:val="34"/>
    <w:qFormat/>
    <w:rsid w:val="008B5CB6"/>
    <w:pPr>
      <w:ind w:left="720"/>
      <w:contextualSpacing/>
    </w:pPr>
  </w:style>
  <w:style w:type="paragraph" w:customStyle="1" w:styleId="OsnovnoiText">
    <w:name w:val="OsnovnoiText"/>
    <w:basedOn w:val="a5"/>
    <w:next w:val="a"/>
    <w:autoRedefine/>
    <w:rsid w:val="0038776A"/>
    <w:pPr>
      <w:spacing w:after="0" w:line="240" w:lineRule="auto"/>
      <w:ind w:firstLine="709"/>
      <w:jc w:val="both"/>
    </w:pPr>
    <w:rPr>
      <w:rFonts w:ascii="Times New Roman" w:eastAsia="Times New Roman" w:hAnsi="Times New Roman" w:cs="Times New Roman"/>
      <w:bCs/>
      <w:iCs/>
      <w:color w:val="FF0000"/>
      <w:sz w:val="28"/>
      <w:szCs w:val="28"/>
      <w:lang w:eastAsia="ru-RU"/>
    </w:rPr>
  </w:style>
  <w:style w:type="paragraph" w:styleId="a5">
    <w:name w:val="Body Text"/>
    <w:basedOn w:val="a"/>
    <w:link w:val="a6"/>
    <w:uiPriority w:val="99"/>
    <w:semiHidden/>
    <w:unhideWhenUsed/>
    <w:rsid w:val="003466FC"/>
    <w:pPr>
      <w:spacing w:after="120"/>
    </w:pPr>
  </w:style>
  <w:style w:type="character" w:customStyle="1" w:styleId="a6">
    <w:name w:val="Основний текст Знак"/>
    <w:basedOn w:val="a0"/>
    <w:link w:val="a5"/>
    <w:uiPriority w:val="99"/>
    <w:semiHidden/>
    <w:rsid w:val="003466FC"/>
  </w:style>
  <w:style w:type="paragraph" w:styleId="3">
    <w:name w:val="Body Text 3"/>
    <w:basedOn w:val="a"/>
    <w:link w:val="30"/>
    <w:uiPriority w:val="99"/>
    <w:unhideWhenUsed/>
    <w:rsid w:val="00737B80"/>
    <w:pPr>
      <w:spacing w:after="120"/>
    </w:pPr>
    <w:rPr>
      <w:sz w:val="16"/>
      <w:szCs w:val="16"/>
    </w:rPr>
  </w:style>
  <w:style w:type="character" w:customStyle="1" w:styleId="30">
    <w:name w:val="Основний текст 3 Знак"/>
    <w:basedOn w:val="a0"/>
    <w:link w:val="3"/>
    <w:uiPriority w:val="99"/>
    <w:rsid w:val="00737B80"/>
    <w:rPr>
      <w:sz w:val="16"/>
      <w:szCs w:val="16"/>
    </w:rPr>
  </w:style>
  <w:style w:type="paragraph" w:styleId="a7">
    <w:name w:val="Balloon Text"/>
    <w:basedOn w:val="a"/>
    <w:link w:val="a8"/>
    <w:uiPriority w:val="99"/>
    <w:semiHidden/>
    <w:unhideWhenUsed/>
    <w:rsid w:val="0040461A"/>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0461A"/>
    <w:rPr>
      <w:rFonts w:ascii="Tahoma" w:hAnsi="Tahoma" w:cs="Tahoma"/>
      <w:sz w:val="16"/>
      <w:szCs w:val="16"/>
    </w:rPr>
  </w:style>
  <w:style w:type="paragraph" w:styleId="a9">
    <w:name w:val="header"/>
    <w:basedOn w:val="a"/>
    <w:link w:val="aa"/>
    <w:uiPriority w:val="99"/>
    <w:unhideWhenUsed/>
    <w:rsid w:val="00B9020D"/>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020D"/>
  </w:style>
  <w:style w:type="paragraph" w:styleId="ab">
    <w:name w:val="footer"/>
    <w:basedOn w:val="a"/>
    <w:link w:val="ac"/>
    <w:uiPriority w:val="99"/>
    <w:unhideWhenUsed/>
    <w:rsid w:val="00B9020D"/>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020D"/>
  </w:style>
  <w:style w:type="paragraph" w:styleId="ad">
    <w:name w:val="footnote text"/>
    <w:basedOn w:val="a"/>
    <w:link w:val="ae"/>
    <w:uiPriority w:val="99"/>
    <w:unhideWhenUsed/>
    <w:rsid w:val="00432390"/>
    <w:pPr>
      <w:spacing w:after="0" w:line="240" w:lineRule="auto"/>
    </w:pPr>
    <w:rPr>
      <w:sz w:val="20"/>
      <w:szCs w:val="20"/>
    </w:rPr>
  </w:style>
  <w:style w:type="character" w:customStyle="1" w:styleId="ae">
    <w:name w:val="Текст виноски Знак"/>
    <w:basedOn w:val="a0"/>
    <w:link w:val="ad"/>
    <w:uiPriority w:val="99"/>
    <w:rsid w:val="00432390"/>
    <w:rPr>
      <w:sz w:val="20"/>
      <w:szCs w:val="20"/>
    </w:rPr>
  </w:style>
  <w:style w:type="character" w:styleId="af">
    <w:name w:val="footnote reference"/>
    <w:basedOn w:val="a0"/>
    <w:uiPriority w:val="99"/>
    <w:semiHidden/>
    <w:unhideWhenUsed/>
    <w:rsid w:val="00432390"/>
    <w:rPr>
      <w:vertAlign w:val="superscript"/>
    </w:rPr>
  </w:style>
  <w:style w:type="paragraph" w:styleId="af0">
    <w:name w:val="Normal (Web)"/>
    <w:basedOn w:val="a"/>
    <w:uiPriority w:val="99"/>
    <w:unhideWhenUsed/>
    <w:rsid w:val="000960B2"/>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uiPriority w:val="99"/>
    <w:unhideWhenUsed/>
    <w:rsid w:val="0090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9030F5"/>
    <w:rPr>
      <w:rFonts w:ascii="Courier New" w:eastAsia="Times New Roman" w:hAnsi="Courier New" w:cs="Courier New"/>
      <w:sz w:val="20"/>
      <w:szCs w:val="20"/>
    </w:rPr>
  </w:style>
  <w:style w:type="character" w:customStyle="1" w:styleId="rvts23">
    <w:name w:val="rvts23"/>
    <w:basedOn w:val="a0"/>
    <w:rsid w:val="00E534AD"/>
  </w:style>
  <w:style w:type="paragraph" w:styleId="af1">
    <w:name w:val="Revision"/>
    <w:hidden/>
    <w:uiPriority w:val="99"/>
    <w:semiHidden/>
    <w:rsid w:val="00952018"/>
    <w:pPr>
      <w:spacing w:after="0" w:line="240" w:lineRule="auto"/>
    </w:pPr>
  </w:style>
  <w:style w:type="paragraph" w:customStyle="1" w:styleId="1">
    <w:name w:val="Звичайний1"/>
    <w:rsid w:val="00B04F40"/>
    <w:pPr>
      <w:spacing w:after="0" w:line="240" w:lineRule="auto"/>
    </w:pPr>
    <w:rPr>
      <w:rFonts w:ascii="Times New Roman" w:eastAsia="Times New Roman" w:hAnsi="Times New Roman" w:cs="Times New Roman"/>
      <w:snapToGrid w:val="0"/>
      <w:sz w:val="20"/>
      <w:szCs w:val="20"/>
      <w:lang w:val="en-US" w:eastAsia="ru-RU"/>
    </w:rPr>
  </w:style>
  <w:style w:type="table" w:styleId="af2">
    <w:name w:val="Table Grid"/>
    <w:basedOn w:val="a1"/>
    <w:uiPriority w:val="59"/>
    <w:rsid w:val="00B04F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733470"/>
    <w:rPr>
      <w:sz w:val="16"/>
      <w:szCs w:val="16"/>
    </w:rPr>
  </w:style>
  <w:style w:type="paragraph" w:styleId="af4">
    <w:name w:val="annotation text"/>
    <w:basedOn w:val="a"/>
    <w:link w:val="af5"/>
    <w:uiPriority w:val="99"/>
    <w:semiHidden/>
    <w:unhideWhenUsed/>
    <w:rsid w:val="00733470"/>
    <w:pPr>
      <w:spacing w:line="240" w:lineRule="auto"/>
    </w:pPr>
    <w:rPr>
      <w:sz w:val="20"/>
      <w:szCs w:val="20"/>
    </w:rPr>
  </w:style>
  <w:style w:type="character" w:customStyle="1" w:styleId="af5">
    <w:name w:val="Текст примітки Знак"/>
    <w:basedOn w:val="a0"/>
    <w:link w:val="af4"/>
    <w:uiPriority w:val="99"/>
    <w:semiHidden/>
    <w:rsid w:val="00733470"/>
    <w:rPr>
      <w:sz w:val="20"/>
      <w:szCs w:val="20"/>
    </w:rPr>
  </w:style>
  <w:style w:type="paragraph" w:styleId="af6">
    <w:name w:val="annotation subject"/>
    <w:basedOn w:val="af4"/>
    <w:next w:val="af4"/>
    <w:link w:val="af7"/>
    <w:uiPriority w:val="99"/>
    <w:semiHidden/>
    <w:unhideWhenUsed/>
    <w:rsid w:val="00733470"/>
    <w:rPr>
      <w:b/>
      <w:bCs/>
    </w:rPr>
  </w:style>
  <w:style w:type="character" w:customStyle="1" w:styleId="af7">
    <w:name w:val="Тема примітки Знак"/>
    <w:basedOn w:val="af5"/>
    <w:link w:val="af6"/>
    <w:uiPriority w:val="99"/>
    <w:semiHidden/>
    <w:rsid w:val="00733470"/>
    <w:rPr>
      <w:b/>
      <w:bCs/>
      <w:sz w:val="20"/>
      <w:szCs w:val="20"/>
    </w:rPr>
  </w:style>
  <w:style w:type="character" w:customStyle="1" w:styleId="a4">
    <w:name w:val="Абзац списку Знак"/>
    <w:aliases w:val="References Знак,Bullets Знак,List Paragraph (numbered (a)) Знак,List_Paragraph Знак,Multilevel para_II Знак"/>
    <w:basedOn w:val="a0"/>
    <w:link w:val="a3"/>
    <w:uiPriority w:val="34"/>
    <w:locked/>
    <w:rsid w:val="00A01031"/>
  </w:style>
  <w:style w:type="character" w:customStyle="1" w:styleId="Other">
    <w:name w:val="Other_"/>
    <w:basedOn w:val="a0"/>
    <w:link w:val="Other0"/>
    <w:rsid w:val="00A01031"/>
    <w:rPr>
      <w:rFonts w:ascii="Times New Roman" w:eastAsia="Times New Roman" w:hAnsi="Times New Roman" w:cs="Times New Roman"/>
      <w:shd w:val="clear" w:color="auto" w:fill="FFFFFF"/>
    </w:rPr>
  </w:style>
  <w:style w:type="paragraph" w:customStyle="1" w:styleId="Other0">
    <w:name w:val="Other"/>
    <w:basedOn w:val="a"/>
    <w:link w:val="Other"/>
    <w:rsid w:val="00A01031"/>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59407">
      <w:bodyDiv w:val="1"/>
      <w:marLeft w:val="0"/>
      <w:marRight w:val="0"/>
      <w:marTop w:val="0"/>
      <w:marBottom w:val="0"/>
      <w:divBdr>
        <w:top w:val="none" w:sz="0" w:space="0" w:color="auto"/>
        <w:left w:val="none" w:sz="0" w:space="0" w:color="auto"/>
        <w:bottom w:val="none" w:sz="0" w:space="0" w:color="auto"/>
        <w:right w:val="none" w:sz="0" w:space="0" w:color="auto"/>
      </w:divBdr>
      <w:divsChild>
        <w:div w:id="877009581">
          <w:marLeft w:val="0"/>
          <w:marRight w:val="0"/>
          <w:marTop w:val="100"/>
          <w:marBottom w:val="100"/>
          <w:divBdr>
            <w:top w:val="none" w:sz="0" w:space="0" w:color="auto"/>
            <w:left w:val="none" w:sz="0" w:space="0" w:color="auto"/>
            <w:bottom w:val="none" w:sz="0" w:space="0" w:color="auto"/>
            <w:right w:val="none" w:sz="0" w:space="0" w:color="auto"/>
          </w:divBdr>
          <w:divsChild>
            <w:div w:id="2108191189">
              <w:marLeft w:val="0"/>
              <w:marRight w:val="0"/>
              <w:marTop w:val="0"/>
              <w:marBottom w:val="0"/>
              <w:divBdr>
                <w:top w:val="single" w:sz="6" w:space="4" w:color="DCDCDC"/>
                <w:left w:val="single" w:sz="6" w:space="4" w:color="DCDCDC"/>
                <w:bottom w:val="single" w:sz="6" w:space="0" w:color="DCDCDC"/>
                <w:right w:val="single" w:sz="6" w:space="4" w:color="DCDCDC"/>
              </w:divBdr>
              <w:divsChild>
                <w:div w:id="306398673">
                  <w:marLeft w:val="0"/>
                  <w:marRight w:val="0"/>
                  <w:marTop w:val="0"/>
                  <w:marBottom w:val="0"/>
                  <w:divBdr>
                    <w:top w:val="none" w:sz="0" w:space="0" w:color="auto"/>
                    <w:left w:val="none" w:sz="0" w:space="0" w:color="auto"/>
                    <w:bottom w:val="none" w:sz="0" w:space="0" w:color="auto"/>
                    <w:right w:val="none" w:sz="0" w:space="0" w:color="auto"/>
                  </w:divBdr>
                  <w:divsChild>
                    <w:div w:id="8622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FDBC-B06D-4CA6-B0F0-A7507206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8293</Words>
  <Characters>4728</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Кондратенко Тамара Миколаївна</dc:creator>
  <cp:lastModifiedBy>Ришкова Інна Миколаївна</cp:lastModifiedBy>
  <cp:revision>4</cp:revision>
  <cp:lastPrinted>2020-02-25T14:31:00Z</cp:lastPrinted>
  <dcterms:created xsi:type="dcterms:W3CDTF">2020-02-24T16:29:00Z</dcterms:created>
  <dcterms:modified xsi:type="dcterms:W3CDTF">2020-02-27T11:09:00Z</dcterms:modified>
</cp:coreProperties>
</file>