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5" w:rsidRPr="002F73F0" w:rsidRDefault="00624F15" w:rsidP="00624F15">
      <w:pPr>
        <w:pStyle w:val="HTML"/>
        <w:tabs>
          <w:tab w:val="left" w:pos="4962"/>
        </w:tabs>
        <w:spacing w:after="120"/>
        <w:ind w:left="4961"/>
        <w:jc w:val="both"/>
        <w:rPr>
          <w:rFonts w:ascii="Times New Roman" w:eastAsia="Times New Roman" w:hAnsi="Times New Roman" w:cs="Times New Roman"/>
          <w:sz w:val="28"/>
          <w:szCs w:val="28"/>
          <w:u w:val="single"/>
          <w:lang w:eastAsia="uk-U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Pr="002F73F0">
        <w:rPr>
          <w:rFonts w:ascii="Times New Roman" w:hAnsi="Times New Roman" w:cs="Times New Roman"/>
          <w:sz w:val="28"/>
          <w:szCs w:val="28"/>
        </w:rPr>
        <w:t xml:space="preserve">     </w:t>
      </w:r>
      <w:r w:rsidRPr="002F73F0">
        <w:rPr>
          <w:rFonts w:ascii="Times New Roman" w:eastAsia="Times New Roman" w:hAnsi="Times New Roman" w:cs="Times New Roman"/>
          <w:sz w:val="28"/>
          <w:szCs w:val="28"/>
          <w:lang w:eastAsia="uk-UA"/>
        </w:rPr>
        <w:t>ЗАТВЕРДЖЕНО</w:t>
      </w:r>
    </w:p>
    <w:p w:rsidR="00624F15" w:rsidRPr="002F73F0" w:rsidRDefault="00624F15" w:rsidP="00624F15">
      <w:pPr>
        <w:tabs>
          <w:tab w:val="left" w:pos="916"/>
          <w:tab w:val="left" w:pos="1832"/>
          <w:tab w:val="left" w:pos="2748"/>
          <w:tab w:val="left" w:pos="3664"/>
          <w:tab w:val="left" w:pos="4580"/>
          <w:tab w:val="left" w:pos="496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t xml:space="preserve">Наказ Міністерства </w:t>
      </w:r>
    </w:p>
    <w:p w:rsidR="00624F15" w:rsidRPr="002F73F0" w:rsidRDefault="00624F15" w:rsidP="00624F15">
      <w:pPr>
        <w:tabs>
          <w:tab w:val="left" w:pos="916"/>
          <w:tab w:val="left" w:pos="1832"/>
          <w:tab w:val="left" w:pos="2748"/>
          <w:tab w:val="left" w:pos="3664"/>
          <w:tab w:val="left" w:pos="4580"/>
          <w:tab w:val="left" w:pos="496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r>
      <w:r w:rsidRPr="002F73F0">
        <w:rPr>
          <w:rFonts w:ascii="Times New Roman" w:eastAsia="Times New Roman" w:hAnsi="Times New Roman" w:cs="Times New Roman"/>
          <w:sz w:val="28"/>
          <w:szCs w:val="28"/>
          <w:lang w:eastAsia="uk-UA"/>
        </w:rPr>
        <w:tab/>
        <w:t>фінансів України</w:t>
      </w:r>
    </w:p>
    <w:p w:rsidR="00624F15" w:rsidRPr="002F73F0" w:rsidRDefault="00B72460" w:rsidP="00624F15">
      <w:pPr>
        <w:tabs>
          <w:tab w:val="left" w:pos="916"/>
          <w:tab w:val="left" w:pos="1832"/>
          <w:tab w:val="left" w:pos="2748"/>
          <w:tab w:val="left" w:pos="3664"/>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25 жовтня 2017 року № 871</w:t>
      </w:r>
      <w:bookmarkStart w:id="0" w:name="_GoBack"/>
      <w:bookmarkEnd w:id="0"/>
    </w:p>
    <w:p w:rsidR="00624F15" w:rsidRPr="002F73F0" w:rsidRDefault="00624F15" w:rsidP="00624F15">
      <w:pPr>
        <w:tabs>
          <w:tab w:val="left" w:pos="916"/>
          <w:tab w:val="left" w:pos="1832"/>
          <w:tab w:val="left" w:pos="2748"/>
          <w:tab w:val="left" w:pos="3664"/>
          <w:tab w:val="left" w:pos="4580"/>
          <w:tab w:val="left" w:pos="5496"/>
          <w:tab w:val="left" w:pos="651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r w:rsidRPr="002F73F0">
        <w:rPr>
          <w:rFonts w:ascii="Times New Roman" w:eastAsia="Times New Roman" w:hAnsi="Times New Roman" w:cs="Times New Roman"/>
          <w:sz w:val="28"/>
          <w:szCs w:val="28"/>
          <w:lang w:eastAsia="ru-RU"/>
        </w:rPr>
        <w:tab/>
      </w:r>
    </w:p>
    <w:p w:rsidR="00CB133D" w:rsidRPr="002F73F0" w:rsidRDefault="00CB133D" w:rsidP="00624F15">
      <w:pPr>
        <w:spacing w:after="0" w:line="240" w:lineRule="auto"/>
        <w:rPr>
          <w:rFonts w:ascii="Times New Roman" w:hAnsi="Times New Roman" w:cs="Times New Roman"/>
          <w:sz w:val="28"/>
          <w:szCs w:val="28"/>
        </w:rPr>
      </w:pPr>
    </w:p>
    <w:p w:rsidR="00624F15" w:rsidRPr="002F73F0" w:rsidRDefault="00624F15" w:rsidP="00624F15">
      <w:pPr>
        <w:spacing w:after="0" w:line="240" w:lineRule="auto"/>
        <w:jc w:val="center"/>
        <w:rPr>
          <w:rFonts w:ascii="Times New Roman" w:hAnsi="Times New Roman" w:cs="Times New Roman"/>
          <w:sz w:val="28"/>
          <w:szCs w:val="28"/>
        </w:rPr>
      </w:pPr>
      <w:r w:rsidRPr="002F73F0">
        <w:rPr>
          <w:rFonts w:ascii="Times New Roman" w:hAnsi="Times New Roman" w:cs="Times New Roman"/>
          <w:sz w:val="28"/>
          <w:szCs w:val="28"/>
        </w:rPr>
        <w:t>ЗАХОДИ,</w:t>
      </w:r>
    </w:p>
    <w:p w:rsidR="00624F15" w:rsidRPr="002F73F0" w:rsidRDefault="00624F15" w:rsidP="00624F15">
      <w:pPr>
        <w:spacing w:after="0" w:line="240" w:lineRule="auto"/>
        <w:jc w:val="center"/>
        <w:rPr>
          <w:rFonts w:ascii="Times New Roman" w:hAnsi="Times New Roman" w:cs="Times New Roman"/>
          <w:sz w:val="28"/>
          <w:szCs w:val="28"/>
        </w:rPr>
      </w:pPr>
      <w:r w:rsidRPr="002F73F0">
        <w:rPr>
          <w:rFonts w:ascii="Times New Roman" w:hAnsi="Times New Roman" w:cs="Times New Roman"/>
          <w:sz w:val="28"/>
          <w:szCs w:val="28"/>
        </w:rPr>
        <w:t>пов’язані з підготовкою матеріалів для проведення громадської експертизи діяльності</w:t>
      </w:r>
    </w:p>
    <w:p w:rsidR="00624F15" w:rsidRPr="002F73F0" w:rsidRDefault="00624F15" w:rsidP="00624F15">
      <w:pPr>
        <w:spacing w:after="0" w:line="240" w:lineRule="auto"/>
        <w:jc w:val="center"/>
        <w:rPr>
          <w:rFonts w:ascii="Times New Roman" w:hAnsi="Times New Roman" w:cs="Times New Roman"/>
          <w:sz w:val="28"/>
          <w:szCs w:val="28"/>
        </w:rPr>
      </w:pPr>
      <w:r w:rsidRPr="002F73F0">
        <w:rPr>
          <w:rFonts w:ascii="Times New Roman" w:hAnsi="Times New Roman" w:cs="Times New Roman"/>
          <w:sz w:val="28"/>
          <w:szCs w:val="28"/>
        </w:rPr>
        <w:t>Міністерства фінансів України громад</w:t>
      </w:r>
      <w:r w:rsidR="00E60B4A" w:rsidRPr="002F73F0">
        <w:rPr>
          <w:rFonts w:ascii="Times New Roman" w:hAnsi="Times New Roman" w:cs="Times New Roman"/>
          <w:sz w:val="28"/>
          <w:szCs w:val="28"/>
        </w:rPr>
        <w:t>ською організацією «Українська д</w:t>
      </w:r>
      <w:r w:rsidRPr="002F73F0">
        <w:rPr>
          <w:rFonts w:ascii="Times New Roman" w:hAnsi="Times New Roman" w:cs="Times New Roman"/>
          <w:sz w:val="28"/>
          <w:szCs w:val="28"/>
        </w:rPr>
        <w:t>емократія</w:t>
      </w:r>
      <w:r w:rsidR="00E60B4A" w:rsidRPr="002F73F0">
        <w:rPr>
          <w:rFonts w:ascii="Times New Roman" w:hAnsi="Times New Roman" w:cs="Times New Roman"/>
          <w:sz w:val="28"/>
          <w:szCs w:val="28"/>
        </w:rPr>
        <w:t>»</w:t>
      </w:r>
    </w:p>
    <w:p w:rsidR="00624F15" w:rsidRPr="002F73F0" w:rsidRDefault="00624F15" w:rsidP="00624F15">
      <w:pPr>
        <w:spacing w:after="0" w:line="240" w:lineRule="auto"/>
        <w:jc w:val="center"/>
        <w:rPr>
          <w:rFonts w:ascii="Times New Roman" w:hAnsi="Times New Roman" w:cs="Times New Roman"/>
          <w:sz w:val="28"/>
          <w:szCs w:val="28"/>
        </w:rPr>
      </w:pPr>
    </w:p>
    <w:tbl>
      <w:tblPr>
        <w:tblStyle w:val="a3"/>
        <w:tblW w:w="14596" w:type="dxa"/>
        <w:tblLook w:val="04A0" w:firstRow="1" w:lastRow="0" w:firstColumn="1" w:lastColumn="0" w:noHBand="0" w:noVBand="1"/>
      </w:tblPr>
      <w:tblGrid>
        <w:gridCol w:w="803"/>
        <w:gridCol w:w="7243"/>
        <w:gridCol w:w="2410"/>
        <w:gridCol w:w="4140"/>
      </w:tblGrid>
      <w:tr w:rsidR="002F73F0" w:rsidRPr="002F73F0" w:rsidTr="00E60B4A">
        <w:tc>
          <w:tcPr>
            <w:tcW w:w="803" w:type="dxa"/>
          </w:tcPr>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w:t>
            </w:r>
          </w:p>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з/п</w:t>
            </w:r>
          </w:p>
        </w:tc>
        <w:tc>
          <w:tcPr>
            <w:tcW w:w="7243" w:type="dxa"/>
          </w:tcPr>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 xml:space="preserve">Найменування заходу </w:t>
            </w:r>
          </w:p>
        </w:tc>
        <w:tc>
          <w:tcPr>
            <w:tcW w:w="2410" w:type="dxa"/>
          </w:tcPr>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Термін</w:t>
            </w:r>
          </w:p>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виконання</w:t>
            </w:r>
          </w:p>
        </w:tc>
        <w:tc>
          <w:tcPr>
            <w:tcW w:w="4140" w:type="dxa"/>
          </w:tcPr>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 xml:space="preserve">Відповідальний структурний підрозділів </w:t>
            </w:r>
          </w:p>
        </w:tc>
      </w:tr>
      <w:tr w:rsidR="002F73F0" w:rsidRPr="002F73F0" w:rsidTr="00E60B4A">
        <w:tc>
          <w:tcPr>
            <w:tcW w:w="803" w:type="dxa"/>
          </w:tcPr>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1.</w:t>
            </w:r>
          </w:p>
        </w:tc>
        <w:tc>
          <w:tcPr>
            <w:tcW w:w="7243" w:type="dxa"/>
          </w:tcPr>
          <w:p w:rsidR="00850959" w:rsidRPr="002F73F0" w:rsidRDefault="00850959" w:rsidP="00850959">
            <w:pPr>
              <w:jc w:val="both"/>
              <w:rPr>
                <w:rFonts w:ascii="Times New Roman" w:hAnsi="Times New Roman" w:cs="Times New Roman"/>
                <w:sz w:val="28"/>
                <w:szCs w:val="28"/>
              </w:rPr>
            </w:pPr>
            <w:r w:rsidRPr="002F73F0">
              <w:rPr>
                <w:rFonts w:ascii="Times New Roman" w:hAnsi="Times New Roman" w:cs="Times New Roman"/>
                <w:sz w:val="28"/>
                <w:szCs w:val="28"/>
              </w:rPr>
              <w:t xml:space="preserve">Оприлюднення на офіційному веб-сайті Мінфіну інформації про надходження запиту щодо проведення громадської експертизи, тексту наказу та заходів з підготовки матеріалів для проведення громадської експертизи з метою сприяння її проведенню </w:t>
            </w:r>
          </w:p>
        </w:tc>
        <w:tc>
          <w:tcPr>
            <w:tcW w:w="2410" w:type="dxa"/>
          </w:tcPr>
          <w:p w:rsidR="00850959" w:rsidRPr="002F73F0" w:rsidRDefault="00EB4F09" w:rsidP="00624F15">
            <w:pPr>
              <w:jc w:val="center"/>
              <w:rPr>
                <w:rFonts w:ascii="Times New Roman" w:hAnsi="Times New Roman" w:cs="Times New Roman"/>
                <w:sz w:val="28"/>
                <w:szCs w:val="28"/>
              </w:rPr>
            </w:pPr>
            <w:r>
              <w:rPr>
                <w:rFonts w:ascii="Times New Roman" w:hAnsi="Times New Roman" w:cs="Times New Roman"/>
                <w:sz w:val="28"/>
                <w:szCs w:val="28"/>
              </w:rPr>
              <w:t>У день прийняття</w:t>
            </w:r>
            <w:r w:rsidR="00850959" w:rsidRPr="002F73F0">
              <w:rPr>
                <w:rFonts w:ascii="Times New Roman" w:hAnsi="Times New Roman" w:cs="Times New Roman"/>
                <w:sz w:val="28"/>
                <w:szCs w:val="28"/>
              </w:rPr>
              <w:t xml:space="preserve"> наказу</w:t>
            </w:r>
          </w:p>
        </w:tc>
        <w:tc>
          <w:tcPr>
            <w:tcW w:w="4140" w:type="dxa"/>
          </w:tcPr>
          <w:p w:rsidR="00850959" w:rsidRPr="002F73F0" w:rsidRDefault="00850959" w:rsidP="00E60B4A">
            <w:pPr>
              <w:rPr>
                <w:rFonts w:ascii="Times New Roman" w:hAnsi="Times New Roman" w:cs="Times New Roman"/>
                <w:sz w:val="28"/>
                <w:szCs w:val="28"/>
              </w:rPr>
            </w:pPr>
            <w:r w:rsidRPr="002F73F0">
              <w:rPr>
                <w:rFonts w:ascii="Times New Roman" w:hAnsi="Times New Roman" w:cs="Times New Roman"/>
                <w:sz w:val="28"/>
                <w:szCs w:val="28"/>
              </w:rPr>
              <w:t>Департамент забезпечення комунікацій та організаційно-аналітичної роботи</w:t>
            </w:r>
          </w:p>
        </w:tc>
      </w:tr>
      <w:tr w:rsidR="002F73F0" w:rsidRPr="002F73F0" w:rsidTr="00E60B4A">
        <w:tc>
          <w:tcPr>
            <w:tcW w:w="803" w:type="dxa"/>
          </w:tcPr>
          <w:p w:rsidR="00D96311" w:rsidRPr="002F73F0" w:rsidRDefault="00D96311" w:rsidP="00624F15">
            <w:pPr>
              <w:jc w:val="center"/>
              <w:rPr>
                <w:rFonts w:ascii="Times New Roman" w:hAnsi="Times New Roman" w:cs="Times New Roman"/>
                <w:sz w:val="28"/>
                <w:szCs w:val="28"/>
              </w:rPr>
            </w:pPr>
            <w:r w:rsidRPr="002F73F0">
              <w:rPr>
                <w:rFonts w:ascii="Times New Roman" w:hAnsi="Times New Roman" w:cs="Times New Roman"/>
                <w:sz w:val="28"/>
                <w:szCs w:val="28"/>
              </w:rPr>
              <w:t>2.</w:t>
            </w:r>
          </w:p>
        </w:tc>
        <w:tc>
          <w:tcPr>
            <w:tcW w:w="7243" w:type="dxa"/>
          </w:tcPr>
          <w:p w:rsidR="00D96311" w:rsidRPr="002F73F0" w:rsidRDefault="00D96311" w:rsidP="00850959">
            <w:pPr>
              <w:jc w:val="both"/>
              <w:rPr>
                <w:rFonts w:ascii="Times New Roman" w:hAnsi="Times New Roman" w:cs="Times New Roman"/>
                <w:sz w:val="28"/>
                <w:szCs w:val="28"/>
              </w:rPr>
            </w:pPr>
            <w:r w:rsidRPr="002F73F0">
              <w:rPr>
                <w:rFonts w:ascii="Times New Roman" w:hAnsi="Times New Roman" w:cs="Times New Roman"/>
                <w:sz w:val="28"/>
                <w:szCs w:val="28"/>
              </w:rPr>
              <w:t>Підготовка матеріалів та/або завірених у встановленому порядку їх копій відповідно до переліку</w:t>
            </w:r>
            <w:r w:rsidR="0074753C">
              <w:rPr>
                <w:rFonts w:ascii="Times New Roman" w:hAnsi="Times New Roman" w:cs="Times New Roman"/>
                <w:sz w:val="28"/>
                <w:szCs w:val="28"/>
              </w:rPr>
              <w:t xml:space="preserve"> за період з 01.10.2016 по 30.09.2017</w:t>
            </w:r>
            <w:r w:rsidRPr="002F73F0">
              <w:rPr>
                <w:rFonts w:ascii="Times New Roman" w:hAnsi="Times New Roman" w:cs="Times New Roman"/>
                <w:sz w:val="28"/>
                <w:szCs w:val="28"/>
              </w:rPr>
              <w:t>:</w:t>
            </w:r>
          </w:p>
        </w:tc>
        <w:tc>
          <w:tcPr>
            <w:tcW w:w="2410" w:type="dxa"/>
          </w:tcPr>
          <w:p w:rsidR="00D96311" w:rsidRPr="002F73F0" w:rsidRDefault="00D96311" w:rsidP="00624F15">
            <w:pPr>
              <w:jc w:val="center"/>
              <w:rPr>
                <w:rFonts w:ascii="Times New Roman" w:hAnsi="Times New Roman" w:cs="Times New Roman"/>
                <w:sz w:val="28"/>
                <w:szCs w:val="28"/>
              </w:rPr>
            </w:pPr>
          </w:p>
        </w:tc>
        <w:tc>
          <w:tcPr>
            <w:tcW w:w="4140" w:type="dxa"/>
          </w:tcPr>
          <w:p w:rsidR="00D96311" w:rsidRPr="002F73F0" w:rsidRDefault="00D96311" w:rsidP="00624F15">
            <w:pPr>
              <w:jc w:val="center"/>
              <w:rPr>
                <w:rFonts w:ascii="Times New Roman" w:hAnsi="Times New Roman" w:cs="Times New Roman"/>
                <w:sz w:val="28"/>
                <w:szCs w:val="28"/>
              </w:rPr>
            </w:pPr>
          </w:p>
        </w:tc>
      </w:tr>
      <w:tr w:rsidR="002F73F0" w:rsidRPr="002F73F0" w:rsidTr="00E60B4A">
        <w:trPr>
          <w:trHeight w:val="2413"/>
        </w:trPr>
        <w:tc>
          <w:tcPr>
            <w:tcW w:w="803" w:type="dxa"/>
          </w:tcPr>
          <w:p w:rsidR="00850959" w:rsidRPr="002F73F0" w:rsidRDefault="00D96311" w:rsidP="00624F15">
            <w:pPr>
              <w:jc w:val="center"/>
              <w:rPr>
                <w:rFonts w:ascii="Times New Roman" w:hAnsi="Times New Roman" w:cs="Times New Roman"/>
                <w:sz w:val="28"/>
                <w:szCs w:val="28"/>
              </w:rPr>
            </w:pPr>
            <w:r w:rsidRPr="002F73F0">
              <w:rPr>
                <w:rFonts w:ascii="Times New Roman" w:hAnsi="Times New Roman" w:cs="Times New Roman"/>
                <w:sz w:val="28"/>
                <w:szCs w:val="28"/>
              </w:rPr>
              <w:t>2</w:t>
            </w:r>
            <w:r w:rsidR="00850959" w:rsidRPr="002F73F0">
              <w:rPr>
                <w:rFonts w:ascii="Times New Roman" w:hAnsi="Times New Roman" w:cs="Times New Roman"/>
                <w:sz w:val="28"/>
                <w:szCs w:val="28"/>
              </w:rPr>
              <w:t>.</w:t>
            </w:r>
            <w:r w:rsidRPr="002F73F0">
              <w:rPr>
                <w:rFonts w:ascii="Times New Roman" w:hAnsi="Times New Roman" w:cs="Times New Roman"/>
                <w:sz w:val="28"/>
                <w:szCs w:val="28"/>
              </w:rPr>
              <w:t>1.</w:t>
            </w:r>
          </w:p>
        </w:tc>
        <w:tc>
          <w:tcPr>
            <w:tcW w:w="7243" w:type="dxa"/>
          </w:tcPr>
          <w:p w:rsidR="00850959" w:rsidRPr="002F73F0" w:rsidRDefault="00D96311" w:rsidP="000C7275">
            <w:pPr>
              <w:jc w:val="both"/>
              <w:rPr>
                <w:rFonts w:ascii="Times New Roman" w:hAnsi="Times New Roman" w:cs="Times New Roman"/>
                <w:sz w:val="28"/>
                <w:szCs w:val="28"/>
              </w:rPr>
            </w:pPr>
            <w:r w:rsidRPr="002F73F0">
              <w:rPr>
                <w:rFonts w:ascii="Times New Roman" w:hAnsi="Times New Roman" w:cs="Times New Roman"/>
                <w:sz w:val="28"/>
                <w:szCs w:val="28"/>
              </w:rPr>
              <w:t>Копії</w:t>
            </w:r>
            <w:r w:rsidR="00850959" w:rsidRPr="002F73F0">
              <w:rPr>
                <w:rFonts w:ascii="Times New Roman" w:hAnsi="Times New Roman" w:cs="Times New Roman"/>
                <w:sz w:val="28"/>
                <w:szCs w:val="28"/>
              </w:rPr>
              <w:t xml:space="preserve"> пропозицій громадян та інститутів громадянського суспільства (далі ІГС) (разом з додатками) щодо вирішення питань, які мають в</w:t>
            </w:r>
            <w:r w:rsidRPr="002F73F0">
              <w:rPr>
                <w:rFonts w:ascii="Times New Roman" w:hAnsi="Times New Roman" w:cs="Times New Roman"/>
                <w:sz w:val="28"/>
                <w:szCs w:val="28"/>
              </w:rPr>
              <w:t>ажливе суспільне значення, копії відповідей на них</w:t>
            </w:r>
            <w:r w:rsidR="00850959" w:rsidRPr="002F73F0">
              <w:rPr>
                <w:rFonts w:ascii="Times New Roman" w:hAnsi="Times New Roman" w:cs="Times New Roman"/>
                <w:sz w:val="28"/>
                <w:szCs w:val="28"/>
              </w:rPr>
              <w:t>, копій рішень, наказів, розпоряджень, планів тощо, які були прийняті або затверджені Мінфіном з вра</w:t>
            </w:r>
            <w:r w:rsidRPr="002F73F0">
              <w:rPr>
                <w:rFonts w:ascii="Times New Roman" w:hAnsi="Times New Roman" w:cs="Times New Roman"/>
                <w:sz w:val="28"/>
                <w:szCs w:val="28"/>
              </w:rPr>
              <w:t>хуванням відповідних пропозицій</w:t>
            </w:r>
            <w:r w:rsidR="00850959" w:rsidRPr="002F73F0">
              <w:rPr>
                <w:rFonts w:ascii="Times New Roman" w:hAnsi="Times New Roman" w:cs="Times New Roman"/>
                <w:sz w:val="28"/>
                <w:szCs w:val="28"/>
              </w:rPr>
              <w:t xml:space="preserve"> </w:t>
            </w:r>
          </w:p>
          <w:p w:rsidR="00850959" w:rsidRPr="002F73F0" w:rsidRDefault="00850959" w:rsidP="000B0C5C">
            <w:pPr>
              <w:jc w:val="both"/>
              <w:rPr>
                <w:rFonts w:ascii="Times New Roman" w:hAnsi="Times New Roman" w:cs="Times New Roman"/>
                <w:sz w:val="28"/>
                <w:szCs w:val="28"/>
              </w:rPr>
            </w:pPr>
          </w:p>
        </w:tc>
        <w:tc>
          <w:tcPr>
            <w:tcW w:w="2410" w:type="dxa"/>
          </w:tcPr>
          <w:p w:rsidR="00850959" w:rsidRPr="002F73F0" w:rsidRDefault="00D96311"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471F47" w:rsidRPr="002F73F0" w:rsidRDefault="00471F47" w:rsidP="00471F47">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 зв’язків з органами державної влади та громадськістю</w:t>
            </w:r>
          </w:p>
          <w:p w:rsidR="00850959" w:rsidRPr="002F73F0" w:rsidRDefault="00D96311" w:rsidP="00471F47">
            <w:pPr>
              <w:spacing w:after="120"/>
              <w:rPr>
                <w:rFonts w:ascii="Times New Roman" w:hAnsi="Times New Roman" w:cs="Times New Roman"/>
                <w:sz w:val="28"/>
                <w:szCs w:val="28"/>
              </w:rPr>
            </w:pPr>
            <w:r w:rsidRPr="002F73F0">
              <w:rPr>
                <w:rFonts w:ascii="Times New Roman" w:hAnsi="Times New Roman" w:cs="Times New Roman"/>
                <w:sz w:val="28"/>
                <w:szCs w:val="28"/>
              </w:rPr>
              <w:t xml:space="preserve">Самостійні структурні </w:t>
            </w:r>
            <w:r w:rsidR="00471F47" w:rsidRPr="002F73F0">
              <w:rPr>
                <w:rFonts w:ascii="Times New Roman" w:hAnsi="Times New Roman" w:cs="Times New Roman"/>
                <w:sz w:val="28"/>
                <w:szCs w:val="28"/>
              </w:rPr>
              <w:t xml:space="preserve"> </w:t>
            </w:r>
            <w:r w:rsidRPr="002F73F0">
              <w:rPr>
                <w:rFonts w:ascii="Times New Roman" w:hAnsi="Times New Roman" w:cs="Times New Roman"/>
                <w:sz w:val="28"/>
                <w:szCs w:val="28"/>
              </w:rPr>
              <w:t>підрозділи</w:t>
            </w:r>
          </w:p>
          <w:p w:rsidR="00850959" w:rsidRPr="002F73F0" w:rsidRDefault="00850959" w:rsidP="00624F15">
            <w:pPr>
              <w:jc w:val="center"/>
              <w:rPr>
                <w:rFonts w:ascii="Times New Roman" w:hAnsi="Times New Roman" w:cs="Times New Roman"/>
                <w:sz w:val="28"/>
                <w:szCs w:val="28"/>
              </w:rPr>
            </w:pPr>
          </w:p>
          <w:p w:rsidR="00850959" w:rsidRPr="002F73F0" w:rsidRDefault="00850959" w:rsidP="00624F15">
            <w:pPr>
              <w:jc w:val="center"/>
              <w:rPr>
                <w:rFonts w:ascii="Times New Roman" w:hAnsi="Times New Roman" w:cs="Times New Roman"/>
                <w:sz w:val="28"/>
                <w:szCs w:val="28"/>
              </w:rPr>
            </w:pPr>
          </w:p>
          <w:p w:rsidR="00850959" w:rsidRPr="002F73F0" w:rsidRDefault="00850959" w:rsidP="00624F15">
            <w:pPr>
              <w:jc w:val="center"/>
              <w:rPr>
                <w:rFonts w:ascii="Times New Roman" w:hAnsi="Times New Roman" w:cs="Times New Roman"/>
                <w:sz w:val="28"/>
                <w:szCs w:val="28"/>
              </w:rPr>
            </w:pPr>
          </w:p>
          <w:p w:rsidR="00850959" w:rsidRPr="002F73F0" w:rsidRDefault="00850959" w:rsidP="00624F15">
            <w:pPr>
              <w:jc w:val="center"/>
              <w:rPr>
                <w:rFonts w:ascii="Times New Roman" w:hAnsi="Times New Roman" w:cs="Times New Roman"/>
                <w:sz w:val="28"/>
                <w:szCs w:val="28"/>
              </w:rPr>
            </w:pPr>
          </w:p>
        </w:tc>
      </w:tr>
      <w:tr w:rsidR="002F73F0" w:rsidRPr="002F73F0" w:rsidTr="00E60B4A">
        <w:trPr>
          <w:trHeight w:val="2413"/>
        </w:trPr>
        <w:tc>
          <w:tcPr>
            <w:tcW w:w="803" w:type="dxa"/>
          </w:tcPr>
          <w:p w:rsidR="00254CD4" w:rsidRPr="002F73F0" w:rsidRDefault="00254CD4" w:rsidP="00254CD4">
            <w:pPr>
              <w:jc w:val="center"/>
              <w:rPr>
                <w:rFonts w:ascii="Times New Roman" w:hAnsi="Times New Roman" w:cs="Times New Roman"/>
                <w:sz w:val="28"/>
                <w:szCs w:val="28"/>
              </w:rPr>
            </w:pPr>
            <w:r w:rsidRPr="002F73F0">
              <w:rPr>
                <w:rFonts w:ascii="Times New Roman" w:hAnsi="Times New Roman" w:cs="Times New Roman"/>
                <w:sz w:val="28"/>
                <w:szCs w:val="28"/>
              </w:rPr>
              <w:lastRenderedPageBreak/>
              <w:t>2.2.</w:t>
            </w:r>
          </w:p>
          <w:p w:rsidR="00254CD4" w:rsidRPr="002F73F0" w:rsidRDefault="00254CD4" w:rsidP="00624F15">
            <w:pPr>
              <w:jc w:val="center"/>
              <w:rPr>
                <w:rFonts w:ascii="Times New Roman" w:hAnsi="Times New Roman" w:cs="Times New Roman"/>
                <w:sz w:val="28"/>
                <w:szCs w:val="28"/>
              </w:rPr>
            </w:pPr>
          </w:p>
        </w:tc>
        <w:tc>
          <w:tcPr>
            <w:tcW w:w="7243" w:type="dxa"/>
          </w:tcPr>
          <w:p w:rsidR="00254CD4" w:rsidRPr="002F73F0" w:rsidRDefault="00254CD4" w:rsidP="00254CD4">
            <w:pPr>
              <w:jc w:val="both"/>
              <w:rPr>
                <w:rFonts w:ascii="Times New Roman" w:hAnsi="Times New Roman" w:cs="Times New Roman"/>
                <w:sz w:val="28"/>
                <w:szCs w:val="28"/>
              </w:rPr>
            </w:pPr>
            <w:r w:rsidRPr="002F73F0">
              <w:rPr>
                <w:rFonts w:ascii="Times New Roman" w:hAnsi="Times New Roman" w:cs="Times New Roman"/>
                <w:sz w:val="28"/>
                <w:szCs w:val="28"/>
              </w:rPr>
              <w:t>Копії експертних пропозицій від ІГС за результатами проведення громадської експертизи Мінфіну згідно з Порядком сприяння проведенню громадської експертизи діяльності органів виконавчої влади, копії відповідей Мінфіну про результати їх розгляду та заходи, спрямовані на їх реалізацію, копії звітів (наказів, рішень тощо) Мінфіну щодо виконання заходів з реалізації відповідних експертних пропозицій;</w:t>
            </w:r>
          </w:p>
          <w:p w:rsidR="00254CD4" w:rsidRPr="002F73F0" w:rsidRDefault="00254CD4" w:rsidP="000C7275">
            <w:pPr>
              <w:jc w:val="both"/>
              <w:rPr>
                <w:rFonts w:ascii="Times New Roman" w:hAnsi="Times New Roman" w:cs="Times New Roman"/>
                <w:sz w:val="28"/>
                <w:szCs w:val="28"/>
              </w:rPr>
            </w:pPr>
          </w:p>
        </w:tc>
        <w:tc>
          <w:tcPr>
            <w:tcW w:w="2410" w:type="dxa"/>
          </w:tcPr>
          <w:p w:rsidR="00254CD4"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254CD4" w:rsidRPr="002F73F0" w:rsidRDefault="004B3821" w:rsidP="00E60B4A">
            <w:pPr>
              <w:spacing w:after="120"/>
              <w:ind w:right="288"/>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 з</w:t>
            </w:r>
            <w:r w:rsidR="00254CD4" w:rsidRPr="002F73F0">
              <w:rPr>
                <w:rFonts w:ascii="Times New Roman" w:eastAsia="Times New Roman" w:hAnsi="Times New Roman" w:cs="Times New Roman"/>
                <w:sz w:val="28"/>
                <w:szCs w:val="28"/>
                <w:lang w:eastAsia="uk-UA"/>
              </w:rPr>
              <w:t>в’язків з органами державної влади та громадськістю</w:t>
            </w:r>
          </w:p>
          <w:p w:rsidR="00254CD4" w:rsidRPr="002F73F0" w:rsidRDefault="00254CD4" w:rsidP="00471F47">
            <w:pPr>
              <w:spacing w:after="120"/>
              <w:jc w:val="both"/>
              <w:rPr>
                <w:rFonts w:ascii="Times New Roman" w:eastAsia="Times New Roman" w:hAnsi="Times New Roman" w:cs="Times New Roman"/>
                <w:sz w:val="28"/>
                <w:szCs w:val="28"/>
                <w:lang w:eastAsia="uk-UA"/>
              </w:rPr>
            </w:pPr>
          </w:p>
        </w:tc>
      </w:tr>
      <w:tr w:rsidR="002F73F0" w:rsidRPr="002F73F0" w:rsidTr="00E60B4A">
        <w:tc>
          <w:tcPr>
            <w:tcW w:w="803" w:type="dxa"/>
          </w:tcPr>
          <w:p w:rsidR="00471F47" w:rsidRPr="002F73F0" w:rsidRDefault="00471F47" w:rsidP="00624F15">
            <w:pPr>
              <w:jc w:val="center"/>
              <w:rPr>
                <w:rFonts w:ascii="Times New Roman" w:hAnsi="Times New Roman" w:cs="Times New Roman"/>
                <w:sz w:val="28"/>
                <w:szCs w:val="28"/>
              </w:rPr>
            </w:pPr>
            <w:r w:rsidRPr="002F73F0">
              <w:rPr>
                <w:rFonts w:ascii="Times New Roman" w:hAnsi="Times New Roman" w:cs="Times New Roman"/>
                <w:sz w:val="28"/>
                <w:szCs w:val="28"/>
              </w:rPr>
              <w:t>2.3</w:t>
            </w:r>
          </w:p>
        </w:tc>
        <w:tc>
          <w:tcPr>
            <w:tcW w:w="7243" w:type="dxa"/>
          </w:tcPr>
          <w:p w:rsidR="00471F47" w:rsidRPr="002F73F0" w:rsidRDefault="00471F47" w:rsidP="00471F47">
            <w:pPr>
              <w:jc w:val="both"/>
              <w:rPr>
                <w:rFonts w:ascii="Times New Roman" w:hAnsi="Times New Roman" w:cs="Times New Roman"/>
                <w:sz w:val="28"/>
                <w:szCs w:val="28"/>
                <w:highlight w:val="yellow"/>
              </w:rPr>
            </w:pPr>
            <w:r w:rsidRPr="002F73F0">
              <w:rPr>
                <w:rFonts w:ascii="Times New Roman" w:hAnsi="Times New Roman" w:cs="Times New Roman"/>
                <w:sz w:val="28"/>
                <w:szCs w:val="28"/>
              </w:rPr>
              <w:t>Копії пропозицій та зауважень, що надійшли від громадян та ІГС до Мінфіну під час публічного громадського обговорення, електронних консультацій з громадськістю</w:t>
            </w:r>
            <w:r w:rsidR="004B3821" w:rsidRPr="002F73F0">
              <w:rPr>
                <w:rFonts w:ascii="Times New Roman" w:hAnsi="Times New Roman" w:cs="Times New Roman"/>
                <w:sz w:val="28"/>
                <w:szCs w:val="28"/>
              </w:rPr>
              <w:t>;</w:t>
            </w:r>
            <w:r w:rsidRPr="002F73F0">
              <w:rPr>
                <w:rFonts w:ascii="Times New Roman" w:hAnsi="Times New Roman" w:cs="Times New Roman"/>
                <w:sz w:val="28"/>
                <w:szCs w:val="28"/>
              </w:rPr>
              <w:t xml:space="preserve"> копії документів, які містять інформацію щодо врахування відповідних пропозицій та зауважень громадян та ІГС з обов’язковим обґрунтуванням прийнятого рішення та причин неврахування пропоз</w:t>
            </w:r>
            <w:r w:rsidR="004B3821" w:rsidRPr="002F73F0">
              <w:rPr>
                <w:rFonts w:ascii="Times New Roman" w:hAnsi="Times New Roman" w:cs="Times New Roman"/>
                <w:sz w:val="28"/>
                <w:szCs w:val="28"/>
              </w:rPr>
              <w:t>ицій та зауважень;</w:t>
            </w:r>
            <w:r w:rsidRPr="002F73F0">
              <w:rPr>
                <w:rFonts w:ascii="Times New Roman" w:hAnsi="Times New Roman" w:cs="Times New Roman"/>
                <w:sz w:val="28"/>
                <w:szCs w:val="28"/>
              </w:rPr>
              <w:t xml:space="preserve"> копії рішень, прийняті Мінфіном за результатами такого громадського обговорення, електронн</w:t>
            </w:r>
            <w:r w:rsidR="00741D26" w:rsidRPr="002F73F0">
              <w:rPr>
                <w:rFonts w:ascii="Times New Roman" w:hAnsi="Times New Roman" w:cs="Times New Roman"/>
                <w:sz w:val="28"/>
                <w:szCs w:val="28"/>
              </w:rPr>
              <w:t>их консультацій з громадськістю</w:t>
            </w:r>
          </w:p>
        </w:tc>
        <w:tc>
          <w:tcPr>
            <w:tcW w:w="2410" w:type="dxa"/>
          </w:tcPr>
          <w:p w:rsidR="00471F47"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741D26" w:rsidP="00741D26">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w:t>
            </w:r>
            <w:r w:rsidR="004B3821" w:rsidRPr="002F73F0">
              <w:rPr>
                <w:rFonts w:ascii="Times New Roman" w:eastAsia="Times New Roman" w:hAnsi="Times New Roman" w:cs="Times New Roman"/>
                <w:sz w:val="28"/>
                <w:szCs w:val="28"/>
                <w:lang w:eastAsia="uk-UA"/>
              </w:rPr>
              <w:t xml:space="preserve"> з</w:t>
            </w:r>
            <w:r w:rsidRPr="002F73F0">
              <w:rPr>
                <w:rFonts w:ascii="Times New Roman" w:eastAsia="Times New Roman" w:hAnsi="Times New Roman" w:cs="Times New Roman"/>
                <w:sz w:val="28"/>
                <w:szCs w:val="28"/>
                <w:lang w:eastAsia="uk-UA"/>
              </w:rPr>
              <w:t>в’язків</w:t>
            </w:r>
            <w:r w:rsidR="004B3821" w:rsidRPr="002F73F0">
              <w:rPr>
                <w:rFonts w:ascii="Times New Roman" w:eastAsia="Times New Roman" w:hAnsi="Times New Roman" w:cs="Times New Roman"/>
                <w:sz w:val="28"/>
                <w:szCs w:val="28"/>
                <w:lang w:eastAsia="uk-UA"/>
              </w:rPr>
              <w:t xml:space="preserve"> з органами державної влади та </w:t>
            </w:r>
            <w:r w:rsidRPr="002F73F0">
              <w:rPr>
                <w:rFonts w:ascii="Times New Roman" w:eastAsia="Times New Roman" w:hAnsi="Times New Roman" w:cs="Times New Roman"/>
                <w:sz w:val="28"/>
                <w:szCs w:val="28"/>
                <w:lang w:eastAsia="uk-UA"/>
              </w:rPr>
              <w:t>громадськістю</w:t>
            </w:r>
          </w:p>
          <w:p w:rsidR="00471F47" w:rsidRPr="002F73F0" w:rsidRDefault="00741D26" w:rsidP="002F73F0">
            <w:pPr>
              <w:spacing w:after="120"/>
              <w:rPr>
                <w:rFonts w:ascii="Times New Roman" w:eastAsia="Times New Roman" w:hAnsi="Times New Roman" w:cs="Times New Roman"/>
                <w:sz w:val="28"/>
                <w:szCs w:val="28"/>
                <w:lang w:eastAsia="uk-UA"/>
              </w:rPr>
            </w:pPr>
            <w:r w:rsidRPr="002F73F0">
              <w:rPr>
                <w:rFonts w:ascii="Times New Roman" w:hAnsi="Times New Roman" w:cs="Times New Roman"/>
                <w:sz w:val="28"/>
                <w:szCs w:val="28"/>
              </w:rPr>
              <w:t>Самостійні структурні  підрозділи</w:t>
            </w:r>
          </w:p>
        </w:tc>
      </w:tr>
      <w:tr w:rsidR="002F73F0" w:rsidRPr="002F73F0" w:rsidTr="00E60B4A">
        <w:tc>
          <w:tcPr>
            <w:tcW w:w="803" w:type="dxa"/>
          </w:tcPr>
          <w:p w:rsidR="00741D26"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t>2.4.</w:t>
            </w:r>
          </w:p>
        </w:tc>
        <w:tc>
          <w:tcPr>
            <w:tcW w:w="7243" w:type="dxa"/>
          </w:tcPr>
          <w:p w:rsidR="00741D26" w:rsidRPr="002F73F0" w:rsidRDefault="00741D26" w:rsidP="00741D26">
            <w:pPr>
              <w:jc w:val="both"/>
              <w:rPr>
                <w:rFonts w:ascii="Times New Roman" w:hAnsi="Times New Roman" w:cs="Times New Roman"/>
                <w:sz w:val="28"/>
                <w:szCs w:val="28"/>
              </w:rPr>
            </w:pPr>
            <w:r w:rsidRPr="002F73F0">
              <w:rPr>
                <w:rFonts w:ascii="Times New Roman" w:hAnsi="Times New Roman" w:cs="Times New Roman"/>
                <w:sz w:val="28"/>
                <w:szCs w:val="28"/>
              </w:rPr>
              <w:t xml:space="preserve">  Копії пропозицій Громадської ради при </w:t>
            </w:r>
            <w:r w:rsidR="004B3821" w:rsidRPr="002F73F0">
              <w:rPr>
                <w:rFonts w:ascii="Times New Roman" w:hAnsi="Times New Roman" w:cs="Times New Roman"/>
                <w:sz w:val="28"/>
                <w:szCs w:val="28"/>
              </w:rPr>
              <w:t xml:space="preserve">Мінфіні </w:t>
            </w:r>
            <w:r w:rsidRPr="002F73F0">
              <w:rPr>
                <w:rFonts w:ascii="Times New Roman" w:hAnsi="Times New Roman" w:cs="Times New Roman"/>
                <w:sz w:val="28"/>
                <w:szCs w:val="28"/>
              </w:rPr>
              <w:t xml:space="preserve">щодо підготовки проектів нормативно-правових актів з питань формування та реалізації державної політики у відповідній сфері, вдосконалення роботи Мінфіну, копії рішень Мінфіну, прийнятих за результатами розгляду пропозицій Громадської ради при Міністерстві фінансів, які містять відомості про врахування пропозицій Громадської </w:t>
            </w:r>
            <w:r w:rsidR="004B3821" w:rsidRPr="002F73F0">
              <w:rPr>
                <w:rFonts w:ascii="Times New Roman" w:hAnsi="Times New Roman" w:cs="Times New Roman"/>
                <w:sz w:val="28"/>
                <w:szCs w:val="28"/>
              </w:rPr>
              <w:t>ради або причини їх відхилення</w:t>
            </w:r>
            <w:r w:rsidRPr="002F73F0">
              <w:rPr>
                <w:rFonts w:ascii="Times New Roman" w:hAnsi="Times New Roman" w:cs="Times New Roman"/>
                <w:sz w:val="28"/>
                <w:szCs w:val="28"/>
              </w:rPr>
              <w:t xml:space="preserve"> </w:t>
            </w:r>
          </w:p>
          <w:p w:rsidR="00741D26" w:rsidRPr="002F73F0" w:rsidRDefault="00741D26" w:rsidP="00471F47">
            <w:pPr>
              <w:jc w:val="both"/>
              <w:rPr>
                <w:rFonts w:ascii="Times New Roman" w:hAnsi="Times New Roman" w:cs="Times New Roman"/>
                <w:sz w:val="28"/>
                <w:szCs w:val="28"/>
              </w:rPr>
            </w:pPr>
          </w:p>
        </w:tc>
        <w:tc>
          <w:tcPr>
            <w:tcW w:w="2410" w:type="dxa"/>
          </w:tcPr>
          <w:p w:rsidR="00741D26"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4B3821" w:rsidP="00741D26">
            <w:pPr>
              <w:spacing w:after="120"/>
              <w:jc w:val="both"/>
              <w:rPr>
                <w:rFonts w:ascii="Times New Roman" w:hAnsi="Times New Roman" w:cs="Times New Roman"/>
                <w:sz w:val="28"/>
                <w:szCs w:val="28"/>
              </w:rPr>
            </w:pPr>
            <w:r w:rsidRPr="002F73F0">
              <w:rPr>
                <w:rFonts w:ascii="Times New Roman" w:hAnsi="Times New Roman" w:cs="Times New Roman"/>
                <w:sz w:val="28"/>
                <w:szCs w:val="28"/>
              </w:rPr>
              <w:t>Департамент</w:t>
            </w:r>
            <w:r w:rsidR="00741D26" w:rsidRPr="002F73F0">
              <w:rPr>
                <w:rFonts w:ascii="Times New Roman" w:hAnsi="Times New Roman" w:cs="Times New Roman"/>
                <w:sz w:val="28"/>
                <w:szCs w:val="28"/>
              </w:rPr>
              <w:t xml:space="preserve"> зв’язків з органами державної влади та громадськістю</w:t>
            </w:r>
          </w:p>
          <w:p w:rsidR="00741D26" w:rsidRPr="002F73F0" w:rsidRDefault="00741D26" w:rsidP="00741D26">
            <w:pPr>
              <w:spacing w:after="120"/>
              <w:jc w:val="both"/>
              <w:rPr>
                <w:rFonts w:ascii="Times New Roman" w:hAnsi="Times New Roman" w:cs="Times New Roman"/>
                <w:sz w:val="28"/>
                <w:szCs w:val="28"/>
              </w:rPr>
            </w:pPr>
            <w:r w:rsidRPr="002F73F0">
              <w:rPr>
                <w:rFonts w:ascii="Times New Roman" w:hAnsi="Times New Roman" w:cs="Times New Roman"/>
                <w:sz w:val="28"/>
                <w:szCs w:val="28"/>
              </w:rPr>
              <w:t>Департамент податкової політики</w:t>
            </w:r>
          </w:p>
          <w:p w:rsidR="002F73F0" w:rsidRPr="002F73F0" w:rsidRDefault="002F73F0" w:rsidP="00741D26">
            <w:pPr>
              <w:spacing w:after="120"/>
              <w:jc w:val="both"/>
              <w:rPr>
                <w:rFonts w:ascii="Times New Roman" w:hAnsi="Times New Roman" w:cs="Times New Roman"/>
                <w:sz w:val="28"/>
                <w:szCs w:val="28"/>
              </w:rPr>
            </w:pPr>
            <w:r w:rsidRPr="002F73F0">
              <w:rPr>
                <w:rFonts w:ascii="Times New Roman" w:hAnsi="Times New Roman" w:cs="Times New Roman"/>
                <w:sz w:val="28"/>
                <w:szCs w:val="28"/>
              </w:rPr>
              <w:t>Департамент митної політики</w:t>
            </w:r>
          </w:p>
          <w:p w:rsidR="00741D26" w:rsidRPr="002F73F0" w:rsidRDefault="00741D26" w:rsidP="00741D26">
            <w:pPr>
              <w:spacing w:after="120"/>
              <w:jc w:val="both"/>
              <w:rPr>
                <w:rFonts w:ascii="Times New Roman" w:eastAsia="Times New Roman" w:hAnsi="Times New Roman" w:cs="Times New Roman"/>
                <w:sz w:val="28"/>
                <w:szCs w:val="28"/>
                <w:lang w:eastAsia="uk-UA"/>
              </w:rPr>
            </w:pPr>
            <w:r w:rsidRPr="002F73F0">
              <w:rPr>
                <w:rFonts w:ascii="Times New Roman" w:hAnsi="Times New Roman" w:cs="Times New Roman"/>
                <w:sz w:val="28"/>
                <w:szCs w:val="28"/>
              </w:rPr>
              <w:t>Департамент прогнозування доходів бюджету та методології бухгалтерського обліку</w:t>
            </w:r>
          </w:p>
        </w:tc>
      </w:tr>
      <w:tr w:rsidR="002F73F0" w:rsidRPr="002F73F0" w:rsidTr="00E60B4A">
        <w:tc>
          <w:tcPr>
            <w:tcW w:w="803" w:type="dxa"/>
          </w:tcPr>
          <w:p w:rsidR="00741D26"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lastRenderedPageBreak/>
              <w:t>2.5</w:t>
            </w:r>
          </w:p>
        </w:tc>
        <w:tc>
          <w:tcPr>
            <w:tcW w:w="7243" w:type="dxa"/>
          </w:tcPr>
          <w:p w:rsidR="00741D26" w:rsidRPr="002F73F0" w:rsidRDefault="00741D26" w:rsidP="00741D26">
            <w:pPr>
              <w:jc w:val="both"/>
              <w:rPr>
                <w:rFonts w:ascii="Times New Roman" w:hAnsi="Times New Roman" w:cs="Times New Roman"/>
                <w:sz w:val="28"/>
                <w:szCs w:val="28"/>
              </w:rPr>
            </w:pPr>
            <w:r w:rsidRPr="002F73F0">
              <w:rPr>
                <w:rFonts w:ascii="Times New Roman" w:hAnsi="Times New Roman" w:cs="Times New Roman"/>
                <w:sz w:val="28"/>
                <w:szCs w:val="28"/>
              </w:rPr>
              <w:t>Копії договорів, меморандумів про співпрацю, які були укладені між Мінфіном та ІГС</w:t>
            </w:r>
          </w:p>
          <w:p w:rsidR="00741D26" w:rsidRPr="002F73F0" w:rsidRDefault="00741D26" w:rsidP="00741D26">
            <w:pPr>
              <w:jc w:val="both"/>
              <w:rPr>
                <w:rFonts w:ascii="Times New Roman" w:hAnsi="Times New Roman" w:cs="Times New Roman"/>
                <w:sz w:val="28"/>
                <w:szCs w:val="28"/>
                <w:highlight w:val="yellow"/>
              </w:rPr>
            </w:pPr>
          </w:p>
          <w:p w:rsidR="00741D26" w:rsidRPr="002F73F0" w:rsidRDefault="00741D26" w:rsidP="00741D26">
            <w:pPr>
              <w:jc w:val="both"/>
              <w:rPr>
                <w:rFonts w:ascii="Times New Roman" w:hAnsi="Times New Roman" w:cs="Times New Roman"/>
                <w:sz w:val="28"/>
                <w:szCs w:val="28"/>
              </w:rPr>
            </w:pPr>
          </w:p>
        </w:tc>
        <w:tc>
          <w:tcPr>
            <w:tcW w:w="2410" w:type="dxa"/>
          </w:tcPr>
          <w:p w:rsidR="00741D26"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4B3821" w:rsidP="00741D26">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 з</w:t>
            </w:r>
            <w:r w:rsidR="00741D26" w:rsidRPr="002F73F0">
              <w:rPr>
                <w:rFonts w:ascii="Times New Roman" w:eastAsia="Times New Roman" w:hAnsi="Times New Roman" w:cs="Times New Roman"/>
                <w:sz w:val="28"/>
                <w:szCs w:val="28"/>
                <w:lang w:eastAsia="uk-UA"/>
              </w:rPr>
              <w:t>в’язків з органами державної влади та громадськістю</w:t>
            </w:r>
          </w:p>
          <w:p w:rsidR="00741D26" w:rsidRPr="002F73F0" w:rsidRDefault="00741D26" w:rsidP="00B63F44">
            <w:pPr>
              <w:spacing w:after="120"/>
              <w:rPr>
                <w:rFonts w:ascii="Times New Roman" w:hAnsi="Times New Roman" w:cs="Times New Roman"/>
                <w:sz w:val="28"/>
                <w:szCs w:val="28"/>
              </w:rPr>
            </w:pPr>
            <w:r w:rsidRPr="002F73F0">
              <w:rPr>
                <w:rFonts w:ascii="Times New Roman" w:hAnsi="Times New Roman" w:cs="Times New Roman"/>
                <w:sz w:val="28"/>
                <w:szCs w:val="28"/>
              </w:rPr>
              <w:t>Самостійні структурні  підрозділи</w:t>
            </w:r>
          </w:p>
        </w:tc>
      </w:tr>
      <w:tr w:rsidR="002F73F0" w:rsidRPr="002F73F0" w:rsidTr="00E60B4A">
        <w:tc>
          <w:tcPr>
            <w:tcW w:w="803" w:type="dxa"/>
          </w:tcPr>
          <w:p w:rsidR="00741D26"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t>2.6</w:t>
            </w:r>
          </w:p>
        </w:tc>
        <w:tc>
          <w:tcPr>
            <w:tcW w:w="7243" w:type="dxa"/>
          </w:tcPr>
          <w:p w:rsidR="00741D26" w:rsidRPr="002F73F0" w:rsidRDefault="00741D26" w:rsidP="00741D26">
            <w:pPr>
              <w:jc w:val="both"/>
              <w:rPr>
                <w:rFonts w:ascii="Times New Roman" w:hAnsi="Times New Roman" w:cs="Times New Roman"/>
                <w:sz w:val="28"/>
                <w:szCs w:val="28"/>
              </w:rPr>
            </w:pPr>
            <w:r w:rsidRPr="002F73F0">
              <w:rPr>
                <w:rFonts w:ascii="Times New Roman" w:hAnsi="Times New Roman" w:cs="Times New Roman"/>
                <w:sz w:val="28"/>
                <w:szCs w:val="28"/>
              </w:rPr>
              <w:t xml:space="preserve"> Копії наказів, розпоряджень, доручень, нормативно-правових актів, котрі стосуються взаємодії Мінфіну з ІГС  </w:t>
            </w:r>
          </w:p>
          <w:p w:rsidR="00741D26" w:rsidRPr="002F73F0" w:rsidRDefault="00741D26" w:rsidP="00741D26">
            <w:pPr>
              <w:jc w:val="both"/>
              <w:rPr>
                <w:rFonts w:ascii="Times New Roman" w:hAnsi="Times New Roman" w:cs="Times New Roman"/>
                <w:sz w:val="28"/>
                <w:szCs w:val="28"/>
              </w:rPr>
            </w:pPr>
          </w:p>
          <w:p w:rsidR="00741D26" w:rsidRPr="002F73F0" w:rsidRDefault="00741D26" w:rsidP="00741D26">
            <w:pPr>
              <w:jc w:val="both"/>
              <w:rPr>
                <w:rFonts w:ascii="Times New Roman" w:hAnsi="Times New Roman" w:cs="Times New Roman"/>
                <w:sz w:val="28"/>
                <w:szCs w:val="28"/>
              </w:rPr>
            </w:pPr>
          </w:p>
        </w:tc>
        <w:tc>
          <w:tcPr>
            <w:tcW w:w="2410" w:type="dxa"/>
          </w:tcPr>
          <w:p w:rsidR="00741D26"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741D26" w:rsidP="00741D26">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w:t>
            </w:r>
            <w:r w:rsidR="004B3821" w:rsidRPr="002F73F0">
              <w:rPr>
                <w:rFonts w:ascii="Times New Roman" w:eastAsia="Times New Roman" w:hAnsi="Times New Roman" w:cs="Times New Roman"/>
                <w:sz w:val="28"/>
                <w:szCs w:val="28"/>
                <w:lang w:eastAsia="uk-UA"/>
              </w:rPr>
              <w:t xml:space="preserve"> з</w:t>
            </w:r>
            <w:r w:rsidRPr="002F73F0">
              <w:rPr>
                <w:rFonts w:ascii="Times New Roman" w:eastAsia="Times New Roman" w:hAnsi="Times New Roman" w:cs="Times New Roman"/>
                <w:sz w:val="28"/>
                <w:szCs w:val="28"/>
                <w:lang w:eastAsia="uk-UA"/>
              </w:rPr>
              <w:t>в’язків з органами державної влади та громадськістю</w:t>
            </w:r>
          </w:p>
          <w:p w:rsidR="00741D26" w:rsidRPr="002F73F0" w:rsidRDefault="00741D26" w:rsidP="00B63F44">
            <w:pPr>
              <w:spacing w:after="120"/>
              <w:rPr>
                <w:rFonts w:ascii="Times New Roman" w:eastAsia="Times New Roman" w:hAnsi="Times New Roman" w:cs="Times New Roman"/>
                <w:sz w:val="28"/>
                <w:szCs w:val="28"/>
                <w:lang w:eastAsia="uk-UA"/>
              </w:rPr>
            </w:pPr>
            <w:r w:rsidRPr="002F73F0">
              <w:rPr>
                <w:rFonts w:ascii="Times New Roman" w:hAnsi="Times New Roman" w:cs="Times New Roman"/>
                <w:sz w:val="28"/>
                <w:szCs w:val="28"/>
              </w:rPr>
              <w:t>Самостійні структурні  підрозділи</w:t>
            </w:r>
          </w:p>
        </w:tc>
      </w:tr>
      <w:tr w:rsidR="002F73F0" w:rsidRPr="002F73F0" w:rsidTr="00E60B4A">
        <w:tc>
          <w:tcPr>
            <w:tcW w:w="803" w:type="dxa"/>
          </w:tcPr>
          <w:p w:rsidR="00741D26"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t>2.7.</w:t>
            </w:r>
          </w:p>
        </w:tc>
        <w:tc>
          <w:tcPr>
            <w:tcW w:w="7243" w:type="dxa"/>
          </w:tcPr>
          <w:p w:rsidR="00741D26" w:rsidRPr="002F73F0" w:rsidRDefault="004B3821" w:rsidP="00741D26">
            <w:pPr>
              <w:jc w:val="both"/>
              <w:rPr>
                <w:rFonts w:ascii="Times New Roman" w:hAnsi="Times New Roman" w:cs="Times New Roman"/>
                <w:sz w:val="28"/>
                <w:szCs w:val="28"/>
              </w:rPr>
            </w:pPr>
            <w:r w:rsidRPr="002F73F0">
              <w:rPr>
                <w:rFonts w:ascii="Times New Roman" w:hAnsi="Times New Roman" w:cs="Times New Roman"/>
                <w:sz w:val="28"/>
                <w:szCs w:val="28"/>
              </w:rPr>
              <w:t>Копії документів</w:t>
            </w:r>
            <w:r w:rsidR="00741D26" w:rsidRPr="002F73F0">
              <w:rPr>
                <w:rFonts w:ascii="Times New Roman" w:hAnsi="Times New Roman" w:cs="Times New Roman"/>
                <w:sz w:val="28"/>
                <w:szCs w:val="28"/>
              </w:rPr>
              <w:t xml:space="preserve"> щодо проведення спільних заходів Мінфіну з ІГС (круглі столи, конференції, робочі групи, публічні масові заходи тощо)</w:t>
            </w:r>
          </w:p>
          <w:p w:rsidR="00741D26" w:rsidRPr="002F73F0" w:rsidRDefault="00741D26" w:rsidP="00741D26">
            <w:pPr>
              <w:jc w:val="both"/>
              <w:rPr>
                <w:rFonts w:ascii="Times New Roman" w:hAnsi="Times New Roman" w:cs="Times New Roman"/>
                <w:sz w:val="28"/>
                <w:szCs w:val="28"/>
              </w:rPr>
            </w:pPr>
          </w:p>
        </w:tc>
        <w:tc>
          <w:tcPr>
            <w:tcW w:w="2410" w:type="dxa"/>
          </w:tcPr>
          <w:p w:rsidR="00741D26"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741D26" w:rsidP="00741D26">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 зв’язків з органами державної влади та громадськістю</w:t>
            </w:r>
          </w:p>
          <w:p w:rsidR="00741D26" w:rsidRPr="002F73F0" w:rsidRDefault="00741D26" w:rsidP="00B63F44">
            <w:pPr>
              <w:spacing w:after="120"/>
              <w:rPr>
                <w:rFonts w:ascii="Times New Roman" w:eastAsia="Times New Roman" w:hAnsi="Times New Roman" w:cs="Times New Roman"/>
                <w:sz w:val="28"/>
                <w:szCs w:val="28"/>
                <w:lang w:eastAsia="uk-UA"/>
              </w:rPr>
            </w:pPr>
            <w:r w:rsidRPr="002F73F0">
              <w:rPr>
                <w:rFonts w:ascii="Times New Roman" w:hAnsi="Times New Roman" w:cs="Times New Roman"/>
                <w:sz w:val="28"/>
                <w:szCs w:val="28"/>
              </w:rPr>
              <w:t>Самостійні структурні  підрозділи</w:t>
            </w:r>
          </w:p>
        </w:tc>
      </w:tr>
      <w:tr w:rsidR="002F73F0" w:rsidRPr="002F73F0" w:rsidTr="00E60B4A">
        <w:tc>
          <w:tcPr>
            <w:tcW w:w="803" w:type="dxa"/>
          </w:tcPr>
          <w:p w:rsidR="00741D26"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t>2.8.</w:t>
            </w:r>
          </w:p>
        </w:tc>
        <w:tc>
          <w:tcPr>
            <w:tcW w:w="7243" w:type="dxa"/>
          </w:tcPr>
          <w:p w:rsidR="00741D26" w:rsidRPr="002F73F0" w:rsidRDefault="00741D26" w:rsidP="00741D26">
            <w:pPr>
              <w:jc w:val="both"/>
              <w:rPr>
                <w:rFonts w:ascii="Times New Roman" w:hAnsi="Times New Roman" w:cs="Times New Roman"/>
                <w:sz w:val="28"/>
                <w:szCs w:val="28"/>
              </w:rPr>
            </w:pPr>
            <w:r w:rsidRPr="002F73F0">
              <w:rPr>
                <w:rFonts w:ascii="Times New Roman" w:hAnsi="Times New Roman" w:cs="Times New Roman"/>
                <w:sz w:val="28"/>
                <w:szCs w:val="28"/>
              </w:rPr>
              <w:t xml:space="preserve">Нормативно-правові акти, </w:t>
            </w:r>
            <w:r w:rsidR="004B3821" w:rsidRPr="002F73F0">
              <w:rPr>
                <w:rFonts w:ascii="Times New Roman" w:hAnsi="Times New Roman" w:cs="Times New Roman"/>
                <w:sz w:val="28"/>
                <w:szCs w:val="28"/>
              </w:rPr>
              <w:t>які</w:t>
            </w:r>
            <w:r w:rsidRPr="002F73F0">
              <w:rPr>
                <w:rFonts w:ascii="Times New Roman" w:hAnsi="Times New Roman" w:cs="Times New Roman"/>
                <w:sz w:val="28"/>
                <w:szCs w:val="28"/>
              </w:rPr>
              <w:t xml:space="preserve"> регламентують процес опрацювання та врахування Мінфіном у своїй діяльності пропозицій громадян та ІГС. </w:t>
            </w:r>
          </w:p>
          <w:p w:rsidR="00741D26" w:rsidRPr="002F73F0" w:rsidRDefault="00741D26" w:rsidP="00741D26">
            <w:pPr>
              <w:jc w:val="both"/>
              <w:rPr>
                <w:rFonts w:ascii="Times New Roman" w:hAnsi="Times New Roman" w:cs="Times New Roman"/>
                <w:sz w:val="28"/>
                <w:szCs w:val="28"/>
              </w:rPr>
            </w:pPr>
          </w:p>
          <w:p w:rsidR="00741D26" w:rsidRPr="002F73F0" w:rsidRDefault="00741D26" w:rsidP="00741D26">
            <w:pPr>
              <w:jc w:val="both"/>
              <w:rPr>
                <w:rFonts w:ascii="Times New Roman" w:hAnsi="Times New Roman" w:cs="Times New Roman"/>
                <w:sz w:val="28"/>
                <w:szCs w:val="28"/>
              </w:rPr>
            </w:pPr>
          </w:p>
        </w:tc>
        <w:tc>
          <w:tcPr>
            <w:tcW w:w="2410" w:type="dxa"/>
          </w:tcPr>
          <w:p w:rsidR="00741D26" w:rsidRPr="002F73F0" w:rsidRDefault="00254CD4" w:rsidP="00D96311">
            <w:pPr>
              <w:jc w:val="center"/>
              <w:rPr>
                <w:rFonts w:ascii="Times New Roman" w:hAnsi="Times New Roman" w:cs="Times New Roman"/>
                <w:sz w:val="28"/>
                <w:szCs w:val="28"/>
              </w:rPr>
            </w:pPr>
            <w:r w:rsidRPr="002F73F0">
              <w:rPr>
                <w:rFonts w:ascii="Times New Roman" w:hAnsi="Times New Roman" w:cs="Times New Roman"/>
                <w:sz w:val="28"/>
                <w:szCs w:val="28"/>
              </w:rPr>
              <w:t>До 03  листопада 2017 року</w:t>
            </w:r>
          </w:p>
        </w:tc>
        <w:tc>
          <w:tcPr>
            <w:tcW w:w="4140" w:type="dxa"/>
          </w:tcPr>
          <w:p w:rsidR="00741D26" w:rsidRPr="002F73F0" w:rsidRDefault="004B3821" w:rsidP="00741D26">
            <w:pPr>
              <w:spacing w:after="120"/>
              <w:jc w:val="both"/>
              <w:rPr>
                <w:rFonts w:ascii="Times New Roman" w:eastAsia="Times New Roman" w:hAnsi="Times New Roman" w:cs="Times New Roman"/>
                <w:sz w:val="28"/>
                <w:szCs w:val="28"/>
                <w:lang w:eastAsia="uk-UA"/>
              </w:rPr>
            </w:pPr>
            <w:r w:rsidRPr="002F73F0">
              <w:rPr>
                <w:rFonts w:ascii="Times New Roman" w:eastAsia="Times New Roman" w:hAnsi="Times New Roman" w:cs="Times New Roman"/>
                <w:sz w:val="28"/>
                <w:szCs w:val="28"/>
                <w:lang w:eastAsia="uk-UA"/>
              </w:rPr>
              <w:t>Департамент з</w:t>
            </w:r>
            <w:r w:rsidR="00741D26" w:rsidRPr="002F73F0">
              <w:rPr>
                <w:rFonts w:ascii="Times New Roman" w:eastAsia="Times New Roman" w:hAnsi="Times New Roman" w:cs="Times New Roman"/>
                <w:sz w:val="28"/>
                <w:szCs w:val="28"/>
                <w:lang w:eastAsia="uk-UA"/>
              </w:rPr>
              <w:t>в’язків з органами державної влади та громадськістю</w:t>
            </w:r>
          </w:p>
          <w:p w:rsidR="00741D26" w:rsidRPr="002F73F0" w:rsidRDefault="00741D26" w:rsidP="00741D26">
            <w:pPr>
              <w:spacing w:after="120"/>
              <w:jc w:val="both"/>
              <w:rPr>
                <w:rFonts w:ascii="Times New Roman" w:eastAsia="Times New Roman" w:hAnsi="Times New Roman" w:cs="Times New Roman"/>
                <w:sz w:val="28"/>
                <w:szCs w:val="28"/>
                <w:lang w:eastAsia="uk-UA"/>
              </w:rPr>
            </w:pPr>
          </w:p>
        </w:tc>
      </w:tr>
      <w:tr w:rsidR="00850959" w:rsidRPr="002F73F0" w:rsidTr="00E60B4A">
        <w:tc>
          <w:tcPr>
            <w:tcW w:w="803" w:type="dxa"/>
          </w:tcPr>
          <w:p w:rsidR="00850959" w:rsidRPr="002F73F0" w:rsidRDefault="00741D26" w:rsidP="00624F15">
            <w:pPr>
              <w:jc w:val="center"/>
              <w:rPr>
                <w:rFonts w:ascii="Times New Roman" w:hAnsi="Times New Roman" w:cs="Times New Roman"/>
                <w:sz w:val="28"/>
                <w:szCs w:val="28"/>
              </w:rPr>
            </w:pPr>
            <w:r w:rsidRPr="002F73F0">
              <w:rPr>
                <w:rFonts w:ascii="Times New Roman" w:hAnsi="Times New Roman" w:cs="Times New Roman"/>
                <w:sz w:val="28"/>
                <w:szCs w:val="28"/>
              </w:rPr>
              <w:t>3</w:t>
            </w:r>
            <w:r w:rsidR="00850959" w:rsidRPr="002F73F0">
              <w:rPr>
                <w:rFonts w:ascii="Times New Roman" w:hAnsi="Times New Roman" w:cs="Times New Roman"/>
                <w:sz w:val="28"/>
                <w:szCs w:val="28"/>
              </w:rPr>
              <w:t>.</w:t>
            </w:r>
          </w:p>
        </w:tc>
        <w:tc>
          <w:tcPr>
            <w:tcW w:w="7243" w:type="dxa"/>
          </w:tcPr>
          <w:p w:rsidR="00850959" w:rsidRPr="002F73F0" w:rsidRDefault="00850959" w:rsidP="0092665B">
            <w:pPr>
              <w:jc w:val="both"/>
              <w:rPr>
                <w:rFonts w:ascii="Times New Roman" w:hAnsi="Times New Roman" w:cs="Times New Roman"/>
                <w:sz w:val="28"/>
                <w:szCs w:val="28"/>
              </w:rPr>
            </w:pPr>
            <w:r w:rsidRPr="002F73F0">
              <w:rPr>
                <w:rFonts w:ascii="Times New Roman" w:hAnsi="Times New Roman" w:cs="Times New Roman"/>
                <w:sz w:val="28"/>
                <w:szCs w:val="28"/>
              </w:rPr>
              <w:t>Узагальнення одержаної інформації та матеріалів і підготовка відповіді грома</w:t>
            </w:r>
            <w:r w:rsidR="004B3821" w:rsidRPr="002F73F0">
              <w:rPr>
                <w:rFonts w:ascii="Times New Roman" w:hAnsi="Times New Roman" w:cs="Times New Roman"/>
                <w:sz w:val="28"/>
                <w:szCs w:val="28"/>
              </w:rPr>
              <w:t>дській організації «Українська д</w:t>
            </w:r>
            <w:r w:rsidRPr="002F73F0">
              <w:rPr>
                <w:rFonts w:ascii="Times New Roman" w:hAnsi="Times New Roman" w:cs="Times New Roman"/>
                <w:sz w:val="28"/>
                <w:szCs w:val="28"/>
              </w:rPr>
              <w:t>емократія</w:t>
            </w:r>
            <w:r w:rsidR="004B3821" w:rsidRPr="002F73F0">
              <w:rPr>
                <w:rFonts w:ascii="Times New Roman" w:hAnsi="Times New Roman" w:cs="Times New Roman"/>
                <w:sz w:val="28"/>
                <w:szCs w:val="28"/>
              </w:rPr>
              <w:t>»</w:t>
            </w:r>
          </w:p>
          <w:p w:rsidR="00850959" w:rsidRPr="002F73F0" w:rsidRDefault="00850959" w:rsidP="00624F15">
            <w:pPr>
              <w:jc w:val="center"/>
              <w:rPr>
                <w:rFonts w:ascii="Times New Roman" w:hAnsi="Times New Roman" w:cs="Times New Roman"/>
                <w:sz w:val="28"/>
                <w:szCs w:val="28"/>
              </w:rPr>
            </w:pPr>
            <w:r w:rsidRPr="002F73F0">
              <w:rPr>
                <w:rFonts w:ascii="Times New Roman" w:hAnsi="Times New Roman" w:cs="Times New Roman"/>
                <w:sz w:val="28"/>
                <w:szCs w:val="28"/>
              </w:rPr>
              <w:t xml:space="preserve"> </w:t>
            </w:r>
          </w:p>
        </w:tc>
        <w:tc>
          <w:tcPr>
            <w:tcW w:w="2410" w:type="dxa"/>
          </w:tcPr>
          <w:p w:rsidR="00850959" w:rsidRPr="002F73F0" w:rsidRDefault="00254CD4" w:rsidP="0092665B">
            <w:pPr>
              <w:jc w:val="center"/>
              <w:rPr>
                <w:rFonts w:ascii="Times New Roman" w:hAnsi="Times New Roman" w:cs="Times New Roman"/>
                <w:sz w:val="28"/>
                <w:szCs w:val="28"/>
              </w:rPr>
            </w:pPr>
            <w:r w:rsidRPr="002F73F0">
              <w:rPr>
                <w:rFonts w:ascii="Times New Roman" w:hAnsi="Times New Roman" w:cs="Times New Roman"/>
                <w:sz w:val="28"/>
                <w:szCs w:val="28"/>
              </w:rPr>
              <w:t>До 10  листопада 2017 року</w:t>
            </w:r>
          </w:p>
        </w:tc>
        <w:tc>
          <w:tcPr>
            <w:tcW w:w="4140" w:type="dxa"/>
          </w:tcPr>
          <w:p w:rsidR="00850959" w:rsidRPr="002F73F0" w:rsidRDefault="004B3821" w:rsidP="004B3821">
            <w:pPr>
              <w:rPr>
                <w:rFonts w:ascii="Times New Roman" w:hAnsi="Times New Roman" w:cs="Times New Roman"/>
                <w:sz w:val="28"/>
                <w:szCs w:val="28"/>
              </w:rPr>
            </w:pPr>
            <w:r w:rsidRPr="002F73F0">
              <w:rPr>
                <w:rFonts w:ascii="Times New Roman" w:hAnsi="Times New Roman" w:cs="Times New Roman"/>
                <w:sz w:val="28"/>
                <w:szCs w:val="28"/>
              </w:rPr>
              <w:t>Департамент</w:t>
            </w:r>
            <w:r w:rsidR="00850959" w:rsidRPr="002F73F0">
              <w:rPr>
                <w:rFonts w:ascii="Times New Roman" w:hAnsi="Times New Roman" w:cs="Times New Roman"/>
                <w:sz w:val="28"/>
                <w:szCs w:val="28"/>
              </w:rPr>
              <w:t xml:space="preserve"> зв’язків з органами державної влади та громадськістю</w:t>
            </w:r>
          </w:p>
          <w:p w:rsidR="00850959" w:rsidRPr="002F73F0" w:rsidRDefault="00850959" w:rsidP="00624F15">
            <w:pPr>
              <w:jc w:val="center"/>
              <w:rPr>
                <w:rFonts w:ascii="Times New Roman" w:hAnsi="Times New Roman" w:cs="Times New Roman"/>
                <w:sz w:val="28"/>
                <w:szCs w:val="28"/>
              </w:rPr>
            </w:pPr>
          </w:p>
        </w:tc>
      </w:tr>
    </w:tbl>
    <w:p w:rsidR="00624F15" w:rsidRPr="002F73F0" w:rsidRDefault="00624F15" w:rsidP="00624F15">
      <w:pPr>
        <w:spacing w:after="0" w:line="240" w:lineRule="auto"/>
        <w:jc w:val="center"/>
        <w:rPr>
          <w:rFonts w:ascii="Times New Roman" w:hAnsi="Times New Roman" w:cs="Times New Roman"/>
          <w:sz w:val="28"/>
          <w:szCs w:val="28"/>
        </w:rPr>
      </w:pPr>
    </w:p>
    <w:p w:rsidR="0063604E" w:rsidRPr="002F73F0" w:rsidRDefault="0063604E" w:rsidP="00624F15">
      <w:pPr>
        <w:spacing w:after="0" w:line="240" w:lineRule="auto"/>
        <w:jc w:val="center"/>
        <w:rPr>
          <w:rFonts w:ascii="Times New Roman" w:hAnsi="Times New Roman" w:cs="Times New Roman"/>
          <w:sz w:val="28"/>
          <w:szCs w:val="28"/>
        </w:rPr>
      </w:pPr>
    </w:p>
    <w:p w:rsidR="0063604E" w:rsidRPr="002F73F0" w:rsidRDefault="0063604E" w:rsidP="0063604E">
      <w:pPr>
        <w:spacing w:after="0" w:line="240" w:lineRule="auto"/>
        <w:jc w:val="both"/>
        <w:rPr>
          <w:rFonts w:ascii="Times New Roman" w:eastAsia="Times New Roman" w:hAnsi="Times New Roman" w:cs="Times New Roman"/>
          <w:b/>
          <w:sz w:val="28"/>
          <w:szCs w:val="28"/>
          <w:lang w:eastAsia="ru-RU"/>
        </w:rPr>
      </w:pPr>
      <w:r w:rsidRPr="002F73F0">
        <w:rPr>
          <w:rFonts w:ascii="Times New Roman" w:eastAsia="Times New Roman" w:hAnsi="Times New Roman" w:cs="Times New Roman"/>
          <w:b/>
          <w:sz w:val="28"/>
          <w:szCs w:val="28"/>
          <w:lang w:eastAsia="ru-RU"/>
        </w:rPr>
        <w:t xml:space="preserve">Директор Департаменту зв’язків  з органами </w:t>
      </w:r>
    </w:p>
    <w:p w:rsidR="0063604E" w:rsidRPr="002F73F0" w:rsidRDefault="0063604E" w:rsidP="0063604E">
      <w:pPr>
        <w:spacing w:after="0" w:line="240" w:lineRule="auto"/>
        <w:jc w:val="both"/>
        <w:rPr>
          <w:rFonts w:ascii="Times New Roman" w:hAnsi="Times New Roman" w:cs="Times New Roman"/>
          <w:sz w:val="28"/>
          <w:szCs w:val="28"/>
        </w:rPr>
      </w:pPr>
      <w:r w:rsidRPr="002F73F0">
        <w:rPr>
          <w:rFonts w:ascii="Times New Roman" w:eastAsia="Times New Roman" w:hAnsi="Times New Roman" w:cs="Times New Roman"/>
          <w:b/>
          <w:sz w:val="28"/>
          <w:szCs w:val="28"/>
          <w:lang w:eastAsia="ru-RU"/>
        </w:rPr>
        <w:t xml:space="preserve">державної влади та громадськістю                                                                                 </w:t>
      </w:r>
      <w:r w:rsidR="002F73F0" w:rsidRPr="002F73F0">
        <w:rPr>
          <w:rFonts w:ascii="Times New Roman" w:eastAsia="Times New Roman" w:hAnsi="Times New Roman" w:cs="Times New Roman"/>
          <w:b/>
          <w:sz w:val="28"/>
          <w:szCs w:val="28"/>
          <w:lang w:eastAsia="ru-RU"/>
        </w:rPr>
        <w:t xml:space="preserve">                             </w:t>
      </w:r>
      <w:r w:rsidRPr="002F73F0">
        <w:rPr>
          <w:rFonts w:ascii="Times New Roman" w:eastAsia="Times New Roman" w:hAnsi="Times New Roman" w:cs="Times New Roman"/>
          <w:b/>
          <w:sz w:val="28"/>
          <w:szCs w:val="28"/>
          <w:lang w:eastAsia="ru-RU"/>
        </w:rPr>
        <w:t>М. В. </w:t>
      </w:r>
      <w:proofErr w:type="spellStart"/>
      <w:r w:rsidRPr="002F73F0">
        <w:rPr>
          <w:rFonts w:ascii="Times New Roman" w:eastAsia="Times New Roman" w:hAnsi="Times New Roman" w:cs="Times New Roman"/>
          <w:b/>
          <w:sz w:val="28"/>
          <w:szCs w:val="28"/>
          <w:lang w:eastAsia="ru-RU"/>
        </w:rPr>
        <w:t>Чев</w:t>
      </w:r>
      <w:proofErr w:type="spellEnd"/>
      <w:r w:rsidRPr="002F73F0">
        <w:rPr>
          <w:rFonts w:ascii="Times New Roman" w:eastAsia="Times New Roman" w:hAnsi="Times New Roman" w:cs="Times New Roman"/>
          <w:b/>
          <w:sz w:val="28"/>
          <w:szCs w:val="28"/>
          <w:lang w:val="ru-RU" w:eastAsia="ru-RU"/>
        </w:rPr>
        <w:t>’</w:t>
      </w:r>
      <w:proofErr w:type="spellStart"/>
      <w:r w:rsidRPr="002F73F0">
        <w:rPr>
          <w:rFonts w:ascii="Times New Roman" w:eastAsia="Times New Roman" w:hAnsi="Times New Roman" w:cs="Times New Roman"/>
          <w:b/>
          <w:sz w:val="28"/>
          <w:szCs w:val="28"/>
          <w:lang w:eastAsia="ru-RU"/>
        </w:rPr>
        <w:t>юк</w:t>
      </w:r>
      <w:proofErr w:type="spellEnd"/>
    </w:p>
    <w:sectPr w:rsidR="0063604E" w:rsidRPr="002F73F0" w:rsidSect="004B3821">
      <w:headerReference w:type="default" r:id="rId7"/>
      <w:pgSz w:w="16838" w:h="11906" w:orient="landscape"/>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26" w:rsidRDefault="00A03126" w:rsidP="00E60B4A">
      <w:pPr>
        <w:spacing w:after="0" w:line="240" w:lineRule="auto"/>
      </w:pPr>
      <w:r>
        <w:separator/>
      </w:r>
    </w:p>
  </w:endnote>
  <w:endnote w:type="continuationSeparator" w:id="0">
    <w:p w:rsidR="00A03126" w:rsidRDefault="00A03126" w:rsidP="00E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26" w:rsidRDefault="00A03126" w:rsidP="00E60B4A">
      <w:pPr>
        <w:spacing w:after="0" w:line="240" w:lineRule="auto"/>
      </w:pPr>
      <w:r>
        <w:separator/>
      </w:r>
    </w:p>
  </w:footnote>
  <w:footnote w:type="continuationSeparator" w:id="0">
    <w:p w:rsidR="00A03126" w:rsidRDefault="00A03126" w:rsidP="00E6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40020"/>
      <w:docPartObj>
        <w:docPartGallery w:val="Page Numbers (Top of Page)"/>
        <w:docPartUnique/>
      </w:docPartObj>
    </w:sdtPr>
    <w:sdtEndPr/>
    <w:sdtContent>
      <w:p w:rsidR="00E60B4A" w:rsidRDefault="00E60B4A">
        <w:pPr>
          <w:pStyle w:val="a4"/>
          <w:jc w:val="center"/>
        </w:pPr>
        <w:r>
          <w:fldChar w:fldCharType="begin"/>
        </w:r>
        <w:r>
          <w:instrText xml:space="preserve"> PAGE   \* MERGEFORMAT </w:instrText>
        </w:r>
        <w:r>
          <w:fldChar w:fldCharType="separate"/>
        </w:r>
        <w:r w:rsidR="00B72460">
          <w:rPr>
            <w:noProof/>
          </w:rPr>
          <w:t>2</w:t>
        </w:r>
        <w:r>
          <w:rPr>
            <w:noProof/>
          </w:rPr>
          <w:fldChar w:fldCharType="end"/>
        </w:r>
      </w:p>
    </w:sdtContent>
  </w:sdt>
  <w:p w:rsidR="00E60B4A" w:rsidRDefault="00E60B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15"/>
    <w:rsid w:val="000B0C5C"/>
    <w:rsid w:val="000C7275"/>
    <w:rsid w:val="00254CD4"/>
    <w:rsid w:val="00287F45"/>
    <w:rsid w:val="002C7D24"/>
    <w:rsid w:val="002F73F0"/>
    <w:rsid w:val="00471F47"/>
    <w:rsid w:val="004B3821"/>
    <w:rsid w:val="004E2F6E"/>
    <w:rsid w:val="00624F15"/>
    <w:rsid w:val="0063604E"/>
    <w:rsid w:val="00717C0E"/>
    <w:rsid w:val="00741D26"/>
    <w:rsid w:val="0074753C"/>
    <w:rsid w:val="00850959"/>
    <w:rsid w:val="008D1F02"/>
    <w:rsid w:val="0092665B"/>
    <w:rsid w:val="0098285C"/>
    <w:rsid w:val="009A7AB5"/>
    <w:rsid w:val="00A03126"/>
    <w:rsid w:val="00B63F44"/>
    <w:rsid w:val="00B72460"/>
    <w:rsid w:val="00BF085A"/>
    <w:rsid w:val="00BF2CCE"/>
    <w:rsid w:val="00CB133D"/>
    <w:rsid w:val="00CB3855"/>
    <w:rsid w:val="00D96311"/>
    <w:rsid w:val="00E60B4A"/>
    <w:rsid w:val="00EB4F09"/>
    <w:rsid w:val="00F1481B"/>
    <w:rsid w:val="00FC4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4F15"/>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624F15"/>
    <w:rPr>
      <w:rFonts w:ascii="Consolas" w:hAnsi="Consolas" w:cs="Consolas"/>
      <w:sz w:val="20"/>
      <w:szCs w:val="20"/>
    </w:rPr>
  </w:style>
  <w:style w:type="table" w:styleId="a3">
    <w:name w:val="Table Grid"/>
    <w:basedOn w:val="a1"/>
    <w:uiPriority w:val="59"/>
    <w:rsid w:val="0062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B4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60B4A"/>
  </w:style>
  <w:style w:type="paragraph" w:styleId="a6">
    <w:name w:val="footer"/>
    <w:basedOn w:val="a"/>
    <w:link w:val="a7"/>
    <w:uiPriority w:val="99"/>
    <w:unhideWhenUsed/>
    <w:rsid w:val="00E60B4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60B4A"/>
  </w:style>
  <w:style w:type="paragraph" w:styleId="a8">
    <w:name w:val="Balloon Text"/>
    <w:basedOn w:val="a"/>
    <w:link w:val="a9"/>
    <w:uiPriority w:val="99"/>
    <w:semiHidden/>
    <w:unhideWhenUsed/>
    <w:rsid w:val="00EB4F0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B4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4F15"/>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624F15"/>
    <w:rPr>
      <w:rFonts w:ascii="Consolas" w:hAnsi="Consolas" w:cs="Consolas"/>
      <w:sz w:val="20"/>
      <w:szCs w:val="20"/>
    </w:rPr>
  </w:style>
  <w:style w:type="table" w:styleId="a3">
    <w:name w:val="Table Grid"/>
    <w:basedOn w:val="a1"/>
    <w:uiPriority w:val="59"/>
    <w:rsid w:val="0062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B4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60B4A"/>
  </w:style>
  <w:style w:type="paragraph" w:styleId="a6">
    <w:name w:val="footer"/>
    <w:basedOn w:val="a"/>
    <w:link w:val="a7"/>
    <w:uiPriority w:val="99"/>
    <w:unhideWhenUsed/>
    <w:rsid w:val="00E60B4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60B4A"/>
  </w:style>
  <w:style w:type="paragraph" w:styleId="a8">
    <w:name w:val="Balloon Text"/>
    <w:basedOn w:val="a"/>
    <w:link w:val="a9"/>
    <w:uiPriority w:val="99"/>
    <w:semiHidden/>
    <w:unhideWhenUsed/>
    <w:rsid w:val="00EB4F0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B4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033">
      <w:bodyDiv w:val="1"/>
      <w:marLeft w:val="0"/>
      <w:marRight w:val="0"/>
      <w:marTop w:val="0"/>
      <w:marBottom w:val="0"/>
      <w:divBdr>
        <w:top w:val="none" w:sz="0" w:space="0" w:color="auto"/>
        <w:left w:val="none" w:sz="0" w:space="0" w:color="auto"/>
        <w:bottom w:val="none" w:sz="0" w:space="0" w:color="auto"/>
        <w:right w:val="none" w:sz="0" w:space="0" w:color="auto"/>
      </w:divBdr>
      <w:divsChild>
        <w:div w:id="97337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2846</Words>
  <Characters>1623</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cp:lastPrinted>2017-10-17T07:16:00Z</cp:lastPrinted>
  <dcterms:created xsi:type="dcterms:W3CDTF">2017-10-12T15:04:00Z</dcterms:created>
  <dcterms:modified xsi:type="dcterms:W3CDTF">2017-10-26T08:43:00Z</dcterms:modified>
</cp:coreProperties>
</file>